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3B967">
      <w:pPr>
        <w:tabs>
          <w:tab w:val="left" w:pos="1923"/>
        </w:tabs>
        <w:kinsoku w:val="0"/>
        <w:overflowPunct w:val="0"/>
        <w:autoSpaceDE w:val="0"/>
        <w:autoSpaceDN w:val="0"/>
        <w:adjustRightInd w:val="0"/>
        <w:snapToGrid/>
        <w:spacing w:before="0" w:beforeLines="-2147483648" w:after="0" w:afterLines="-2147483648" w:line="360" w:lineRule="auto"/>
        <w:ind w:firstLine="0" w:firstLineChars="0"/>
        <w:jc w:val="left"/>
        <w:outlineLvl w:val="9"/>
        <w:rPr>
          <w:rFonts w:hint="eastAsia" w:ascii="黑体" w:hAnsi="黑体" w:eastAsia="黑体" w:cs="黑体"/>
          <w:sz w:val="32"/>
          <w:szCs w:val="32"/>
          <w:lang w:val="en-US" w:eastAsia="zh-CN"/>
        </w:rPr>
      </w:pPr>
      <w:r>
        <w:rPr>
          <w:rFonts w:hint="eastAsia" w:ascii="黑体" w:hAnsi="黑体" w:eastAsia="黑体" w:cs="黑体"/>
          <w:bCs w:val="0"/>
          <w:spacing w:val="-2"/>
          <w:w w:val="95"/>
          <w:sz w:val="32"/>
          <w:szCs w:val="32"/>
        </w:rPr>
        <w:t>附件</w:t>
      </w:r>
      <w:r>
        <w:rPr>
          <w:rFonts w:hint="eastAsia" w:ascii="黑体" w:hAnsi="黑体" w:eastAsia="黑体" w:cs="黑体"/>
          <w:bCs w:val="0"/>
          <w:spacing w:val="-2"/>
          <w:w w:val="95"/>
          <w:sz w:val="32"/>
          <w:szCs w:val="32"/>
          <w:lang w:val="en-US" w:eastAsia="zh-CN"/>
        </w:rPr>
        <w:t>1</w:t>
      </w:r>
    </w:p>
    <w:p w14:paraId="76A86C25">
      <w:pPr>
        <w:keepNext w:val="0"/>
        <w:keepLines w:val="0"/>
        <w:pageBreakBefore w:val="0"/>
        <w:widowControl w:val="0"/>
        <w:kinsoku/>
        <w:wordWrap/>
        <w:overflowPunct/>
        <w:topLinePunct w:val="0"/>
        <w:autoSpaceDE/>
        <w:autoSpaceDN/>
        <w:bidi w:val="0"/>
        <w:adjustRightInd/>
        <w:snapToGrid w:val="0"/>
        <w:spacing w:before="156" w:beforeLines="50" w:after="156" w:afterLines="50" w:line="640" w:lineRule="exact"/>
        <w:jc w:val="center"/>
        <w:textAlignment w:val="auto"/>
        <w:outlineLvl w:val="0"/>
        <w:rPr>
          <w:rFonts w:hint="eastAsia" w:ascii="方正小标宋_GBK" w:hAnsi="仿宋_GB2312" w:eastAsia="方正小标宋_GBK" w:cs="仿宋_GB2312"/>
          <w:b/>
          <w:bCs/>
          <w:sz w:val="44"/>
          <w:szCs w:val="44"/>
        </w:rPr>
      </w:pPr>
      <w:bookmarkStart w:id="0" w:name="_GoBack"/>
      <w:r>
        <w:rPr>
          <w:rFonts w:hint="eastAsia" w:ascii="方正小标宋_GBK" w:hAnsi="方正小标宋_GBK" w:eastAsia="方正小标宋_GBK" w:cs="方正小标宋_GBK"/>
          <w:sz w:val="44"/>
          <w:szCs w:val="44"/>
        </w:rPr>
        <w:t>深圳市残疾人联合会202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年度“持证残疾人状况调查评估指导”项目服务需求</w:t>
      </w:r>
    </w:p>
    <w:bookmarkEnd w:id="0"/>
    <w:p w14:paraId="04D4DC15">
      <w:pPr>
        <w:keepNext w:val="0"/>
        <w:keepLines w:val="0"/>
        <w:pageBreakBefore w:val="0"/>
        <w:widowControl w:val="0"/>
        <w:kinsoku/>
        <w:wordWrap/>
        <w:overflowPunct/>
        <w:topLinePunct w:val="0"/>
        <w:autoSpaceDE/>
        <w:autoSpaceDN/>
        <w:bidi w:val="0"/>
        <w:adjustRightInd/>
        <w:snapToGrid w:val="0"/>
        <w:spacing w:before="156" w:beforeLines="50" w:after="156" w:afterLines="50" w:line="640" w:lineRule="exact"/>
        <w:jc w:val="center"/>
        <w:textAlignment w:val="auto"/>
        <w:outlineLvl w:val="0"/>
        <w:rPr>
          <w:rFonts w:hint="eastAsia" w:ascii="方正小标宋_GBK" w:hAnsi="仿宋_GB2312" w:eastAsia="方正小标宋_GBK" w:cs="仿宋_GB2312"/>
          <w:b/>
          <w:bCs/>
          <w:sz w:val="44"/>
          <w:szCs w:val="44"/>
        </w:rPr>
      </w:pPr>
    </w:p>
    <w:p w14:paraId="7C0DC178">
      <w:pPr>
        <w:keepNext w:val="0"/>
        <w:keepLines w:val="0"/>
        <w:pageBreakBefore w:val="0"/>
        <w:widowControl/>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黑体" w:hAnsi="黑体" w:eastAsia="黑体" w:cs="黑体"/>
          <w:spacing w:val="-2"/>
          <w:w w:val="95"/>
          <w:sz w:val="32"/>
          <w:szCs w:val="32"/>
        </w:rPr>
      </w:pPr>
      <w:r>
        <w:rPr>
          <w:rFonts w:hint="eastAsia" w:ascii="黑体" w:hAnsi="黑体" w:eastAsia="黑体" w:cs="黑体"/>
          <w:spacing w:val="-2"/>
          <w:w w:val="95"/>
          <w:sz w:val="32"/>
          <w:szCs w:val="32"/>
        </w:rPr>
        <w:t>一、采购项目概况</w:t>
      </w:r>
    </w:p>
    <w:p w14:paraId="4179D993">
      <w:pPr>
        <w:keepNext w:val="0"/>
        <w:keepLines w:val="0"/>
        <w:pageBreakBefore w:val="0"/>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2"/>
          <w:w w:val="95"/>
          <w:sz w:val="32"/>
          <w:szCs w:val="32"/>
        </w:rPr>
        <w:t>为进一步提高我市持证残疾人状况调查工作的质量，按照</w:t>
      </w:r>
      <w:r>
        <w:rPr>
          <w:rFonts w:hint="eastAsia" w:ascii="仿宋_GB2312" w:hAnsi="仿宋_GB2312" w:eastAsia="仿宋_GB2312" w:cs="仿宋_GB2312"/>
          <w:sz w:val="32"/>
          <w:szCs w:val="32"/>
        </w:rPr>
        <w:t>《广东省政府残工委秘书处关于印发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广东省全国持证残疾人基本状况调查实施方案</w:t>
      </w:r>
      <w:r>
        <w:rPr>
          <w:rFonts w:hint="eastAsia" w:ascii="仿宋_GB2312" w:hAnsi="仿宋_GB2312" w:eastAsia="仿宋_GB2312" w:cs="仿宋_GB2312"/>
          <w:sz w:val="32"/>
          <w:szCs w:val="32"/>
          <w:lang w:eastAsia="zh-CN"/>
        </w:rPr>
        <w:t>〉的通知》（</w:t>
      </w:r>
      <w:r>
        <w:rPr>
          <w:rFonts w:hint="eastAsia" w:ascii="仿宋_GB2312" w:hAnsi="仿宋_GB2312" w:eastAsia="仿宋_GB2312" w:cs="仿宋_GB2312"/>
          <w:sz w:val="32"/>
          <w:szCs w:val="32"/>
        </w:rPr>
        <w:t>粤府残工委秘﹝2021﹞2号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2"/>
          <w:w w:val="95"/>
          <w:sz w:val="32"/>
          <w:szCs w:val="32"/>
        </w:rPr>
        <w:t xml:space="preserve"> 要求，我会决定购买202</w:t>
      </w:r>
      <w:r>
        <w:rPr>
          <w:rFonts w:hint="eastAsia" w:ascii="仿宋_GB2312" w:hAnsi="仿宋_GB2312" w:eastAsia="仿宋_GB2312" w:cs="仿宋_GB2312"/>
          <w:spacing w:val="-2"/>
          <w:w w:val="95"/>
          <w:sz w:val="32"/>
          <w:szCs w:val="32"/>
          <w:lang w:val="en-US" w:eastAsia="zh-CN"/>
        </w:rPr>
        <w:t>6</w:t>
      </w:r>
      <w:r>
        <w:rPr>
          <w:rFonts w:hint="eastAsia" w:ascii="仿宋_GB2312" w:hAnsi="仿宋_GB2312" w:eastAsia="仿宋_GB2312" w:cs="仿宋_GB2312"/>
          <w:spacing w:val="-2"/>
          <w:w w:val="95"/>
          <w:sz w:val="32"/>
          <w:szCs w:val="32"/>
        </w:rPr>
        <w:t>年</w:t>
      </w:r>
      <w:r>
        <w:rPr>
          <w:rFonts w:hint="eastAsia" w:ascii="仿宋_GB2312" w:hAnsi="仿宋_GB2312" w:eastAsia="仿宋_GB2312" w:cs="仿宋_GB2312"/>
          <w:sz w:val="32"/>
          <w:szCs w:val="32"/>
        </w:rPr>
        <w:t>持证残疾人状况调查评估指导服务。</w:t>
      </w:r>
    </w:p>
    <w:p w14:paraId="33C33AE7">
      <w:pPr>
        <w:keepNext w:val="0"/>
        <w:keepLines w:val="0"/>
        <w:pageBreakBefore w:val="0"/>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黑体" w:hAnsi="黑体" w:eastAsia="黑体" w:cs="黑体"/>
          <w:spacing w:val="-2"/>
          <w:w w:val="95"/>
          <w:sz w:val="32"/>
          <w:szCs w:val="32"/>
        </w:rPr>
      </w:pPr>
      <w:r>
        <w:rPr>
          <w:rFonts w:hint="eastAsia" w:ascii="黑体" w:hAnsi="黑体" w:eastAsia="黑体" w:cs="黑体"/>
          <w:spacing w:val="-2"/>
          <w:w w:val="95"/>
          <w:sz w:val="32"/>
          <w:szCs w:val="32"/>
        </w:rPr>
        <w:t>二、</w:t>
      </w:r>
      <w:r>
        <w:rPr>
          <w:rFonts w:hint="eastAsia" w:ascii="黑体" w:hAnsi="黑体" w:eastAsia="黑体" w:cs="黑体"/>
          <w:spacing w:val="-2"/>
          <w:w w:val="95"/>
          <w:sz w:val="32"/>
          <w:szCs w:val="32"/>
          <w:lang w:eastAsia="zh-CN"/>
        </w:rPr>
        <w:t>项</w:t>
      </w:r>
      <w:r>
        <w:rPr>
          <w:rFonts w:hint="eastAsia" w:ascii="黑体" w:hAnsi="黑体" w:eastAsia="黑体" w:cs="黑体"/>
          <w:spacing w:val="-2"/>
          <w:w w:val="95"/>
          <w:sz w:val="32"/>
          <w:szCs w:val="32"/>
        </w:rPr>
        <w:t>目管理和服务要求</w:t>
      </w:r>
    </w:p>
    <w:p w14:paraId="49EBBB6B">
      <w:pPr>
        <w:keepNext w:val="0"/>
        <w:keepLines w:val="0"/>
        <w:pageBreakBefore w:val="0"/>
        <w:widowControl/>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lang w:eastAsia="zh-CN"/>
        </w:rPr>
        <w:t>1.</w:t>
      </w:r>
      <w:r>
        <w:rPr>
          <w:rFonts w:hint="eastAsia" w:ascii="仿宋_GB2312" w:hAnsi="仿宋_GB2312" w:eastAsia="仿宋_GB2312" w:cs="仿宋_GB2312"/>
          <w:spacing w:val="-2"/>
          <w:w w:val="95"/>
          <w:sz w:val="32"/>
          <w:szCs w:val="32"/>
        </w:rPr>
        <w:t>参与20</w:t>
      </w:r>
      <w:r>
        <w:rPr>
          <w:rFonts w:hint="eastAsia" w:ascii="仿宋_GB2312" w:hAnsi="仿宋_GB2312" w:eastAsia="仿宋_GB2312" w:cs="仿宋_GB2312"/>
          <w:spacing w:val="-2"/>
          <w:w w:val="95"/>
          <w:sz w:val="32"/>
          <w:szCs w:val="32"/>
          <w:lang w:val="en-US" w:eastAsia="zh-CN"/>
        </w:rPr>
        <w:t>26</w:t>
      </w:r>
      <w:r>
        <w:rPr>
          <w:rFonts w:hint="eastAsia" w:ascii="仿宋_GB2312" w:hAnsi="仿宋_GB2312" w:eastAsia="仿宋_GB2312" w:cs="仿宋_GB2312"/>
          <w:spacing w:val="-2"/>
          <w:w w:val="95"/>
          <w:sz w:val="32"/>
          <w:szCs w:val="32"/>
        </w:rPr>
        <w:t>年深圳市</w:t>
      </w:r>
      <w:r>
        <w:rPr>
          <w:rFonts w:hint="eastAsia" w:ascii="仿宋_GB2312" w:hAnsi="仿宋_GB2312" w:eastAsia="仿宋_GB2312" w:cs="仿宋_GB2312"/>
          <w:bCs/>
          <w:sz w:val="32"/>
          <w:szCs w:val="32"/>
        </w:rPr>
        <w:t>持证残疾人状况调查</w:t>
      </w:r>
      <w:r>
        <w:rPr>
          <w:rFonts w:hint="eastAsia" w:ascii="仿宋_GB2312" w:hAnsi="仿宋_GB2312" w:eastAsia="仿宋_GB2312" w:cs="仿宋_GB2312"/>
          <w:spacing w:val="-2"/>
          <w:w w:val="95"/>
          <w:sz w:val="32"/>
          <w:szCs w:val="32"/>
        </w:rPr>
        <w:t>培训</w:t>
      </w:r>
      <w:r>
        <w:rPr>
          <w:rFonts w:hint="eastAsia" w:ascii="仿宋_GB2312" w:hAnsi="仿宋_GB2312" w:eastAsia="仿宋_GB2312" w:cs="仿宋_GB2312"/>
          <w:spacing w:val="-2"/>
          <w:w w:val="95"/>
          <w:sz w:val="32"/>
          <w:szCs w:val="32"/>
          <w:lang w:eastAsia="zh-CN"/>
        </w:rPr>
        <w:t>；</w:t>
      </w:r>
      <w:r>
        <w:rPr>
          <w:rFonts w:hint="eastAsia" w:ascii="仿宋_GB2312" w:hAnsi="仿宋_GB2312" w:eastAsia="仿宋_GB2312" w:cs="仿宋_GB2312"/>
          <w:spacing w:val="-2"/>
          <w:w w:val="95"/>
          <w:sz w:val="32"/>
          <w:szCs w:val="32"/>
        </w:rPr>
        <w:t xml:space="preserve"> 在</w:t>
      </w:r>
      <w:r>
        <w:rPr>
          <w:rFonts w:hint="eastAsia" w:ascii="仿宋_GB2312" w:hAnsi="仿宋_GB2312" w:eastAsia="仿宋_GB2312" w:cs="仿宋_GB2312"/>
          <w:spacing w:val="-2"/>
          <w:w w:val="95"/>
          <w:sz w:val="32"/>
          <w:szCs w:val="32"/>
          <w:lang w:eastAsia="zh-CN"/>
        </w:rPr>
        <w:t>状况调查</w:t>
      </w:r>
      <w:r>
        <w:rPr>
          <w:rFonts w:hint="eastAsia" w:ascii="仿宋_GB2312" w:hAnsi="仿宋_GB2312" w:eastAsia="仿宋_GB2312" w:cs="仿宋_GB2312"/>
          <w:spacing w:val="-2"/>
          <w:w w:val="95"/>
          <w:sz w:val="32"/>
          <w:szCs w:val="32"/>
        </w:rPr>
        <w:t>工作开展期间，能够</w:t>
      </w:r>
      <w:r>
        <w:rPr>
          <w:rFonts w:hint="eastAsia" w:ascii="仿宋_GB2312" w:hAnsi="仿宋_GB2312" w:eastAsia="仿宋_GB2312" w:cs="仿宋_GB2312"/>
          <w:spacing w:val="-2"/>
          <w:w w:val="95"/>
          <w:sz w:val="32"/>
          <w:szCs w:val="32"/>
          <w:lang w:eastAsia="zh-CN"/>
        </w:rPr>
        <w:t>及时</w:t>
      </w:r>
      <w:r>
        <w:rPr>
          <w:rFonts w:hint="eastAsia" w:ascii="仿宋_GB2312" w:hAnsi="仿宋_GB2312" w:eastAsia="仿宋_GB2312" w:cs="仿宋_GB2312"/>
          <w:spacing w:val="-2"/>
          <w:w w:val="95"/>
          <w:sz w:val="32"/>
          <w:szCs w:val="32"/>
        </w:rPr>
        <w:t>在线解答各区（新区）提出的问题，并为入户调查员提供软件操作和网络技术支持；</w:t>
      </w:r>
    </w:p>
    <w:p w14:paraId="67C1371A">
      <w:pPr>
        <w:keepNext w:val="0"/>
        <w:keepLines w:val="0"/>
        <w:pageBreakBefore w:val="0"/>
        <w:widowControl/>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lang w:eastAsia="zh-CN"/>
        </w:rPr>
        <w:t>2.</w:t>
      </w:r>
      <w:r>
        <w:rPr>
          <w:rFonts w:hint="eastAsia" w:ascii="仿宋_GB2312" w:hAnsi="仿宋_GB2312" w:eastAsia="仿宋_GB2312" w:cs="仿宋_GB2312"/>
          <w:spacing w:val="-2"/>
          <w:w w:val="95"/>
          <w:sz w:val="32"/>
          <w:szCs w:val="32"/>
        </w:rPr>
        <w:t>以第三方身份对全市10个区（新区）以现场考察或网络调查的方式进行数据采集质量的监督和评估</w:t>
      </w:r>
      <w:r>
        <w:rPr>
          <w:rFonts w:hint="eastAsia" w:ascii="仿宋_GB2312" w:hAnsi="仿宋_GB2312" w:eastAsia="仿宋_GB2312" w:cs="仿宋_GB2312"/>
          <w:spacing w:val="-2"/>
          <w:w w:val="95"/>
          <w:sz w:val="32"/>
          <w:szCs w:val="32"/>
          <w:lang w:eastAsia="zh-CN"/>
        </w:rPr>
        <w:t>，</w:t>
      </w:r>
      <w:r>
        <w:rPr>
          <w:rFonts w:hint="eastAsia" w:ascii="仿宋_GB2312" w:hAnsi="仿宋_GB2312" w:eastAsia="仿宋_GB2312" w:cs="仿宋_GB2312"/>
          <w:spacing w:val="-2"/>
          <w:w w:val="95"/>
          <w:sz w:val="32"/>
          <w:szCs w:val="32"/>
          <w:lang w:val="en-US" w:eastAsia="zh-CN"/>
        </w:rPr>
        <w:t>对每个区（新区）随机抽取3%的调查人员进行电话回访</w:t>
      </w:r>
      <w:r>
        <w:rPr>
          <w:rFonts w:hint="eastAsia" w:ascii="仿宋_GB2312" w:hAnsi="仿宋_GB2312" w:eastAsia="仿宋_GB2312" w:cs="仿宋_GB2312"/>
          <w:spacing w:val="-2"/>
          <w:w w:val="95"/>
          <w:sz w:val="32"/>
          <w:szCs w:val="32"/>
        </w:rPr>
        <w:t>；</w:t>
      </w:r>
    </w:p>
    <w:p w14:paraId="0912663B">
      <w:pPr>
        <w:keepNext w:val="0"/>
        <w:keepLines w:val="0"/>
        <w:pageBreakBefore w:val="0"/>
        <w:widowControl/>
        <w:tabs>
          <w:tab w:val="left" w:pos="1923"/>
        </w:tabs>
        <w:kinsoku w:val="0"/>
        <w:wordWrap/>
        <w:overflowPunct w:val="0"/>
        <w:topLinePunct w:val="0"/>
        <w:autoSpaceDE w:val="0"/>
        <w:autoSpaceDN w:val="0"/>
        <w:bidi w:val="0"/>
        <w:adjustRightInd w:val="0"/>
        <w:snapToGrid/>
        <w:spacing w:line="560" w:lineRule="exact"/>
        <w:ind w:firstLine="600" w:firstLineChars="200"/>
        <w:jc w:val="left"/>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lang w:eastAsia="zh-CN"/>
        </w:rPr>
        <w:t>3.</w:t>
      </w:r>
      <w:r>
        <w:rPr>
          <w:rFonts w:hint="eastAsia" w:ascii="仿宋_GB2312" w:hAnsi="仿宋_GB2312" w:eastAsia="仿宋_GB2312" w:cs="仿宋_GB2312"/>
          <w:spacing w:val="-2"/>
          <w:w w:val="95"/>
          <w:sz w:val="32"/>
          <w:szCs w:val="32"/>
        </w:rPr>
        <w:t>核实当年度全市各区（新区）上报的采集数据，按照登记表指标项的逻辑关系进行差异性和可信度分析，数据核查覆盖面需要达到</w:t>
      </w:r>
      <w:r>
        <w:rPr>
          <w:rFonts w:hint="eastAsia" w:ascii="仿宋_GB2312" w:hAnsi="仿宋_GB2312" w:eastAsia="仿宋_GB2312" w:cs="仿宋_GB2312"/>
          <w:spacing w:val="-2"/>
          <w:w w:val="95"/>
          <w:sz w:val="32"/>
          <w:szCs w:val="32"/>
          <w:lang w:val="en"/>
        </w:rPr>
        <w:t>9</w:t>
      </w:r>
      <w:r>
        <w:rPr>
          <w:rFonts w:hint="eastAsia" w:ascii="仿宋_GB2312" w:hAnsi="仿宋_GB2312" w:eastAsia="仿宋_GB2312" w:cs="仿宋_GB2312"/>
          <w:spacing w:val="-2"/>
          <w:w w:val="95"/>
          <w:sz w:val="32"/>
          <w:szCs w:val="32"/>
        </w:rPr>
        <w:t>0%及以上；</w:t>
      </w:r>
    </w:p>
    <w:p w14:paraId="00ABFE22">
      <w:pPr>
        <w:keepNext w:val="0"/>
        <w:keepLines w:val="0"/>
        <w:pageBreakBefore w:val="0"/>
        <w:widowControl/>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rPr>
        <w:t>4.将202</w:t>
      </w:r>
      <w:r>
        <w:rPr>
          <w:rFonts w:hint="eastAsia" w:ascii="仿宋_GB2312" w:hAnsi="仿宋_GB2312" w:eastAsia="仿宋_GB2312" w:cs="仿宋_GB2312"/>
          <w:spacing w:val="-2"/>
          <w:w w:val="95"/>
          <w:sz w:val="32"/>
          <w:szCs w:val="32"/>
          <w:lang w:val="en-US" w:eastAsia="zh-CN"/>
        </w:rPr>
        <w:t>6</w:t>
      </w:r>
      <w:r>
        <w:rPr>
          <w:rFonts w:hint="eastAsia" w:ascii="仿宋_GB2312" w:hAnsi="仿宋_GB2312" w:eastAsia="仿宋_GB2312" w:cs="仿宋_GB2312"/>
          <w:spacing w:val="-2"/>
          <w:w w:val="95"/>
          <w:sz w:val="32"/>
          <w:szCs w:val="32"/>
        </w:rPr>
        <w:t>年的全市数据与往年的历史数据进行合并分析，</w:t>
      </w:r>
      <w:r>
        <w:rPr>
          <w:rFonts w:hint="eastAsia" w:ascii="仿宋_GB2312" w:hAnsi="仿宋_GB2312" w:eastAsia="仿宋_GB2312" w:cs="仿宋_GB2312"/>
          <w:spacing w:val="-2"/>
          <w:w w:val="95"/>
          <w:sz w:val="32"/>
          <w:szCs w:val="32"/>
          <w:lang w:eastAsia="zh-CN"/>
        </w:rPr>
        <w:t>为</w:t>
      </w:r>
      <w:r>
        <w:rPr>
          <w:rFonts w:hint="eastAsia" w:ascii="仿宋_GB2312" w:hAnsi="仿宋_GB2312" w:eastAsia="仿宋_GB2312" w:cs="仿宋_GB2312"/>
          <w:spacing w:val="-2"/>
          <w:w w:val="95"/>
          <w:sz w:val="32"/>
          <w:szCs w:val="32"/>
        </w:rPr>
        <w:t>撰写深圳市持证残疾人状况调查第三方评估报告</w:t>
      </w:r>
      <w:r>
        <w:rPr>
          <w:rFonts w:hint="eastAsia" w:ascii="仿宋_GB2312" w:hAnsi="仿宋_GB2312" w:eastAsia="仿宋_GB2312" w:cs="仿宋_GB2312"/>
          <w:spacing w:val="-2"/>
          <w:w w:val="95"/>
          <w:sz w:val="32"/>
          <w:szCs w:val="32"/>
          <w:lang w:eastAsia="zh-CN"/>
        </w:rPr>
        <w:t>提供素材</w:t>
      </w:r>
      <w:r>
        <w:rPr>
          <w:rFonts w:hint="eastAsia" w:ascii="仿宋_GB2312" w:hAnsi="仿宋_GB2312" w:eastAsia="仿宋_GB2312" w:cs="仿宋_GB2312"/>
          <w:spacing w:val="-2"/>
          <w:w w:val="95"/>
          <w:sz w:val="32"/>
          <w:szCs w:val="32"/>
        </w:rPr>
        <w:t>，并提出关于我市残疾人工作合理化的政策建议。</w:t>
      </w:r>
    </w:p>
    <w:p w14:paraId="295FBDD6">
      <w:pPr>
        <w:keepNext w:val="0"/>
        <w:keepLines w:val="0"/>
        <w:pageBreakBefore w:val="0"/>
        <w:widowControl/>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黑体" w:hAnsi="黑体" w:eastAsia="黑体" w:cs="黑体"/>
          <w:spacing w:val="-2"/>
          <w:w w:val="95"/>
          <w:sz w:val="32"/>
          <w:szCs w:val="32"/>
        </w:rPr>
      </w:pPr>
      <w:r>
        <w:rPr>
          <w:rFonts w:hint="eastAsia" w:ascii="黑体" w:hAnsi="黑体" w:eastAsia="黑体" w:cs="黑体"/>
          <w:spacing w:val="-2"/>
          <w:w w:val="95"/>
          <w:sz w:val="32"/>
          <w:szCs w:val="32"/>
        </w:rPr>
        <w:t>三、供应商资格要求</w:t>
      </w:r>
    </w:p>
    <w:p w14:paraId="77A37626">
      <w:pPr>
        <w:keepNext w:val="0"/>
        <w:keepLines w:val="0"/>
        <w:pageBreakBefore w:val="0"/>
        <w:widowControl/>
        <w:wordWrap/>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1.具有独立法人。</w:t>
      </w:r>
    </w:p>
    <w:p w14:paraId="1F90C741">
      <w:pPr>
        <w:keepNext w:val="0"/>
        <w:keepLines w:val="0"/>
        <w:pageBreakBefore w:val="0"/>
        <w:widowControl/>
        <w:wordWrap/>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参加本项目投标前三年内，在经营活动中没有重大违法记录。违法记录的认定标准为在公开网站能查到的被财政部门处理（或处罚）而处于暂停政府采购资格期的或处于暂停承接业务资格期的；或被行业主管部门处罚处于暂停承接业务资格期的；或被政府采购监管部门列入不良行为还在公示期内的或者处于暂停政府采购资格期的。</w:t>
      </w:r>
    </w:p>
    <w:p w14:paraId="46E36D4B">
      <w:pPr>
        <w:keepNext w:val="0"/>
        <w:keepLines w:val="0"/>
        <w:pageBreakBefore w:val="0"/>
        <w:widowControl/>
        <w:wordWrap/>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3.经验范围包含曾经有过党政机关关于调查数据分析评估指导方面服务的投标单位优先考虑。</w:t>
      </w:r>
    </w:p>
    <w:p w14:paraId="67E02AE7">
      <w:pPr>
        <w:keepNext w:val="0"/>
        <w:keepLines w:val="0"/>
        <w:pageBreakBefore w:val="0"/>
        <w:widowControl/>
        <w:wordWrap/>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4.本项目不接受联合体投标，不允许分包或转包。</w:t>
      </w:r>
    </w:p>
    <w:p w14:paraId="69E7D03F">
      <w:pPr>
        <w:keepNext w:val="0"/>
        <w:keepLines w:val="0"/>
        <w:pageBreakBefore w:val="0"/>
        <w:widowControl/>
        <w:numPr>
          <w:ilvl w:val="0"/>
          <w:numId w:val="0"/>
        </w:numPr>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黑体" w:hAnsi="黑体" w:eastAsia="黑体" w:cs="黑体"/>
          <w:spacing w:val="-2"/>
          <w:w w:val="95"/>
          <w:sz w:val="32"/>
          <w:szCs w:val="32"/>
        </w:rPr>
      </w:pPr>
      <w:r>
        <w:rPr>
          <w:rFonts w:hint="eastAsia" w:ascii="黑体" w:hAnsi="黑体" w:eastAsia="黑体" w:cs="黑体"/>
          <w:spacing w:val="-2"/>
          <w:w w:val="95"/>
          <w:sz w:val="32"/>
          <w:szCs w:val="32"/>
          <w:lang w:val="en-US" w:eastAsia="zh-CN"/>
        </w:rPr>
        <w:t>四、</w:t>
      </w:r>
      <w:r>
        <w:rPr>
          <w:rFonts w:hint="eastAsia" w:ascii="黑体" w:hAnsi="黑体" w:eastAsia="黑体" w:cs="黑体"/>
          <w:spacing w:val="-2"/>
          <w:w w:val="95"/>
          <w:sz w:val="32"/>
          <w:szCs w:val="32"/>
        </w:rPr>
        <w:t>评标定标方法</w:t>
      </w:r>
    </w:p>
    <w:p w14:paraId="3AE31FA6">
      <w:pPr>
        <w:keepNext w:val="0"/>
        <w:keepLines w:val="0"/>
        <w:pageBreakBefore w:val="0"/>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rPr>
        <w:t>采用票决法。</w:t>
      </w:r>
    </w:p>
    <w:p w14:paraId="2A1F1278">
      <w:pPr>
        <w:keepNext w:val="0"/>
        <w:keepLines w:val="0"/>
        <w:pageBreakBefore w:val="0"/>
        <w:widowControl/>
        <w:numPr>
          <w:ilvl w:val="0"/>
          <w:numId w:val="0"/>
        </w:numPr>
        <w:tabs>
          <w:tab w:val="left" w:pos="1923"/>
        </w:tabs>
        <w:kinsoku w:val="0"/>
        <w:wordWrap/>
        <w:overflowPunct w:val="0"/>
        <w:topLinePunct w:val="0"/>
        <w:autoSpaceDE w:val="0"/>
        <w:autoSpaceDN w:val="0"/>
        <w:bidi w:val="0"/>
        <w:adjustRightInd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黑体" w:hAnsi="黑体" w:eastAsia="黑体" w:cs="黑体"/>
          <w:spacing w:val="-2"/>
          <w:w w:val="95"/>
          <w:sz w:val="32"/>
          <w:szCs w:val="32"/>
          <w:lang w:val="en-US" w:eastAsia="zh-CN"/>
        </w:rPr>
        <w:t>五、</w:t>
      </w:r>
      <w:r>
        <w:rPr>
          <w:rFonts w:hint="eastAsia" w:ascii="黑体" w:hAnsi="黑体" w:eastAsia="黑体" w:cs="黑体"/>
          <w:spacing w:val="-2"/>
          <w:w w:val="95"/>
          <w:sz w:val="32"/>
          <w:szCs w:val="32"/>
        </w:rPr>
        <w:t>商务需求</w:t>
      </w:r>
    </w:p>
    <w:p w14:paraId="54B65326">
      <w:pPr>
        <w:keepNext w:val="0"/>
        <w:keepLines w:val="0"/>
        <w:pageBreakBefore w:val="0"/>
        <w:widowControl/>
        <w:wordWrap/>
        <w:topLinePunct w:val="0"/>
        <w:bidi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rPr>
        <w:t>（一）服务期：</w:t>
      </w:r>
      <w:r>
        <w:rPr>
          <w:rFonts w:hint="eastAsia" w:ascii="仿宋_GB2312" w:hAnsi="仿宋_GB2312" w:eastAsia="仿宋_GB2312" w:cs="仿宋_GB2312"/>
          <w:spacing w:val="-2"/>
          <w:w w:val="95"/>
          <w:sz w:val="32"/>
          <w:szCs w:val="32"/>
          <w:lang w:val="en-US" w:eastAsia="zh-CN"/>
        </w:rPr>
        <w:t>自合同签订之</w:t>
      </w:r>
      <w:r>
        <w:rPr>
          <w:rFonts w:hint="eastAsia" w:ascii="仿宋_GB2312" w:hAnsi="仿宋_GB2312" w:eastAsia="仿宋_GB2312" w:cs="仿宋_GB2312"/>
          <w:spacing w:val="-2"/>
          <w:w w:val="95"/>
          <w:sz w:val="32"/>
          <w:szCs w:val="32"/>
        </w:rPr>
        <w:t>日起至</w:t>
      </w:r>
      <w:r>
        <w:rPr>
          <w:rFonts w:hint="eastAsia" w:ascii="仿宋_GB2312" w:hAnsi="仿宋_GB2312" w:eastAsia="仿宋_GB2312" w:cs="仿宋_GB2312"/>
          <w:spacing w:val="-2"/>
          <w:w w:val="95"/>
          <w:sz w:val="32"/>
          <w:szCs w:val="32"/>
          <w:lang w:val="en-US" w:eastAsia="zh-CN"/>
        </w:rPr>
        <w:t>服务完成（不超过</w:t>
      </w:r>
      <w:r>
        <w:rPr>
          <w:rFonts w:hint="eastAsia" w:ascii="仿宋_GB2312" w:hAnsi="仿宋_GB2312" w:eastAsia="仿宋_GB2312" w:cs="仿宋_GB2312"/>
          <w:spacing w:val="-2"/>
          <w:w w:val="95"/>
          <w:sz w:val="32"/>
          <w:szCs w:val="32"/>
        </w:rPr>
        <w:t>202</w:t>
      </w:r>
      <w:r>
        <w:rPr>
          <w:rFonts w:hint="eastAsia" w:ascii="仿宋_GB2312" w:hAnsi="仿宋_GB2312" w:eastAsia="仿宋_GB2312" w:cs="仿宋_GB2312"/>
          <w:spacing w:val="-2"/>
          <w:w w:val="95"/>
          <w:sz w:val="32"/>
          <w:szCs w:val="32"/>
          <w:lang w:val="en-US" w:eastAsia="zh-CN"/>
        </w:rPr>
        <w:t>6</w:t>
      </w:r>
      <w:r>
        <w:rPr>
          <w:rFonts w:hint="eastAsia" w:ascii="仿宋_GB2312" w:hAnsi="仿宋_GB2312" w:eastAsia="仿宋_GB2312" w:cs="仿宋_GB2312"/>
          <w:spacing w:val="-2"/>
          <w:w w:val="95"/>
          <w:sz w:val="32"/>
          <w:szCs w:val="32"/>
        </w:rPr>
        <w:t>年12月31日</w:t>
      </w:r>
      <w:r>
        <w:rPr>
          <w:rFonts w:hint="eastAsia" w:ascii="仿宋_GB2312" w:hAnsi="仿宋_GB2312" w:eastAsia="仿宋_GB2312" w:cs="仿宋_GB2312"/>
          <w:spacing w:val="-2"/>
          <w:w w:val="95"/>
          <w:sz w:val="32"/>
          <w:szCs w:val="32"/>
          <w:lang w:eastAsia="zh-CN"/>
        </w:rPr>
        <w:t>）</w:t>
      </w:r>
      <w:r>
        <w:rPr>
          <w:rFonts w:hint="eastAsia" w:ascii="仿宋_GB2312" w:hAnsi="仿宋_GB2312" w:eastAsia="仿宋_GB2312" w:cs="仿宋_GB2312"/>
          <w:spacing w:val="-2"/>
          <w:w w:val="95"/>
          <w:sz w:val="32"/>
          <w:szCs w:val="32"/>
        </w:rPr>
        <w:t>。</w:t>
      </w:r>
    </w:p>
    <w:p w14:paraId="6968F684">
      <w:pPr>
        <w:keepNext w:val="0"/>
        <w:keepLines w:val="0"/>
        <w:pageBreakBefore w:val="0"/>
        <w:widowControl/>
        <w:wordWrap/>
        <w:topLinePunct w:val="0"/>
        <w:bidi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rPr>
        <w:t>（二）服务地点：深圳市。</w:t>
      </w:r>
    </w:p>
    <w:p w14:paraId="6BAC129D">
      <w:pPr>
        <w:keepNext w:val="0"/>
        <w:keepLines w:val="0"/>
        <w:pageBreakBefore w:val="0"/>
        <w:widowControl/>
        <w:wordWrap/>
        <w:topLinePunct w:val="0"/>
        <w:bidi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rPr>
        <w:t>（三）保密要求：签署保密协议，保守本单位的秘密</w:t>
      </w:r>
      <w:r>
        <w:rPr>
          <w:rFonts w:hint="eastAsia" w:ascii="仿宋_GB2312" w:hAnsi="仿宋_GB2312" w:eastAsia="仿宋_GB2312" w:cs="仿宋_GB2312"/>
          <w:spacing w:val="-2"/>
          <w:w w:val="95"/>
          <w:sz w:val="32"/>
          <w:szCs w:val="32"/>
          <w:lang w:eastAsia="zh-CN"/>
        </w:rPr>
        <w:t>，</w:t>
      </w:r>
      <w:r>
        <w:rPr>
          <w:rFonts w:hint="eastAsia" w:ascii="仿宋_GB2312" w:hAnsi="仿宋_GB2312" w:eastAsia="仿宋_GB2312" w:cs="仿宋_GB2312"/>
          <w:spacing w:val="-2"/>
          <w:w w:val="95"/>
          <w:sz w:val="32"/>
          <w:szCs w:val="32"/>
        </w:rPr>
        <w:t>除法律规定和单位领导人同意外</w:t>
      </w:r>
      <w:r>
        <w:rPr>
          <w:rFonts w:hint="eastAsia" w:ascii="仿宋_GB2312" w:hAnsi="仿宋_GB2312" w:eastAsia="仿宋_GB2312" w:cs="仿宋_GB2312"/>
          <w:spacing w:val="-2"/>
          <w:w w:val="95"/>
          <w:sz w:val="32"/>
          <w:szCs w:val="32"/>
          <w:lang w:eastAsia="zh-CN"/>
        </w:rPr>
        <w:t>，</w:t>
      </w:r>
      <w:r>
        <w:rPr>
          <w:rFonts w:hint="eastAsia" w:ascii="仿宋_GB2312" w:hAnsi="仿宋_GB2312" w:eastAsia="仿宋_GB2312" w:cs="仿宋_GB2312"/>
          <w:spacing w:val="-2"/>
          <w:w w:val="95"/>
          <w:sz w:val="32"/>
          <w:szCs w:val="32"/>
        </w:rPr>
        <w:t>不得私自向外界提供或者泄露本单位的政务信息和残疾人个人信息。</w:t>
      </w:r>
    </w:p>
    <w:p w14:paraId="041AE62A">
      <w:pPr>
        <w:keepNext w:val="0"/>
        <w:keepLines w:val="0"/>
        <w:pageBreakBefore w:val="0"/>
        <w:widowControl/>
        <w:wordWrap/>
        <w:topLinePunct w:val="0"/>
        <w:bidi w:val="0"/>
        <w:snapToGrid/>
        <w:spacing w:line="560" w:lineRule="exact"/>
        <w:ind w:firstLine="600" w:firstLineChars="200"/>
        <w:textAlignment w:val="auto"/>
        <w:rPr>
          <w:rFonts w:hint="eastAsia" w:ascii="仿宋_GB2312" w:hAnsi="仿宋_GB2312" w:eastAsia="仿宋_GB2312" w:cs="仿宋_GB2312"/>
          <w:spacing w:val="-2"/>
          <w:w w:val="95"/>
          <w:sz w:val="32"/>
          <w:szCs w:val="32"/>
        </w:rPr>
      </w:pPr>
      <w:r>
        <w:rPr>
          <w:rFonts w:hint="eastAsia" w:ascii="仿宋_GB2312" w:hAnsi="仿宋_GB2312" w:eastAsia="仿宋_GB2312" w:cs="仿宋_GB2312"/>
          <w:spacing w:val="-2"/>
          <w:w w:val="95"/>
          <w:sz w:val="32"/>
          <w:szCs w:val="32"/>
        </w:rPr>
        <w:t>（四）违约责任：以合同签订的违约责任确定。</w:t>
      </w:r>
    </w:p>
    <w:p w14:paraId="3D5AEB18">
      <w:pPr>
        <w:bidi w:val="0"/>
        <w:rPr>
          <w:rFonts w:hint="eastAsia" w:ascii="Times New Roman" w:hAnsi="Times New Roman" w:eastAsia="宋体" w:cs="Times New Roman"/>
          <w:kern w:val="2"/>
          <w:sz w:val="21"/>
          <w:szCs w:val="22"/>
          <w:lang w:val="en-US" w:eastAsia="zh-CN" w:bidi="ar-SA"/>
        </w:rPr>
      </w:pPr>
    </w:p>
    <w:p w14:paraId="50904C35">
      <w:pPr>
        <w:bidi w:val="0"/>
        <w:rPr>
          <w:rFonts w:hint="eastAsia"/>
          <w:lang w:val="en-US" w:eastAsia="zh-CN"/>
        </w:rPr>
      </w:pPr>
    </w:p>
    <w:p w14:paraId="037BD9E4">
      <w:pPr>
        <w:tabs>
          <w:tab w:val="left" w:pos="781"/>
        </w:tabs>
        <w:bidi w:val="0"/>
        <w:jc w:val="left"/>
        <w:rPr>
          <w:rFonts w:hint="eastAsia"/>
          <w:lang w:val="en-US" w:eastAsia="zh-CN"/>
        </w:rPr>
      </w:pPr>
    </w:p>
    <w:p w14:paraId="2B05B792">
      <w:pPr>
        <w:tabs>
          <w:tab w:val="left" w:pos="781"/>
        </w:tabs>
        <w:bidi w:val="0"/>
        <w:jc w:val="left"/>
        <w:rPr>
          <w:rFonts w:hint="eastAsia"/>
          <w:lang w:val="en-US" w:eastAsia="zh-CN"/>
        </w:rPr>
      </w:pPr>
    </w:p>
    <w:p w14:paraId="2818DAFC">
      <w:pPr>
        <w:tabs>
          <w:tab w:val="left" w:pos="781"/>
        </w:tabs>
        <w:bidi w:val="0"/>
        <w:jc w:val="left"/>
        <w:rPr>
          <w:rFonts w:hint="eastAsia"/>
          <w:lang w:val="en-US" w:eastAsia="zh-CN"/>
        </w:rPr>
      </w:pPr>
    </w:p>
    <w:p w14:paraId="539011CD">
      <w:pPr>
        <w:tabs>
          <w:tab w:val="left" w:pos="781"/>
        </w:tabs>
        <w:bidi w:val="0"/>
        <w:jc w:val="left"/>
        <w:rPr>
          <w:rFonts w:hint="eastAsia"/>
          <w:lang w:val="en-US" w:eastAsia="zh-CN"/>
        </w:rPr>
      </w:pPr>
    </w:p>
    <w:p w14:paraId="01027004">
      <w:pPr>
        <w:tabs>
          <w:tab w:val="left" w:pos="781"/>
        </w:tabs>
        <w:bidi w:val="0"/>
        <w:jc w:val="left"/>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F40E6">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8048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98048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315BA"/>
    <w:rsid w:val="08C160AA"/>
    <w:rsid w:val="1A612B29"/>
    <w:rsid w:val="20BC145D"/>
    <w:rsid w:val="2D262FB5"/>
    <w:rsid w:val="32CB4565"/>
    <w:rsid w:val="39D154F7"/>
    <w:rsid w:val="466B1048"/>
    <w:rsid w:val="4B8D6483"/>
    <w:rsid w:val="68A62E96"/>
    <w:rsid w:val="6EAC488C"/>
    <w:rsid w:val="714F76E5"/>
    <w:rsid w:val="77A87511"/>
    <w:rsid w:val="78F13953"/>
    <w:rsid w:val="7E015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36455-d53f-465f-abde-1be20d4ad9af}">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3013</Words>
  <Characters>3091</Characters>
  <Lines>0</Lines>
  <Paragraphs>0</Paragraphs>
  <TotalTime>5</TotalTime>
  <ScaleCrop>false</ScaleCrop>
  <LinksUpToDate>false</LinksUpToDate>
  <CharactersWithSpaces>3400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A.閑雲</cp:lastModifiedBy>
  <dcterms:modified xsi:type="dcterms:W3CDTF">2026-07-03T06:55:45Z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C9AE180865D84F66BE2D44A11AE5B1F2_13</vt:lpwstr>
  </property>
  <property fmtid="{D5CDD505-2E9C-101B-9397-08002B2CF9AE}" pid="4" name="KSOTemplateDocerSaveRecord">
    <vt:lpwstr>eyJoZGlkIjoiY2IyM2M3ODQyYTVhYmRmMThiY2U0Mjc4NDQwMThmOWQiLCJ1c2VySWQiOiI4Mzc4OTEyMTQifQ==</vt:lpwstr>
  </property>
</Properties>
</file>