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31BA" w14:textId="77777777" w:rsidR="003C24A3" w:rsidRDefault="003C24A3" w:rsidP="003C24A3">
      <w:pPr>
        <w:ind w:left="960" w:hangingChars="300" w:hanging="960"/>
        <w:rPr>
          <w:rFonts w:ascii="黑体" w:eastAsia="黑体" w:hAnsi="黑体" w:cs="仿宋_GB2312"/>
          <w:bCs/>
        </w:rPr>
      </w:pPr>
      <w:r>
        <w:rPr>
          <w:rFonts w:ascii="黑体" w:eastAsia="黑体" w:hAnsi="黑体" w:cs="仿宋_GB2312" w:hint="eastAsia"/>
          <w:bCs/>
          <w:sz w:val="32"/>
          <w:szCs w:val="32"/>
        </w:rPr>
        <w:t>附件2</w:t>
      </w:r>
    </w:p>
    <w:p w14:paraId="3F137972" w14:textId="77777777" w:rsidR="003C24A3" w:rsidRDefault="003C24A3" w:rsidP="003C24A3">
      <w:pPr>
        <w:ind w:left="630" w:hangingChars="300" w:hanging="630"/>
        <w:rPr>
          <w:rFonts w:hAnsi="仿宋_GB2312" w:cs="仿宋_GB2312"/>
          <w:bCs/>
        </w:rPr>
      </w:pPr>
    </w:p>
    <w:p w14:paraId="6926F230" w14:textId="77777777" w:rsidR="003C24A3" w:rsidRDefault="003C24A3" w:rsidP="003C24A3">
      <w:pPr>
        <w:spacing w:line="500" w:lineRule="exact"/>
        <w:ind w:left="1"/>
        <w:jc w:val="center"/>
        <w:rPr>
          <w:rFonts w:ascii="方正小标宋简体" w:eastAsia="方正小标宋简体" w:hAnsiTheme="majorEastAsia" w:cstheme="majorEastAsia"/>
          <w:sz w:val="44"/>
          <w:szCs w:val="44"/>
        </w:rPr>
      </w:pPr>
      <w:r>
        <w:rPr>
          <w:rFonts w:ascii="方正小标宋简体" w:eastAsia="方正小标宋简体" w:hAnsiTheme="majorEastAsia" w:cstheme="majorEastAsia" w:hint="eastAsia"/>
          <w:sz w:val="44"/>
          <w:szCs w:val="44"/>
        </w:rPr>
        <w:t>《深圳市残疾儿童少年康复服务定点机构管理办法（征求意见稿）》起草说明</w:t>
      </w:r>
    </w:p>
    <w:p w14:paraId="16260B3C" w14:textId="77777777" w:rsidR="003C24A3" w:rsidRDefault="003C24A3" w:rsidP="003C24A3">
      <w:pPr>
        <w:adjustRightInd w:val="0"/>
        <w:spacing w:line="560" w:lineRule="exact"/>
        <w:ind w:firstLine="641"/>
        <w:rPr>
          <w:rFonts w:ascii="仿宋_GB2312" w:eastAsia="仿宋_GB2312" w:hAnsi="仿宋" w:cs="仿宋_GB2312"/>
          <w:color w:val="171717"/>
        </w:rPr>
      </w:pPr>
    </w:p>
    <w:p w14:paraId="4C89B092" w14:textId="77777777" w:rsidR="003C24A3" w:rsidRDefault="003C24A3" w:rsidP="003C24A3">
      <w:pPr>
        <w:adjustRightInd w:val="0"/>
        <w:spacing w:line="560" w:lineRule="exact"/>
        <w:ind w:firstLine="641"/>
        <w:rPr>
          <w:rFonts w:ascii="仿宋_GB2312" w:eastAsia="仿宋_GB2312" w:hAnsi="仿宋" w:cs="仿宋_GB2312"/>
        </w:rPr>
      </w:pPr>
      <w:r>
        <w:rPr>
          <w:rFonts w:ascii="仿宋_GB2312" w:eastAsia="仿宋_GB2312" w:hAnsi="仿宋" w:cs="仿宋_GB2312" w:hint="eastAsia"/>
          <w:color w:val="171717"/>
          <w:sz w:val="32"/>
          <w:szCs w:val="32"/>
        </w:rPr>
        <w:t>为加强我市残疾儿童少年康复服务定点机构（以下简称“定点机构”）规范管理，提高康复服务质量和水平，</w:t>
      </w:r>
      <w:r>
        <w:rPr>
          <w:rFonts w:ascii="仿宋_GB2312" w:eastAsia="仿宋_GB2312" w:hAnsi="仿宋" w:cs="仿宋_GB2312" w:hint="eastAsia"/>
          <w:sz w:val="32"/>
          <w:szCs w:val="32"/>
        </w:rPr>
        <w:t>我会结合实际，起草了《深圳市残疾儿童少年康复服务定点机构管理办法》</w:t>
      </w:r>
      <w:r>
        <w:rPr>
          <w:rFonts w:ascii="仿宋_GB2312" w:eastAsia="仿宋_GB2312" w:hAnsi="仿宋" w:cs="仿宋_GB2312" w:hint="eastAsia"/>
          <w:color w:val="171717"/>
          <w:sz w:val="32"/>
          <w:szCs w:val="32"/>
        </w:rPr>
        <w:t>（以下简称“《办法》”）</w:t>
      </w:r>
      <w:r>
        <w:rPr>
          <w:rFonts w:ascii="仿宋_GB2312" w:eastAsia="仿宋_GB2312" w:hAnsi="仿宋" w:cs="仿宋_GB2312" w:hint="eastAsia"/>
          <w:sz w:val="32"/>
          <w:szCs w:val="32"/>
        </w:rPr>
        <w:t>，现将有关情况说明如下：</w:t>
      </w:r>
    </w:p>
    <w:p w14:paraId="5947BE95" w14:textId="77777777" w:rsidR="003C24A3" w:rsidRDefault="003C24A3" w:rsidP="003C24A3">
      <w:pPr>
        <w:adjustRightInd w:val="0"/>
        <w:spacing w:line="560" w:lineRule="exact"/>
        <w:ind w:firstLine="641"/>
        <w:rPr>
          <w:rFonts w:ascii="黑体" w:eastAsia="黑体" w:hAnsi="黑体" w:cs="黑体"/>
        </w:rPr>
      </w:pPr>
      <w:r>
        <w:rPr>
          <w:rFonts w:ascii="黑体" w:eastAsia="黑体" w:hAnsi="黑体" w:cs="黑体" w:hint="eastAsia"/>
          <w:sz w:val="32"/>
          <w:szCs w:val="32"/>
        </w:rPr>
        <w:t>一、基本情况</w:t>
      </w:r>
    </w:p>
    <w:p w14:paraId="30674966" w14:textId="77777777" w:rsidR="003C24A3" w:rsidRDefault="003C24A3" w:rsidP="003C24A3">
      <w:pPr>
        <w:adjustRightInd w:val="0"/>
        <w:spacing w:line="560" w:lineRule="exact"/>
        <w:ind w:firstLine="641"/>
        <w:rPr>
          <w:rFonts w:ascii="仿宋_GB2312" w:eastAsia="仿宋_GB2312" w:hAnsi="仿宋" w:cs="仿宋_GB2312"/>
          <w:shd w:val="clear" w:color="auto" w:fill="FFFFFF"/>
        </w:rPr>
      </w:pPr>
      <w:r>
        <w:rPr>
          <w:rFonts w:ascii="仿宋_GB2312" w:eastAsia="仿宋_GB2312" w:hAnsi="仿宋" w:cs="仿宋_GB2312" w:hint="eastAsia"/>
          <w:sz w:val="32"/>
          <w:szCs w:val="32"/>
          <w:shd w:val="clear" w:color="auto" w:fill="FFFFFF"/>
        </w:rPr>
        <w:t>残疾儿童康复救助制度是国务院于2018年在全国范围内建立的一项重要社会保障制度。我市是全国最早开展残疾儿童康复救助服务的城市，从2005年就开始使用福利彩票公益金资助残疾儿童接受康复服务，并于2014年率先形成制度性安排，目前康复救助对象的范围为0—18岁残疾儿童少年。</w:t>
      </w:r>
    </w:p>
    <w:p w14:paraId="05779DC8" w14:textId="77777777" w:rsidR="003C24A3" w:rsidRDefault="003C24A3" w:rsidP="003C24A3">
      <w:pPr>
        <w:adjustRightInd w:val="0"/>
        <w:spacing w:line="560" w:lineRule="exact"/>
        <w:ind w:firstLine="641"/>
        <w:rPr>
          <w:rFonts w:ascii="仿宋_GB2312" w:eastAsia="仿宋_GB2312" w:hAnsi="仿宋" w:cs="仿宋_GB2312"/>
          <w:color w:val="171717"/>
        </w:rPr>
      </w:pPr>
      <w:r>
        <w:rPr>
          <w:rFonts w:ascii="仿宋_GB2312" w:eastAsia="仿宋_GB2312" w:hAnsi="仿宋" w:cs="仿宋_GB2312" w:hint="eastAsia"/>
          <w:sz w:val="32"/>
          <w:szCs w:val="32"/>
          <w:shd w:val="clear" w:color="auto" w:fill="FFFFFF"/>
        </w:rPr>
        <w:t>为加强我市残疾儿童少年康复工作，2011年我会出台</w:t>
      </w:r>
      <w:r>
        <w:rPr>
          <w:rFonts w:ascii="仿宋_GB2312" w:eastAsia="仿宋_GB2312" w:hAnsi="仿宋" w:cs="仿宋_GB2312" w:hint="eastAsia"/>
          <w:color w:val="171717"/>
          <w:sz w:val="32"/>
          <w:szCs w:val="32"/>
        </w:rPr>
        <w:t>《深圳市残疾人康复服务机构评审办法》（</w:t>
      </w:r>
      <w:proofErr w:type="gramStart"/>
      <w:r>
        <w:rPr>
          <w:rFonts w:ascii="仿宋_GB2312" w:eastAsia="仿宋_GB2312" w:hAnsi="仿宋" w:cs="仿宋_GB2312" w:hint="eastAsia"/>
          <w:color w:val="171717"/>
          <w:sz w:val="32"/>
          <w:szCs w:val="32"/>
        </w:rPr>
        <w:t>深残发</w:t>
      </w:r>
      <w:proofErr w:type="gramEnd"/>
      <w:r>
        <w:rPr>
          <w:rFonts w:ascii="仿宋_GB2312" w:eastAsia="仿宋_GB2312" w:hAnsi="仿宋" w:cs="仿宋_GB2312" w:hint="eastAsia"/>
          <w:color w:val="171717"/>
          <w:sz w:val="32"/>
          <w:szCs w:val="32"/>
        </w:rPr>
        <w:t>〔2011〕90号）</w:t>
      </w:r>
      <w:r>
        <w:rPr>
          <w:rFonts w:ascii="仿宋_GB2312" w:eastAsia="仿宋_GB2312" w:hAnsi="仿宋" w:cs="仿宋_GB2312" w:hint="eastAsia"/>
          <w:sz w:val="32"/>
          <w:szCs w:val="32"/>
          <w:shd w:val="clear" w:color="auto" w:fill="FFFFFF"/>
        </w:rPr>
        <w:t>，建立了定点机构评审机制，并于2014年进行修订形成</w:t>
      </w:r>
      <w:r>
        <w:rPr>
          <w:rFonts w:ascii="仿宋_GB2312" w:eastAsia="仿宋_GB2312" w:hAnsi="仿宋" w:cs="仿宋_GB2312" w:hint="eastAsia"/>
          <w:color w:val="171717"/>
          <w:sz w:val="32"/>
          <w:szCs w:val="32"/>
        </w:rPr>
        <w:t>《深圳市残疾人康复服务机构评审办法》（</w:t>
      </w:r>
      <w:proofErr w:type="gramStart"/>
      <w:r>
        <w:rPr>
          <w:rFonts w:ascii="仿宋_GB2312" w:eastAsia="仿宋_GB2312" w:hAnsi="仿宋" w:cs="仿宋_GB2312" w:hint="eastAsia"/>
          <w:color w:val="171717"/>
          <w:sz w:val="32"/>
          <w:szCs w:val="32"/>
        </w:rPr>
        <w:t>深残发</w:t>
      </w:r>
      <w:proofErr w:type="gramEnd"/>
      <w:r>
        <w:rPr>
          <w:rFonts w:ascii="仿宋_GB2312" w:eastAsia="仿宋_GB2312" w:hAnsi="仿宋" w:cs="仿宋_GB2312" w:hint="eastAsia"/>
          <w:color w:val="171717"/>
          <w:sz w:val="32"/>
          <w:szCs w:val="32"/>
        </w:rPr>
        <w:t>〔2014〕80号）</w:t>
      </w:r>
      <w:r>
        <w:rPr>
          <w:rFonts w:ascii="仿宋_GB2312" w:eastAsia="仿宋_GB2312" w:hAnsi="仿宋" w:cs="仿宋_GB2312" w:hint="eastAsia"/>
          <w:sz w:val="32"/>
          <w:szCs w:val="32"/>
          <w:shd w:val="clear" w:color="auto" w:fill="FFFFFF"/>
        </w:rPr>
        <w:t>。政策实施10年以来，我市逐步建立了制度化、社会化、市场化的残疾儿童少年康复服务工作机制，培育发展了一批定点机构。</w:t>
      </w:r>
      <w:r>
        <w:rPr>
          <w:rFonts w:ascii="仿宋_GB2312" w:eastAsia="仿宋_GB2312" w:hAnsi="仿宋" w:cs="仿宋_GB2312" w:hint="eastAsia"/>
          <w:color w:val="171717"/>
          <w:sz w:val="32"/>
          <w:szCs w:val="32"/>
        </w:rPr>
        <w:t>据统计，截至2021年6月，我市定点机构共计155家，其中，公办机构34家，民办121家，</w:t>
      </w:r>
      <w:r>
        <w:rPr>
          <w:rFonts w:ascii="仿宋_GB2312" w:eastAsia="仿宋_GB2312" w:hAnsi="仿宋" w:cs="仿宋_GB2312" w:hint="eastAsia"/>
          <w:sz w:val="32"/>
          <w:szCs w:val="32"/>
        </w:rPr>
        <w:t>从业人员3013人，</w:t>
      </w:r>
      <w:r>
        <w:rPr>
          <w:rFonts w:ascii="仿宋_GB2312" w:eastAsia="仿宋_GB2312" w:hAnsi="仿宋" w:cs="仿宋_GB2312" w:hint="eastAsia"/>
          <w:color w:val="171717"/>
          <w:sz w:val="32"/>
          <w:szCs w:val="32"/>
        </w:rPr>
        <w:t>涉及到6个服务类别共302个服务资格，机</w:t>
      </w:r>
      <w:r>
        <w:rPr>
          <w:rFonts w:ascii="仿宋_GB2312" w:eastAsia="仿宋_GB2312" w:hAnsi="仿宋" w:cs="仿宋_GB2312" w:hint="eastAsia"/>
          <w:color w:val="171717"/>
          <w:sz w:val="32"/>
          <w:szCs w:val="32"/>
        </w:rPr>
        <w:lastRenderedPageBreak/>
        <w:t>构分布情况详见表1。</w:t>
      </w:r>
    </w:p>
    <w:tbl>
      <w:tblPr>
        <w:tblpPr w:leftFromText="180" w:rightFromText="180" w:vertAnchor="text" w:horzAnchor="page" w:tblpX="1060" w:tblpY="165"/>
        <w:tblOverlap w:val="never"/>
        <w:tblW w:w="10160" w:type="dxa"/>
        <w:tblLayout w:type="fixed"/>
        <w:tblLook w:val="04A0" w:firstRow="1" w:lastRow="0" w:firstColumn="1" w:lastColumn="0" w:noHBand="0" w:noVBand="1"/>
      </w:tblPr>
      <w:tblGrid>
        <w:gridCol w:w="616"/>
        <w:gridCol w:w="1016"/>
        <w:gridCol w:w="627"/>
        <w:gridCol w:w="627"/>
        <w:gridCol w:w="819"/>
        <w:gridCol w:w="819"/>
        <w:gridCol w:w="819"/>
        <w:gridCol w:w="819"/>
        <w:gridCol w:w="819"/>
        <w:gridCol w:w="700"/>
        <w:gridCol w:w="814"/>
        <w:gridCol w:w="745"/>
        <w:gridCol w:w="920"/>
      </w:tblGrid>
      <w:tr w:rsidR="003C24A3" w14:paraId="4D2F1FB3" w14:textId="77777777" w:rsidTr="00D0175D">
        <w:trPr>
          <w:trHeight w:val="612"/>
        </w:trPr>
        <w:tc>
          <w:tcPr>
            <w:tcW w:w="616" w:type="dxa"/>
            <w:tcBorders>
              <w:top w:val="nil"/>
              <w:left w:val="nil"/>
              <w:bottom w:val="nil"/>
              <w:right w:val="nil"/>
            </w:tcBorders>
            <w:vAlign w:val="center"/>
          </w:tcPr>
          <w:p w14:paraId="58ECBF52" w14:textId="77777777" w:rsidR="003C24A3" w:rsidRDefault="003C24A3" w:rsidP="00D0175D">
            <w:pPr>
              <w:ind w:firstLine="440"/>
              <w:rPr>
                <w:rFonts w:ascii="宋体" w:eastAsia="宋体" w:hAnsi="宋体" w:cs="宋体"/>
                <w:color w:val="000000"/>
                <w:sz w:val="22"/>
                <w:szCs w:val="22"/>
              </w:rPr>
            </w:pPr>
          </w:p>
        </w:tc>
        <w:tc>
          <w:tcPr>
            <w:tcW w:w="9544" w:type="dxa"/>
            <w:gridSpan w:val="12"/>
            <w:tcBorders>
              <w:top w:val="nil"/>
              <w:left w:val="nil"/>
              <w:bottom w:val="nil"/>
              <w:right w:val="nil"/>
            </w:tcBorders>
            <w:vAlign w:val="center"/>
          </w:tcPr>
          <w:p w14:paraId="0D749970" w14:textId="77777777" w:rsidR="003C24A3" w:rsidRDefault="003C24A3" w:rsidP="00D0175D">
            <w:pPr>
              <w:jc w:val="center"/>
              <w:textAlignment w:val="center"/>
              <w:rPr>
                <w:rFonts w:ascii="宋体" w:eastAsia="宋体" w:hAnsi="宋体" w:cs="宋体"/>
                <w:color w:val="000000"/>
                <w:sz w:val="28"/>
                <w:szCs w:val="28"/>
              </w:rPr>
            </w:pPr>
            <w:r>
              <w:rPr>
                <w:rFonts w:ascii="宋体" w:eastAsia="宋体" w:hAnsi="宋体" w:cs="宋体" w:hint="eastAsia"/>
                <w:b/>
                <w:bCs/>
                <w:color w:val="000000"/>
                <w:kern w:val="0"/>
                <w:sz w:val="20"/>
                <w:szCs w:val="20"/>
                <w:lang w:bidi="ar"/>
              </w:rPr>
              <w:t>表1：深圳市残疾人康复服务定点机构基本情况</w:t>
            </w:r>
          </w:p>
        </w:tc>
      </w:tr>
      <w:tr w:rsidR="003C24A3" w14:paraId="43CC6D92" w14:textId="77777777" w:rsidTr="00D0175D">
        <w:trPr>
          <w:trHeight w:val="622"/>
        </w:trPr>
        <w:tc>
          <w:tcPr>
            <w:tcW w:w="616" w:type="dxa"/>
            <w:tcBorders>
              <w:top w:val="single" w:sz="4" w:space="0" w:color="000000"/>
              <w:left w:val="single" w:sz="4" w:space="0" w:color="000000"/>
              <w:bottom w:val="single" w:sz="4" w:space="0" w:color="000000"/>
              <w:right w:val="single" w:sz="4" w:space="0" w:color="000000"/>
            </w:tcBorders>
            <w:vAlign w:val="center"/>
          </w:tcPr>
          <w:p w14:paraId="23DFF0D8" w14:textId="77777777" w:rsidR="003C24A3" w:rsidRDefault="003C24A3" w:rsidP="00D0175D">
            <w:pP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序号</w:t>
            </w:r>
          </w:p>
        </w:tc>
        <w:tc>
          <w:tcPr>
            <w:tcW w:w="1016" w:type="dxa"/>
            <w:tcBorders>
              <w:top w:val="single" w:sz="4" w:space="0" w:color="000000"/>
              <w:left w:val="single" w:sz="4" w:space="0" w:color="000000"/>
              <w:bottom w:val="single" w:sz="4" w:space="0" w:color="000000"/>
              <w:right w:val="single" w:sz="4" w:space="0" w:color="000000"/>
            </w:tcBorders>
            <w:vAlign w:val="center"/>
          </w:tcPr>
          <w:p w14:paraId="612747A3" w14:textId="77777777" w:rsidR="003C24A3" w:rsidRDefault="003C24A3" w:rsidP="00D0175D">
            <w:pP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统计分类</w:t>
            </w:r>
          </w:p>
        </w:tc>
        <w:tc>
          <w:tcPr>
            <w:tcW w:w="8528" w:type="dxa"/>
            <w:gridSpan w:val="11"/>
            <w:tcBorders>
              <w:top w:val="single" w:sz="4" w:space="0" w:color="000000"/>
              <w:left w:val="single" w:sz="4" w:space="0" w:color="000000"/>
              <w:bottom w:val="single" w:sz="4" w:space="0" w:color="000000"/>
              <w:right w:val="single" w:sz="4" w:space="0" w:color="000000"/>
            </w:tcBorders>
            <w:vAlign w:val="center"/>
          </w:tcPr>
          <w:p w14:paraId="3AF428C2" w14:textId="77777777" w:rsidR="003C24A3" w:rsidRDefault="003C24A3" w:rsidP="00D0175D">
            <w:pPr>
              <w:ind w:firstLine="400"/>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基本数据</w:t>
            </w:r>
          </w:p>
        </w:tc>
      </w:tr>
      <w:tr w:rsidR="003C24A3" w14:paraId="1E15A642" w14:textId="77777777" w:rsidTr="00D0175D">
        <w:trPr>
          <w:trHeight w:val="386"/>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9464BD"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E97350" w14:textId="77777777" w:rsidR="003C24A3" w:rsidRDefault="003C24A3" w:rsidP="00D0175D">
            <w:pP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机构性质</w:t>
            </w:r>
          </w:p>
        </w:tc>
        <w:tc>
          <w:tcPr>
            <w:tcW w:w="371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5F996EE" w14:textId="77777777" w:rsidR="003C24A3" w:rsidRDefault="003C24A3" w:rsidP="00D0175D">
            <w:pPr>
              <w:ind w:firstLine="400"/>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公办</w:t>
            </w:r>
          </w:p>
        </w:tc>
        <w:tc>
          <w:tcPr>
            <w:tcW w:w="389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320249E" w14:textId="77777777" w:rsidR="003C24A3" w:rsidRDefault="003C24A3" w:rsidP="00D0175D">
            <w:pPr>
              <w:ind w:firstLine="400"/>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民办</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299A69"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合计</w:t>
            </w:r>
          </w:p>
        </w:tc>
      </w:tr>
      <w:tr w:rsidR="003C24A3" w14:paraId="0BAA5EDD" w14:textId="77777777" w:rsidTr="00D0175D">
        <w:trPr>
          <w:trHeight w:val="386"/>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97EC0C" w14:textId="77777777" w:rsidR="003C24A3" w:rsidRDefault="003C24A3" w:rsidP="00D0175D">
            <w:pPr>
              <w:ind w:firstLine="400"/>
              <w:jc w:val="center"/>
              <w:textAlignment w:val="center"/>
              <w:rPr>
                <w:rFonts w:ascii="宋体" w:eastAsia="宋体" w:hAnsi="宋体" w:cs="宋体"/>
                <w:color w:val="000000"/>
                <w:kern w:val="0"/>
                <w:sz w:val="20"/>
                <w:szCs w:val="20"/>
                <w:lang w:bidi="ar"/>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47596F" w14:textId="77777777" w:rsidR="003C24A3" w:rsidRDefault="003C24A3" w:rsidP="00D0175D">
            <w:pPr>
              <w:ind w:firstLine="400"/>
              <w:jc w:val="center"/>
              <w:textAlignment w:val="center"/>
              <w:rPr>
                <w:rFonts w:ascii="宋体" w:eastAsia="宋体" w:hAnsi="宋体" w:cs="宋体"/>
                <w:color w:val="000000"/>
                <w:kern w:val="0"/>
                <w:sz w:val="20"/>
                <w:szCs w:val="20"/>
                <w:lang w:bidi="ar"/>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3EBF55" w14:textId="77777777" w:rsidR="003C24A3" w:rsidRDefault="003C24A3" w:rsidP="00D0175D">
            <w:pPr>
              <w:ind w:firstLine="4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卫生</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EE8B5"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民政</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256E0"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教育</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B913D"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残联</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F9E09"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工商</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DEA70B" w14:textId="77777777" w:rsidR="003C24A3" w:rsidRDefault="003C24A3" w:rsidP="00D0175D">
            <w:pPr>
              <w:ind w:firstLine="400"/>
              <w:textAlignment w:val="center"/>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民非企</w:t>
            </w:r>
            <w:proofErr w:type="gramEnd"/>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ABB40CA" w14:textId="77777777" w:rsidR="003C24A3" w:rsidRDefault="003C24A3" w:rsidP="00D0175D">
            <w:pPr>
              <w:ind w:firstLine="4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卫生</w:t>
            </w:r>
          </w:p>
        </w:tc>
        <w:tc>
          <w:tcPr>
            <w:tcW w:w="9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B15F86" w14:textId="77777777" w:rsidR="003C24A3" w:rsidRDefault="003C24A3" w:rsidP="00D0175D">
            <w:pPr>
              <w:ind w:firstLine="400"/>
              <w:jc w:val="center"/>
              <w:textAlignment w:val="center"/>
              <w:rPr>
                <w:rFonts w:ascii="宋体" w:eastAsia="宋体" w:hAnsi="宋体" w:cs="宋体"/>
                <w:color w:val="000000"/>
                <w:kern w:val="0"/>
                <w:sz w:val="20"/>
                <w:szCs w:val="20"/>
                <w:lang w:bidi="ar"/>
              </w:rPr>
            </w:pPr>
          </w:p>
        </w:tc>
      </w:tr>
      <w:tr w:rsidR="003C24A3" w14:paraId="23F9263A" w14:textId="77777777" w:rsidTr="00D0175D">
        <w:trPr>
          <w:trHeight w:val="386"/>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060D31" w14:textId="77777777" w:rsidR="003C24A3" w:rsidRDefault="003C24A3" w:rsidP="00D0175D">
            <w:pPr>
              <w:ind w:firstLine="400"/>
              <w:textAlignment w:val="center"/>
              <w:rPr>
                <w:rFonts w:ascii="宋体" w:eastAsia="宋体" w:hAnsi="宋体" w:cs="宋体"/>
                <w:color w:val="000000"/>
                <w:kern w:val="0"/>
                <w:sz w:val="20"/>
                <w:szCs w:val="20"/>
                <w:lang w:bidi="ar"/>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34E086" w14:textId="77777777" w:rsidR="003C24A3" w:rsidRDefault="003C24A3" w:rsidP="00D0175D">
            <w:pPr>
              <w:ind w:firstLine="400"/>
              <w:jc w:val="center"/>
              <w:textAlignment w:val="center"/>
              <w:rPr>
                <w:rFonts w:ascii="宋体" w:eastAsia="宋体" w:hAnsi="宋体" w:cs="宋体"/>
                <w:color w:val="000000"/>
                <w:kern w:val="0"/>
                <w:sz w:val="20"/>
                <w:szCs w:val="20"/>
                <w:lang w:bidi="ar"/>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9658B5" w14:textId="77777777" w:rsidR="003C24A3" w:rsidRDefault="003C24A3" w:rsidP="00D0175D">
            <w:pPr>
              <w:ind w:firstLine="4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29</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60467"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3A56E"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E47C7"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45676"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59</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E5DD68" w14:textId="77777777" w:rsidR="003C24A3" w:rsidRDefault="003C24A3" w:rsidP="00D0175D">
            <w:pPr>
              <w:ind w:firstLineChars="300" w:firstLine="6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48</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6BD864" w14:textId="77777777" w:rsidR="003C24A3" w:rsidRDefault="003C24A3" w:rsidP="00D0175D">
            <w:pPr>
              <w:ind w:firstLineChars="300" w:firstLine="6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946AD"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155</w:t>
            </w:r>
          </w:p>
        </w:tc>
      </w:tr>
      <w:tr w:rsidR="003C24A3" w14:paraId="66A641F7" w14:textId="77777777" w:rsidTr="00D0175D">
        <w:trPr>
          <w:trHeight w:val="386"/>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3C4E92"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9F062A" w14:textId="77777777" w:rsidR="003C24A3" w:rsidRDefault="003C24A3" w:rsidP="00D0175D">
            <w:pP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地理分布</w:t>
            </w: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C4BE7"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罗湖</w:t>
            </w: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8C42C"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福田</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A8B27"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南山</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90F5C"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宝安</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F4578"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龙岗</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8C89D"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盐田</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4F579"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坪山</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E38C"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龙华</w:t>
            </w:r>
          </w:p>
        </w:tc>
        <w:tc>
          <w:tcPr>
            <w:tcW w:w="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B3B5D"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光明</w:t>
            </w:r>
          </w:p>
        </w:tc>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13FE4"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大鹏</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CF741"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合计</w:t>
            </w:r>
          </w:p>
        </w:tc>
      </w:tr>
      <w:tr w:rsidR="003C24A3" w14:paraId="28AD5739" w14:textId="77777777" w:rsidTr="00D0175D">
        <w:trPr>
          <w:trHeight w:val="386"/>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3D9A44" w14:textId="77777777" w:rsidR="003C24A3" w:rsidRDefault="003C24A3" w:rsidP="00D0175D">
            <w:pPr>
              <w:ind w:firstLine="400"/>
              <w:textAlignment w:val="center"/>
              <w:rPr>
                <w:rFonts w:ascii="宋体" w:eastAsia="宋体" w:hAnsi="宋体" w:cs="宋体"/>
                <w:color w:val="000000"/>
                <w:kern w:val="0"/>
                <w:sz w:val="20"/>
                <w:szCs w:val="20"/>
                <w:lang w:bidi="ar"/>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53EE02" w14:textId="77777777" w:rsidR="003C24A3" w:rsidRDefault="003C24A3" w:rsidP="00D0175D">
            <w:pPr>
              <w:ind w:firstLine="400"/>
              <w:jc w:val="center"/>
              <w:textAlignment w:val="center"/>
              <w:rPr>
                <w:rFonts w:ascii="宋体" w:eastAsia="宋体" w:hAnsi="宋体" w:cs="宋体"/>
                <w:color w:val="000000"/>
                <w:kern w:val="0"/>
                <w:sz w:val="20"/>
                <w:szCs w:val="20"/>
                <w:lang w:bidi="ar"/>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E8B42"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w:t>
            </w: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1363A"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27</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9FAFA"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E3398"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29</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E21D6"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34</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503DC"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1BEB9"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EBB11"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w:t>
            </w:r>
          </w:p>
        </w:tc>
        <w:tc>
          <w:tcPr>
            <w:tcW w:w="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B3865"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F3D87"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83EC8"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155</w:t>
            </w:r>
          </w:p>
        </w:tc>
      </w:tr>
      <w:tr w:rsidR="003C24A3" w14:paraId="4BD0FAFA" w14:textId="77777777" w:rsidTr="00D0175D">
        <w:trPr>
          <w:trHeight w:val="762"/>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F7F402"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F58C372" w14:textId="77777777" w:rsidR="003C24A3" w:rsidRDefault="003C24A3" w:rsidP="00D0175D">
            <w:pP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服务内容</w:t>
            </w: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4EDAA2"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肢体     康复训练</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265A2F"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听力儿</w:t>
            </w:r>
          </w:p>
          <w:p w14:paraId="695E950A"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童康复训练</w:t>
            </w:r>
          </w:p>
        </w:tc>
        <w:tc>
          <w:tcPr>
            <w:tcW w:w="1638" w:type="dxa"/>
            <w:gridSpan w:val="2"/>
            <w:tcBorders>
              <w:top w:val="single" w:sz="4" w:space="0" w:color="000000"/>
              <w:left w:val="single" w:sz="4" w:space="0" w:color="000000"/>
              <w:bottom w:val="single" w:sz="4" w:space="0" w:color="000000"/>
              <w:right w:val="nil"/>
            </w:tcBorders>
            <w:shd w:val="clear" w:color="auto" w:fill="FFFFFF"/>
            <w:vAlign w:val="center"/>
          </w:tcPr>
          <w:p w14:paraId="6C8883E9"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言语儿童</w:t>
            </w:r>
            <w:r>
              <w:rPr>
                <w:rFonts w:ascii="宋体" w:eastAsia="宋体" w:hAnsi="宋体" w:cs="宋体" w:hint="eastAsia"/>
                <w:color w:val="000000"/>
                <w:kern w:val="0"/>
                <w:sz w:val="20"/>
                <w:szCs w:val="20"/>
                <w:lang w:bidi="ar"/>
              </w:rPr>
              <w:br/>
              <w:t>康复训练</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97555"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视力康复训练</w:t>
            </w: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57291A"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智力儿童</w:t>
            </w:r>
            <w:r>
              <w:rPr>
                <w:rFonts w:ascii="宋体" w:eastAsia="宋体" w:hAnsi="宋体" w:cs="宋体" w:hint="eastAsia"/>
                <w:color w:val="000000"/>
                <w:kern w:val="0"/>
                <w:sz w:val="20"/>
                <w:szCs w:val="20"/>
                <w:lang w:bidi="ar"/>
              </w:rPr>
              <w:br/>
              <w:t>康复训练</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D0A183" w14:textId="77777777" w:rsidR="003C24A3" w:rsidRDefault="003C24A3" w:rsidP="00D0175D">
            <w:pPr>
              <w:ind w:firstLine="400"/>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孤独症</w:t>
            </w:r>
            <w:r>
              <w:rPr>
                <w:rFonts w:ascii="宋体" w:eastAsia="宋体" w:hAnsi="宋体" w:cs="宋体" w:hint="eastAsia"/>
                <w:color w:val="000000"/>
                <w:kern w:val="0"/>
                <w:sz w:val="20"/>
                <w:szCs w:val="20"/>
                <w:lang w:bidi="ar"/>
              </w:rPr>
              <w:br/>
              <w:t>儿童康复训练</w:t>
            </w:r>
          </w:p>
        </w:tc>
      </w:tr>
      <w:tr w:rsidR="003C24A3" w14:paraId="0DB7D1CB" w14:textId="77777777" w:rsidTr="00D0175D">
        <w:trPr>
          <w:trHeight w:val="396"/>
        </w:trPr>
        <w:tc>
          <w:tcPr>
            <w:tcW w:w="6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39213D" w14:textId="77777777" w:rsidR="003C24A3" w:rsidRDefault="003C24A3" w:rsidP="00D0175D">
            <w:pPr>
              <w:ind w:firstLine="400"/>
              <w:jc w:val="center"/>
              <w:textAlignment w:val="center"/>
              <w:rPr>
                <w:rFonts w:ascii="宋体" w:eastAsia="宋体" w:hAnsi="宋体" w:cs="宋体"/>
                <w:color w:val="000000"/>
                <w:kern w:val="0"/>
                <w:sz w:val="20"/>
                <w:szCs w:val="20"/>
                <w:lang w:bidi="ar"/>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BCE186" w14:textId="77777777" w:rsidR="003C24A3" w:rsidRDefault="003C24A3" w:rsidP="00D0175D">
            <w:pPr>
              <w:ind w:firstLine="400"/>
              <w:jc w:val="center"/>
              <w:textAlignment w:val="center"/>
              <w:rPr>
                <w:rFonts w:ascii="宋体" w:eastAsia="宋体" w:hAnsi="宋体" w:cs="宋体"/>
                <w:color w:val="000000"/>
                <w:kern w:val="0"/>
                <w:sz w:val="20"/>
                <w:szCs w:val="20"/>
                <w:lang w:bidi="ar"/>
              </w:rPr>
            </w:pP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24ACA4" w14:textId="77777777" w:rsidR="003C24A3" w:rsidRDefault="003C24A3" w:rsidP="00D0175D">
            <w:pPr>
              <w:ind w:firstLine="4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FFFD0D" w14:textId="77777777" w:rsidR="003C24A3" w:rsidRDefault="003C24A3" w:rsidP="00D0175D">
            <w:pPr>
              <w:ind w:firstLineChars="300" w:firstLine="6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w:t>
            </w:r>
          </w:p>
        </w:tc>
        <w:tc>
          <w:tcPr>
            <w:tcW w:w="1638" w:type="dxa"/>
            <w:gridSpan w:val="2"/>
            <w:tcBorders>
              <w:top w:val="single" w:sz="4" w:space="0" w:color="000000"/>
              <w:left w:val="single" w:sz="4" w:space="0" w:color="000000"/>
              <w:bottom w:val="single" w:sz="4" w:space="0" w:color="000000"/>
              <w:right w:val="nil"/>
            </w:tcBorders>
            <w:shd w:val="clear" w:color="auto" w:fill="FFFFFF"/>
            <w:vAlign w:val="center"/>
          </w:tcPr>
          <w:p w14:paraId="6A9B9DBB" w14:textId="77777777" w:rsidR="003C24A3" w:rsidRDefault="003C24A3" w:rsidP="00D0175D">
            <w:pPr>
              <w:ind w:firstLineChars="300" w:firstLine="6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30</w:t>
            </w:r>
          </w:p>
        </w:tc>
        <w:tc>
          <w:tcPr>
            <w:tcW w:w="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F101C" w14:textId="77777777" w:rsidR="003C24A3" w:rsidRDefault="003C24A3" w:rsidP="00D0175D">
            <w:pPr>
              <w:ind w:firstLineChars="100" w:firstLine="2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A19E1B5" w14:textId="77777777" w:rsidR="003C24A3" w:rsidRDefault="003C24A3" w:rsidP="00D0175D">
            <w:pPr>
              <w:ind w:firstLineChars="300" w:firstLine="6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95</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F4A702" w14:textId="77777777" w:rsidR="003C24A3" w:rsidRDefault="003C24A3" w:rsidP="00D0175D">
            <w:pPr>
              <w:ind w:firstLineChars="300" w:firstLine="6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109</w:t>
            </w:r>
          </w:p>
        </w:tc>
      </w:tr>
    </w:tbl>
    <w:p w14:paraId="5FF818F5" w14:textId="77777777" w:rsidR="003C24A3" w:rsidRDefault="003C24A3" w:rsidP="003C24A3">
      <w:pPr>
        <w:spacing w:line="560" w:lineRule="exact"/>
        <w:ind w:firstLine="641"/>
        <w:rPr>
          <w:rFonts w:ascii="仿宋_GB2312" w:eastAsia="仿宋_GB2312" w:hAnsi="仿宋" w:cs="仿宋_GB2312"/>
          <w:color w:val="000000"/>
        </w:rPr>
      </w:pPr>
      <w:r>
        <w:rPr>
          <w:rFonts w:ascii="仿宋_GB2312" w:eastAsia="仿宋_GB2312" w:hAnsi="仿宋" w:cs="仿宋_GB2312" w:hint="eastAsia"/>
          <w:color w:val="000000"/>
          <w:sz w:val="32"/>
          <w:szCs w:val="32"/>
        </w:rPr>
        <w:t>定点机构成为我市残疾儿童少年康复服务承接主体，较好地满足了全市残疾儿童少年康复服务需要。据统计，截至今年第一季度，全市定点机构在训残疾儿童少年共9619名，其中，深户有7414名，非深户有2205名，各类别残疾儿童少年情况见表2。</w:t>
      </w:r>
    </w:p>
    <w:tbl>
      <w:tblPr>
        <w:tblW w:w="9855" w:type="dxa"/>
        <w:jc w:val="center"/>
        <w:tblLayout w:type="fixed"/>
        <w:tblLook w:val="04A0" w:firstRow="1" w:lastRow="0" w:firstColumn="1" w:lastColumn="0" w:noHBand="0" w:noVBand="1"/>
      </w:tblPr>
      <w:tblGrid>
        <w:gridCol w:w="975"/>
        <w:gridCol w:w="975"/>
        <w:gridCol w:w="936"/>
        <w:gridCol w:w="1174"/>
        <w:gridCol w:w="961"/>
        <w:gridCol w:w="937"/>
        <w:gridCol w:w="996"/>
        <w:gridCol w:w="1188"/>
        <w:gridCol w:w="996"/>
        <w:gridCol w:w="717"/>
      </w:tblGrid>
      <w:tr w:rsidR="003C24A3" w14:paraId="46E58C0A" w14:textId="77777777" w:rsidTr="00D0175D">
        <w:trPr>
          <w:trHeight w:val="757"/>
          <w:jc w:val="center"/>
        </w:trPr>
        <w:tc>
          <w:tcPr>
            <w:tcW w:w="9855" w:type="dxa"/>
            <w:gridSpan w:val="10"/>
            <w:tcBorders>
              <w:top w:val="nil"/>
              <w:left w:val="nil"/>
              <w:bottom w:val="single" w:sz="8" w:space="0" w:color="000000"/>
              <w:right w:val="nil"/>
            </w:tcBorders>
            <w:vAlign w:val="center"/>
          </w:tcPr>
          <w:p w14:paraId="4BE26265" w14:textId="77777777" w:rsidR="003C24A3" w:rsidRDefault="003C24A3" w:rsidP="00D0175D">
            <w:pPr>
              <w:jc w:val="center"/>
              <w:textAlignment w:val="center"/>
              <w:rPr>
                <w:rFonts w:ascii="宋体" w:eastAsia="宋体" w:hAnsi="宋体" w:cs="宋体"/>
                <w:color w:val="000000"/>
                <w:kern w:val="0"/>
                <w:sz w:val="20"/>
                <w:szCs w:val="20"/>
                <w:lang w:bidi="ar"/>
              </w:rPr>
            </w:pPr>
            <w:r>
              <w:rPr>
                <w:rFonts w:ascii="宋体" w:eastAsia="宋体" w:hAnsi="宋体" w:cs="宋体" w:hint="eastAsia"/>
                <w:b/>
                <w:bCs/>
                <w:color w:val="000000"/>
                <w:kern w:val="0"/>
                <w:sz w:val="20"/>
                <w:szCs w:val="20"/>
                <w:lang w:bidi="ar"/>
              </w:rPr>
              <w:t>表2：深圳市残疾人康复服务定点机构各类别服务人员情况</w:t>
            </w:r>
          </w:p>
        </w:tc>
      </w:tr>
      <w:tr w:rsidR="003C24A3" w14:paraId="1C7AEA98" w14:textId="77777777" w:rsidTr="00D0175D">
        <w:trPr>
          <w:trHeight w:val="757"/>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6F3A432E" w14:textId="77777777" w:rsidR="003C24A3" w:rsidRDefault="003C24A3" w:rsidP="00D0175D">
            <w:pPr>
              <w:ind w:firstLine="4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975" w:type="dxa"/>
            <w:tcBorders>
              <w:top w:val="single" w:sz="8" w:space="0" w:color="000000"/>
              <w:left w:val="single" w:sz="8" w:space="0" w:color="000000"/>
              <w:bottom w:val="single" w:sz="8" w:space="0" w:color="000000"/>
              <w:right w:val="single" w:sz="8" w:space="0" w:color="000000"/>
            </w:tcBorders>
            <w:vAlign w:val="center"/>
          </w:tcPr>
          <w:p w14:paraId="29303CF7" w14:textId="77777777" w:rsidR="003C24A3" w:rsidRDefault="003C24A3" w:rsidP="00D0175D">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残疾  类型</w:t>
            </w:r>
          </w:p>
        </w:tc>
        <w:tc>
          <w:tcPr>
            <w:tcW w:w="936" w:type="dxa"/>
            <w:tcBorders>
              <w:top w:val="single" w:sz="8" w:space="0" w:color="000000"/>
              <w:left w:val="single" w:sz="8" w:space="0" w:color="000000"/>
              <w:bottom w:val="single" w:sz="8" w:space="0" w:color="000000"/>
              <w:right w:val="single" w:sz="8" w:space="0" w:color="000000"/>
            </w:tcBorders>
            <w:vAlign w:val="center"/>
          </w:tcPr>
          <w:p w14:paraId="3A9F8FF2" w14:textId="77777777" w:rsidR="003C24A3" w:rsidRDefault="003C24A3" w:rsidP="00D0175D">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智力</w:t>
            </w:r>
          </w:p>
        </w:tc>
        <w:tc>
          <w:tcPr>
            <w:tcW w:w="1174" w:type="dxa"/>
            <w:tcBorders>
              <w:top w:val="single" w:sz="8" w:space="0" w:color="000000"/>
              <w:left w:val="single" w:sz="8" w:space="0" w:color="000000"/>
              <w:bottom w:val="single" w:sz="8" w:space="0" w:color="000000"/>
              <w:right w:val="single" w:sz="8" w:space="0" w:color="000000"/>
            </w:tcBorders>
            <w:vAlign w:val="center"/>
          </w:tcPr>
          <w:p w14:paraId="166203F1" w14:textId="77777777" w:rsidR="003C24A3" w:rsidRDefault="003C24A3" w:rsidP="00D0175D">
            <w:pPr>
              <w:ind w:firstLineChars="100" w:firstLine="2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精神</w:t>
            </w:r>
            <w:r>
              <w:rPr>
                <w:rFonts w:ascii="宋体" w:eastAsia="宋体" w:hAnsi="宋体" w:cs="宋体" w:hint="eastAsia"/>
                <w:color w:val="000000"/>
                <w:kern w:val="0"/>
                <w:sz w:val="20"/>
                <w:szCs w:val="20"/>
                <w:lang w:bidi="ar"/>
              </w:rPr>
              <w:br/>
              <w:t>（孤独症）</w:t>
            </w:r>
          </w:p>
        </w:tc>
        <w:tc>
          <w:tcPr>
            <w:tcW w:w="961" w:type="dxa"/>
            <w:tcBorders>
              <w:top w:val="single" w:sz="8" w:space="0" w:color="000000"/>
              <w:left w:val="single" w:sz="8" w:space="0" w:color="000000"/>
              <w:bottom w:val="single" w:sz="8" w:space="0" w:color="000000"/>
              <w:right w:val="single" w:sz="8" w:space="0" w:color="000000"/>
            </w:tcBorders>
            <w:vAlign w:val="center"/>
          </w:tcPr>
          <w:p w14:paraId="493E03E6" w14:textId="77777777" w:rsidR="003C24A3" w:rsidRDefault="003C24A3" w:rsidP="00D0175D">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肢体</w:t>
            </w:r>
          </w:p>
        </w:tc>
        <w:tc>
          <w:tcPr>
            <w:tcW w:w="937" w:type="dxa"/>
            <w:tcBorders>
              <w:top w:val="single" w:sz="8" w:space="0" w:color="000000"/>
              <w:left w:val="single" w:sz="8" w:space="0" w:color="000000"/>
              <w:bottom w:val="single" w:sz="8" w:space="0" w:color="000000"/>
              <w:right w:val="single" w:sz="8" w:space="0" w:color="000000"/>
            </w:tcBorders>
            <w:vAlign w:val="center"/>
          </w:tcPr>
          <w:p w14:paraId="6B28761A" w14:textId="77777777" w:rsidR="003C24A3" w:rsidRDefault="003C24A3" w:rsidP="00D0175D">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听力</w:t>
            </w:r>
          </w:p>
        </w:tc>
        <w:tc>
          <w:tcPr>
            <w:tcW w:w="996" w:type="dxa"/>
            <w:tcBorders>
              <w:top w:val="single" w:sz="8" w:space="0" w:color="000000"/>
              <w:left w:val="single" w:sz="8" w:space="0" w:color="000000"/>
              <w:bottom w:val="single" w:sz="8" w:space="0" w:color="000000"/>
              <w:right w:val="single" w:sz="8" w:space="0" w:color="000000"/>
            </w:tcBorders>
            <w:vAlign w:val="center"/>
          </w:tcPr>
          <w:p w14:paraId="0A47C4B3" w14:textId="77777777" w:rsidR="003C24A3" w:rsidRDefault="003C24A3" w:rsidP="00D0175D">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言语</w:t>
            </w:r>
          </w:p>
        </w:tc>
        <w:tc>
          <w:tcPr>
            <w:tcW w:w="1188" w:type="dxa"/>
            <w:tcBorders>
              <w:top w:val="single" w:sz="8" w:space="0" w:color="000000"/>
              <w:left w:val="single" w:sz="8" w:space="0" w:color="000000"/>
              <w:bottom w:val="single" w:sz="8" w:space="0" w:color="000000"/>
              <w:right w:val="single" w:sz="8" w:space="0" w:color="000000"/>
            </w:tcBorders>
            <w:vAlign w:val="center"/>
          </w:tcPr>
          <w:p w14:paraId="7E51C73D" w14:textId="77777777" w:rsidR="003C24A3" w:rsidRDefault="003C24A3" w:rsidP="00D0175D">
            <w:pPr>
              <w:ind w:firstLine="40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视力</w:t>
            </w:r>
          </w:p>
        </w:tc>
        <w:tc>
          <w:tcPr>
            <w:tcW w:w="996" w:type="dxa"/>
            <w:tcBorders>
              <w:top w:val="single" w:sz="8" w:space="0" w:color="000000"/>
              <w:left w:val="single" w:sz="8" w:space="0" w:color="000000"/>
              <w:bottom w:val="single" w:sz="8" w:space="0" w:color="000000"/>
              <w:right w:val="single" w:sz="8" w:space="0" w:color="000000"/>
            </w:tcBorders>
            <w:vAlign w:val="center"/>
          </w:tcPr>
          <w:p w14:paraId="2255628D" w14:textId="77777777" w:rsidR="003C24A3" w:rsidRDefault="003C24A3" w:rsidP="00D0175D">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多重</w:t>
            </w:r>
          </w:p>
        </w:tc>
        <w:tc>
          <w:tcPr>
            <w:tcW w:w="717" w:type="dxa"/>
            <w:tcBorders>
              <w:top w:val="single" w:sz="8" w:space="0" w:color="000000"/>
              <w:left w:val="single" w:sz="8" w:space="0" w:color="000000"/>
              <w:bottom w:val="single" w:sz="4" w:space="0" w:color="auto"/>
              <w:right w:val="single" w:sz="8" w:space="0" w:color="000000"/>
            </w:tcBorders>
            <w:vAlign w:val="center"/>
          </w:tcPr>
          <w:p w14:paraId="40B28A92" w14:textId="77777777" w:rsidR="003C24A3" w:rsidRDefault="003C24A3" w:rsidP="00D0175D">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r>
      <w:tr w:rsidR="003C24A3" w14:paraId="7C5BA817" w14:textId="77777777" w:rsidTr="00D0175D">
        <w:trPr>
          <w:trHeight w:val="408"/>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32867DBF" w14:textId="77777777" w:rsidR="003C24A3" w:rsidRDefault="003C24A3" w:rsidP="00D0175D">
            <w:pPr>
              <w:ind w:firstLine="400"/>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p>
        </w:tc>
        <w:tc>
          <w:tcPr>
            <w:tcW w:w="975" w:type="dxa"/>
            <w:tcBorders>
              <w:top w:val="single" w:sz="8" w:space="0" w:color="000000"/>
              <w:left w:val="single" w:sz="8" w:space="0" w:color="000000"/>
              <w:bottom w:val="single" w:sz="8" w:space="0" w:color="000000"/>
              <w:right w:val="single" w:sz="8" w:space="0" w:color="000000"/>
            </w:tcBorders>
            <w:vAlign w:val="center"/>
          </w:tcPr>
          <w:p w14:paraId="6C92C886" w14:textId="77777777" w:rsidR="003C24A3" w:rsidRDefault="003C24A3" w:rsidP="00D0175D">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人数</w:t>
            </w:r>
          </w:p>
        </w:tc>
        <w:tc>
          <w:tcPr>
            <w:tcW w:w="936" w:type="dxa"/>
            <w:tcBorders>
              <w:top w:val="single" w:sz="8" w:space="0" w:color="000000"/>
              <w:left w:val="single" w:sz="8" w:space="0" w:color="000000"/>
              <w:bottom w:val="single" w:sz="8" w:space="0" w:color="000000"/>
              <w:right w:val="single" w:sz="8" w:space="0" w:color="000000"/>
            </w:tcBorders>
            <w:vAlign w:val="center"/>
          </w:tcPr>
          <w:p w14:paraId="5623A91A" w14:textId="77777777" w:rsidR="003C24A3" w:rsidRDefault="003C24A3" w:rsidP="00D0175D">
            <w:pPr>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2371</w:t>
            </w:r>
          </w:p>
        </w:tc>
        <w:tc>
          <w:tcPr>
            <w:tcW w:w="1174" w:type="dxa"/>
            <w:tcBorders>
              <w:top w:val="single" w:sz="8" w:space="0" w:color="000000"/>
              <w:left w:val="single" w:sz="8" w:space="0" w:color="000000"/>
              <w:bottom w:val="single" w:sz="8" w:space="0" w:color="000000"/>
              <w:right w:val="single" w:sz="8" w:space="0" w:color="000000"/>
            </w:tcBorders>
            <w:vAlign w:val="center"/>
          </w:tcPr>
          <w:p w14:paraId="311B1DFE" w14:textId="77777777" w:rsidR="003C24A3" w:rsidRDefault="003C24A3" w:rsidP="00D0175D">
            <w:pPr>
              <w:ind w:firstLine="40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4113</w:t>
            </w:r>
          </w:p>
        </w:tc>
        <w:tc>
          <w:tcPr>
            <w:tcW w:w="961" w:type="dxa"/>
            <w:tcBorders>
              <w:top w:val="single" w:sz="8" w:space="0" w:color="000000"/>
              <w:left w:val="single" w:sz="8" w:space="0" w:color="000000"/>
              <w:bottom w:val="single" w:sz="8" w:space="0" w:color="000000"/>
              <w:right w:val="single" w:sz="8" w:space="0" w:color="000000"/>
            </w:tcBorders>
            <w:vAlign w:val="center"/>
          </w:tcPr>
          <w:p w14:paraId="785A610D" w14:textId="77777777" w:rsidR="003C24A3" w:rsidRDefault="003C24A3" w:rsidP="00D0175D">
            <w:pPr>
              <w:ind w:firstLineChars="100" w:firstLine="20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640</w:t>
            </w:r>
          </w:p>
        </w:tc>
        <w:tc>
          <w:tcPr>
            <w:tcW w:w="937" w:type="dxa"/>
            <w:tcBorders>
              <w:top w:val="single" w:sz="8" w:space="0" w:color="000000"/>
              <w:left w:val="single" w:sz="8" w:space="0" w:color="000000"/>
              <w:bottom w:val="single" w:sz="8" w:space="0" w:color="000000"/>
              <w:right w:val="single" w:sz="8" w:space="0" w:color="000000"/>
            </w:tcBorders>
            <w:vAlign w:val="center"/>
          </w:tcPr>
          <w:p w14:paraId="3E4A3060" w14:textId="77777777" w:rsidR="003C24A3" w:rsidRDefault="003C24A3" w:rsidP="00D0175D">
            <w:pPr>
              <w:ind w:firstLineChars="100" w:firstLine="20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811</w:t>
            </w:r>
          </w:p>
        </w:tc>
        <w:tc>
          <w:tcPr>
            <w:tcW w:w="996" w:type="dxa"/>
            <w:tcBorders>
              <w:top w:val="single" w:sz="8" w:space="0" w:color="000000"/>
              <w:left w:val="single" w:sz="8" w:space="0" w:color="000000"/>
              <w:bottom w:val="single" w:sz="8" w:space="0" w:color="000000"/>
              <w:right w:val="single" w:sz="8" w:space="0" w:color="000000"/>
            </w:tcBorders>
            <w:vAlign w:val="center"/>
          </w:tcPr>
          <w:p w14:paraId="3F2EA812" w14:textId="77777777" w:rsidR="003C24A3" w:rsidRDefault="003C24A3" w:rsidP="00D0175D">
            <w:pPr>
              <w:ind w:firstLineChars="100" w:firstLine="20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861</w:t>
            </w:r>
          </w:p>
        </w:tc>
        <w:tc>
          <w:tcPr>
            <w:tcW w:w="1188" w:type="dxa"/>
            <w:tcBorders>
              <w:top w:val="single" w:sz="8" w:space="0" w:color="000000"/>
              <w:left w:val="single" w:sz="8" w:space="0" w:color="000000"/>
              <w:bottom w:val="single" w:sz="8" w:space="0" w:color="000000"/>
              <w:right w:val="single" w:sz="8" w:space="0" w:color="000000"/>
            </w:tcBorders>
            <w:vAlign w:val="center"/>
          </w:tcPr>
          <w:p w14:paraId="7BF2822B" w14:textId="77777777" w:rsidR="003C24A3" w:rsidRDefault="003C24A3" w:rsidP="00D0175D">
            <w:pPr>
              <w:ind w:firstLine="40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996" w:type="dxa"/>
            <w:tcBorders>
              <w:top w:val="single" w:sz="8" w:space="0" w:color="000000"/>
              <w:left w:val="single" w:sz="8" w:space="0" w:color="000000"/>
              <w:bottom w:val="single" w:sz="8" w:space="0" w:color="000000"/>
              <w:right w:val="single" w:sz="4" w:space="0" w:color="auto"/>
            </w:tcBorders>
            <w:vAlign w:val="center"/>
          </w:tcPr>
          <w:p w14:paraId="21789E57" w14:textId="77777777" w:rsidR="003C24A3" w:rsidRDefault="003C24A3" w:rsidP="00D0175D">
            <w:pPr>
              <w:ind w:firstLineChars="100" w:firstLine="20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781</w:t>
            </w:r>
          </w:p>
        </w:tc>
        <w:tc>
          <w:tcPr>
            <w:tcW w:w="717" w:type="dxa"/>
            <w:tcBorders>
              <w:top w:val="single" w:sz="4" w:space="0" w:color="auto"/>
              <w:left w:val="single" w:sz="4" w:space="0" w:color="auto"/>
              <w:bottom w:val="single" w:sz="8" w:space="0" w:color="000000"/>
              <w:right w:val="single" w:sz="8" w:space="0" w:color="000000"/>
            </w:tcBorders>
            <w:vAlign w:val="center"/>
          </w:tcPr>
          <w:p w14:paraId="2B5F26AE" w14:textId="77777777" w:rsidR="003C24A3" w:rsidRDefault="003C24A3" w:rsidP="00D0175D">
            <w:pP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9619</w:t>
            </w:r>
          </w:p>
        </w:tc>
      </w:tr>
    </w:tbl>
    <w:p w14:paraId="634C741D" w14:textId="77777777" w:rsidR="003C24A3" w:rsidRDefault="003C24A3" w:rsidP="003C24A3">
      <w:pPr>
        <w:adjustRightInd w:val="0"/>
        <w:spacing w:line="560" w:lineRule="exact"/>
        <w:ind w:firstLineChars="200" w:firstLine="640"/>
        <w:rPr>
          <w:rFonts w:ascii="黑体" w:eastAsia="黑体" w:hAnsi="黑体" w:cs="黑体"/>
        </w:rPr>
      </w:pPr>
      <w:r>
        <w:rPr>
          <w:rFonts w:ascii="黑体" w:eastAsia="黑体" w:hAnsi="黑体" w:cs="黑体" w:hint="eastAsia"/>
          <w:sz w:val="32"/>
          <w:szCs w:val="32"/>
        </w:rPr>
        <w:t>二、政策修订必要性</w:t>
      </w:r>
    </w:p>
    <w:p w14:paraId="070F5CD2" w14:textId="77777777" w:rsidR="003C24A3" w:rsidRDefault="003C24A3" w:rsidP="003C24A3">
      <w:pPr>
        <w:ind w:firstLine="640"/>
        <w:rPr>
          <w:rFonts w:ascii="仿宋_GB2312" w:eastAsia="仿宋_GB2312" w:hAnsi="黑体" w:cs="仿宋_GB2312"/>
          <w:color w:val="000000"/>
        </w:rPr>
      </w:pPr>
      <w:r>
        <w:rPr>
          <w:rFonts w:ascii="仿宋_GB2312" w:eastAsia="仿宋_GB2312" w:hAnsi="黑体" w:cs="仿宋_GB2312" w:hint="eastAsia"/>
          <w:color w:val="000000"/>
          <w:sz w:val="32"/>
          <w:szCs w:val="32"/>
        </w:rPr>
        <w:t>随着我市残疾儿童少年康复服务需求的发展变化，定点机构数量的不断增加，现有残疾儿童少年康复服务定点机构管理政策已不适应当前工作实际，亟待修订。</w:t>
      </w:r>
    </w:p>
    <w:p w14:paraId="7368A76C" w14:textId="77777777" w:rsidR="003C24A3" w:rsidRDefault="003C24A3" w:rsidP="003C24A3">
      <w:pPr>
        <w:ind w:firstLine="643"/>
        <w:rPr>
          <w:rFonts w:ascii="仿宋_GB2312" w:eastAsia="仿宋_GB2312" w:hAnsi="黑体"/>
        </w:rPr>
      </w:pPr>
      <w:r>
        <w:rPr>
          <w:rFonts w:ascii="仿宋_GB2312" w:eastAsia="仿宋_GB2312" w:hAnsi="黑体" w:cs="仿宋_GB2312" w:hint="eastAsia"/>
          <w:b/>
          <w:bCs/>
          <w:color w:val="000000"/>
          <w:sz w:val="32"/>
          <w:szCs w:val="32"/>
        </w:rPr>
        <w:t>一是落实上位政策的需要。</w:t>
      </w:r>
      <w:r>
        <w:rPr>
          <w:rFonts w:ascii="仿宋_GB2312" w:eastAsia="仿宋_GB2312" w:hAnsi="黑体" w:hint="eastAsia"/>
          <w:sz w:val="32"/>
          <w:szCs w:val="32"/>
        </w:rPr>
        <w:t>我市现行残疾儿童少年康复机构管理政策由市残联制定出台，与现行残疾人服务机构管</w:t>
      </w:r>
      <w:r>
        <w:rPr>
          <w:rFonts w:ascii="仿宋_GB2312" w:eastAsia="仿宋_GB2312" w:hAnsi="黑体" w:hint="eastAsia"/>
          <w:sz w:val="32"/>
          <w:szCs w:val="32"/>
        </w:rPr>
        <w:lastRenderedPageBreak/>
        <w:t>理政策要求不相符。2018年，民政部、人力资源社会保障部、国家卫生计生委、中国残联制定出台《残疾人服务机构管理办法》（民发〔2018〕31号 ），明确规定了相关部门在残疾人服务机构管理中的职责。北京、上海、广州等地的相关部门也相应联合出台了残疾儿童康复机构管理政策。例如，北京市残联、教育、财政、民政、卫生等部门于2020年4月出台《北京市残疾儿童康复服务办法》，广州市残联、教育、民政、</w:t>
      </w:r>
      <w:proofErr w:type="gramStart"/>
      <w:r>
        <w:rPr>
          <w:rFonts w:ascii="仿宋_GB2312" w:eastAsia="仿宋_GB2312" w:hAnsi="黑体" w:hint="eastAsia"/>
          <w:sz w:val="32"/>
          <w:szCs w:val="32"/>
        </w:rPr>
        <w:t>人社等</w:t>
      </w:r>
      <w:proofErr w:type="gramEnd"/>
      <w:r>
        <w:rPr>
          <w:rFonts w:ascii="仿宋_GB2312" w:eastAsia="仿宋_GB2312" w:hAnsi="黑体" w:hint="eastAsia"/>
          <w:sz w:val="32"/>
          <w:szCs w:val="32"/>
        </w:rPr>
        <w:t>部门于2019年1月出台《广州市残疾人精准康复服务定点康复机构管理办法》，上海市人民政府则于2018年10月出台《上海市人民政府关于建立残疾儿童康复救助制度的实施意见》。</w:t>
      </w:r>
    </w:p>
    <w:p w14:paraId="10EBD0D9" w14:textId="77777777" w:rsidR="003C24A3" w:rsidRDefault="003C24A3" w:rsidP="003C24A3">
      <w:pPr>
        <w:ind w:firstLine="643"/>
        <w:rPr>
          <w:rFonts w:ascii="仿宋_GB2312" w:eastAsia="仿宋_GB2312" w:hAnsi="黑体" w:cs="仿宋_GB2312"/>
          <w:color w:val="000000"/>
        </w:rPr>
      </w:pPr>
      <w:r>
        <w:rPr>
          <w:rFonts w:ascii="仿宋_GB2312" w:eastAsia="仿宋_GB2312" w:hAnsi="黑体" w:cs="仿宋_GB2312" w:hint="eastAsia"/>
          <w:b/>
          <w:bCs/>
          <w:color w:val="000000"/>
          <w:sz w:val="32"/>
          <w:szCs w:val="32"/>
        </w:rPr>
        <w:t>二是试点管理工作的需要。</w:t>
      </w:r>
      <w:r>
        <w:rPr>
          <w:rFonts w:ascii="仿宋_GB2312" w:eastAsia="仿宋_GB2312" w:hAnsi="黑体" w:cs="仿宋_GB2312" w:hint="eastAsia"/>
          <w:color w:val="000000"/>
          <w:sz w:val="32"/>
          <w:szCs w:val="32"/>
        </w:rPr>
        <w:t>为落实国务院《关于建立残疾儿童康复救助制度的意见》，加强残疾儿童康复救助机构管理，中国残联、民政部、国家卫生部下发《关于开展残疾儿童康复救助定点服务机构管理试点工作的通知》（残联发</w:t>
      </w:r>
      <w:r>
        <w:rPr>
          <w:rFonts w:ascii="仿宋_GB2312" w:eastAsia="仿宋_GB2312" w:hAnsi="黑体" w:cs="楷体" w:hint="eastAsia"/>
          <w:color w:val="000000"/>
          <w:sz w:val="32"/>
          <w:szCs w:val="32"/>
        </w:rPr>
        <w:t>〔2020〕40号</w:t>
      </w:r>
      <w:r>
        <w:rPr>
          <w:rFonts w:ascii="仿宋_GB2312" w:eastAsia="仿宋_GB2312" w:hAnsi="黑体" w:cs="仿宋_GB2312" w:hint="eastAsia"/>
          <w:color w:val="000000"/>
          <w:sz w:val="32"/>
          <w:szCs w:val="32"/>
        </w:rPr>
        <w:t>），于2020年10月至2021年7月期间在广东等4省开展试点工作。按照试点工作要求，我市须结合实际出台残疾儿童少年康复服务定点机构管理政策并确定相关准入标准，相关部门须加强联动共同开展定点机构管理工作。</w:t>
      </w:r>
    </w:p>
    <w:p w14:paraId="41B7DCFD" w14:textId="77777777" w:rsidR="003C24A3" w:rsidRDefault="003C24A3" w:rsidP="003C24A3">
      <w:pPr>
        <w:adjustRightInd w:val="0"/>
        <w:ind w:firstLine="643"/>
        <w:rPr>
          <w:rFonts w:ascii="仿宋_GB2312" w:eastAsia="仿宋_GB2312" w:hAnsi="黑体"/>
          <w:color w:val="333333"/>
          <w:shd w:val="clear" w:color="auto" w:fill="FFFFFF"/>
        </w:rPr>
      </w:pPr>
      <w:r>
        <w:rPr>
          <w:rFonts w:ascii="仿宋_GB2312" w:eastAsia="仿宋_GB2312" w:hAnsi="黑体" w:cs="仿宋_GB2312" w:hint="eastAsia"/>
          <w:b/>
          <w:bCs/>
          <w:color w:val="000000"/>
          <w:sz w:val="32"/>
          <w:szCs w:val="32"/>
        </w:rPr>
        <w:t>三是加强定点机构管理的现实需要。</w:t>
      </w:r>
      <w:r>
        <w:rPr>
          <w:rFonts w:ascii="仿宋_GB2312" w:eastAsia="仿宋_GB2312" w:hAnsi="黑体" w:hint="eastAsia"/>
          <w:sz w:val="32"/>
          <w:szCs w:val="32"/>
        </w:rPr>
        <w:t>近年来我市定点机构数量增长过快，但服务监管的依据不充分，相关部门联动</w:t>
      </w:r>
      <w:r>
        <w:rPr>
          <w:rFonts w:ascii="仿宋_GB2312" w:eastAsia="仿宋_GB2312" w:hAnsi="黑体" w:hint="eastAsia"/>
          <w:sz w:val="32"/>
          <w:szCs w:val="32"/>
        </w:rPr>
        <w:lastRenderedPageBreak/>
        <w:t>评审及监管机制有待完善。在实际工作中，我市定点机构管理存在机构服务质量参差不齐、公立机构难以纳入统一管理、康复服务价格标准难以界定、相关领域专业督导不够、专业人员队伍不稳定、机构违规处理力度不够等问题，因此，亟需进一步健全定点机构管理机制。</w:t>
      </w:r>
    </w:p>
    <w:p w14:paraId="45A5ACAD" w14:textId="77777777" w:rsidR="003C24A3" w:rsidRDefault="003C24A3" w:rsidP="003C24A3">
      <w:pPr>
        <w:adjustRightInd w:val="0"/>
        <w:spacing w:line="560" w:lineRule="exact"/>
        <w:ind w:firstLine="640"/>
        <w:rPr>
          <w:rFonts w:ascii="黑体" w:eastAsia="黑体" w:hAnsi="黑体" w:cs="黑体"/>
        </w:rPr>
      </w:pPr>
      <w:r>
        <w:rPr>
          <w:rFonts w:ascii="黑体" w:eastAsia="黑体" w:hAnsi="黑体" w:cs="黑体" w:hint="eastAsia"/>
          <w:sz w:val="32"/>
          <w:szCs w:val="32"/>
        </w:rPr>
        <w:t>三</w:t>
      </w:r>
      <w:r>
        <w:rPr>
          <w:rFonts w:ascii="黑体" w:eastAsia="黑体" w:hAnsi="黑体" w:cs="黑体"/>
          <w:sz w:val="32"/>
          <w:szCs w:val="32"/>
        </w:rPr>
        <w:t>、</w:t>
      </w:r>
      <w:r>
        <w:rPr>
          <w:rFonts w:ascii="黑体" w:eastAsia="黑体" w:hAnsi="黑体" w:cs="黑体" w:hint="eastAsia"/>
          <w:sz w:val="32"/>
          <w:szCs w:val="32"/>
        </w:rPr>
        <w:t>《办法》的结构及主要内容</w:t>
      </w:r>
    </w:p>
    <w:p w14:paraId="7FDE4FB8" w14:textId="77777777" w:rsidR="003C24A3" w:rsidRDefault="003C24A3" w:rsidP="003C24A3">
      <w:pPr>
        <w:adjustRightInd w:val="0"/>
        <w:spacing w:line="560" w:lineRule="exact"/>
        <w:ind w:firstLine="640"/>
        <w:rPr>
          <w:rFonts w:ascii="仿宋_GB2312" w:eastAsia="仿宋_GB2312" w:hAnsi="仿宋" w:cs="仿宋_GB2312"/>
        </w:rPr>
      </w:pPr>
      <w:r>
        <w:rPr>
          <w:rFonts w:ascii="仿宋_GB2312" w:eastAsia="仿宋_GB2312" w:hAnsi="仿宋" w:cs="仿宋_GB2312" w:hint="eastAsia"/>
          <w:sz w:val="32"/>
          <w:szCs w:val="32"/>
        </w:rPr>
        <w:t>本次修订《办法》共六章三十四条，包括：</w:t>
      </w:r>
      <w:r>
        <w:rPr>
          <w:rFonts w:ascii="仿宋_GB2312" w:eastAsia="仿宋_GB2312" w:hAnsi="仿宋" w:cs="仿宋_GB2312" w:hint="eastAsia"/>
          <w:b/>
          <w:sz w:val="32"/>
          <w:szCs w:val="32"/>
        </w:rPr>
        <w:t>一是总则。</w:t>
      </w:r>
      <w:r>
        <w:rPr>
          <w:rFonts w:ascii="仿宋_GB2312" w:eastAsia="仿宋_GB2312" w:hAnsi="仿宋" w:cs="仿宋_GB2312" w:hint="eastAsia"/>
          <w:sz w:val="32"/>
          <w:szCs w:val="32"/>
        </w:rPr>
        <w:t>阐述办法起草依据、目的、界定及工作职责等内容。</w:t>
      </w:r>
      <w:r>
        <w:rPr>
          <w:rFonts w:ascii="仿宋_GB2312" w:eastAsia="仿宋_GB2312" w:hAnsi="仿宋" w:cs="仿宋_GB2312" w:hint="eastAsia"/>
          <w:b/>
          <w:sz w:val="32"/>
          <w:szCs w:val="32"/>
        </w:rPr>
        <w:t>二是定点机构的确定。</w:t>
      </w:r>
      <w:r>
        <w:rPr>
          <w:rFonts w:ascii="仿宋_GB2312" w:eastAsia="仿宋_GB2312" w:hAnsi="仿宋" w:cs="仿宋_GB2312" w:hint="eastAsia"/>
          <w:sz w:val="32"/>
          <w:szCs w:val="32"/>
        </w:rPr>
        <w:t>包括申请成为定点机构的基本条件、申请流程、评审方式、复评认定、直接认定、资格有效期及不受理情形等内容。</w:t>
      </w:r>
      <w:r>
        <w:rPr>
          <w:rFonts w:ascii="仿宋_GB2312" w:eastAsia="仿宋_GB2312" w:hAnsi="仿宋" w:cs="仿宋_GB2312" w:hint="eastAsia"/>
          <w:b/>
          <w:sz w:val="32"/>
          <w:szCs w:val="32"/>
        </w:rPr>
        <w:t>三是定点机构服务要求。</w:t>
      </w:r>
      <w:r>
        <w:rPr>
          <w:rFonts w:ascii="仿宋_GB2312" w:eastAsia="仿宋_GB2312" w:hAnsi="仿宋" w:cs="仿宋_GB2312" w:hint="eastAsia"/>
          <w:sz w:val="32"/>
          <w:szCs w:val="32"/>
        </w:rPr>
        <w:t>提出服务对象自主选择定点机构、定点机构服务内容、超范围服务、康复评估及方案制定、档案管理、服务协议、收费标准、费用报销、教育培训、信息保密、自主推出、变更等基本要求。</w:t>
      </w:r>
      <w:r>
        <w:rPr>
          <w:rFonts w:ascii="仿宋_GB2312" w:eastAsia="仿宋_GB2312" w:hAnsi="仿宋" w:cs="仿宋_GB2312" w:hint="eastAsia"/>
          <w:b/>
          <w:sz w:val="32"/>
          <w:szCs w:val="32"/>
        </w:rPr>
        <w:t>四是定点机构违规处理。</w:t>
      </w:r>
      <w:r>
        <w:rPr>
          <w:rFonts w:ascii="仿宋_GB2312" w:eastAsia="仿宋_GB2312" w:hAnsi="仿宋" w:cs="仿宋_GB2312" w:hint="eastAsia"/>
          <w:bCs/>
        </w:rPr>
        <w:t>包括</w:t>
      </w:r>
      <w:r>
        <w:rPr>
          <w:rFonts w:ascii="仿宋_GB2312" w:eastAsia="仿宋_GB2312" w:hAnsi="仿宋" w:cs="仿宋_GB2312" w:hint="eastAsia"/>
          <w:bCs/>
          <w:sz w:val="32"/>
          <w:szCs w:val="32"/>
        </w:rPr>
        <w:t>对定点机构违规的界定及</w:t>
      </w:r>
      <w:r>
        <w:rPr>
          <w:rFonts w:ascii="仿宋_GB2312" w:eastAsia="仿宋_GB2312" w:hAnsi="仿宋" w:cs="仿宋_GB2312" w:hint="eastAsia"/>
          <w:sz w:val="32"/>
          <w:szCs w:val="32"/>
        </w:rPr>
        <w:t>处理方式。</w:t>
      </w:r>
      <w:r>
        <w:rPr>
          <w:rFonts w:ascii="仿宋_GB2312" w:eastAsia="仿宋_GB2312" w:hAnsi="仿宋" w:cs="仿宋_GB2312" w:hint="eastAsia"/>
          <w:b/>
          <w:sz w:val="32"/>
          <w:szCs w:val="32"/>
        </w:rPr>
        <w:t>五是保障措施。</w:t>
      </w:r>
      <w:r>
        <w:rPr>
          <w:rFonts w:ascii="仿宋_GB2312" w:eastAsia="仿宋_GB2312" w:hAnsi="仿宋" w:cs="仿宋_GB2312" w:hint="eastAsia"/>
          <w:sz w:val="32"/>
          <w:szCs w:val="32"/>
        </w:rPr>
        <w:t>从经费预算、加强领导、专业化建设、督导检查、绩效评估等方面明确定点机构管理的保障措施。</w:t>
      </w:r>
      <w:r>
        <w:rPr>
          <w:rFonts w:ascii="仿宋_GB2312" w:eastAsia="仿宋_GB2312" w:hAnsi="仿宋" w:cs="仿宋_GB2312" w:hint="eastAsia"/>
          <w:b/>
          <w:sz w:val="32"/>
          <w:szCs w:val="32"/>
        </w:rPr>
        <w:t>六是附则。</w:t>
      </w:r>
      <w:r>
        <w:rPr>
          <w:rFonts w:ascii="仿宋_GB2312" w:eastAsia="仿宋_GB2312" w:hAnsi="仿宋" w:cs="仿宋_GB2312" w:hint="eastAsia"/>
          <w:sz w:val="32"/>
          <w:szCs w:val="32"/>
        </w:rPr>
        <w:t>规定文件负责解释的单位和实施时间。</w:t>
      </w:r>
    </w:p>
    <w:p w14:paraId="0EA5551C" w14:textId="77777777" w:rsidR="003C24A3" w:rsidRDefault="003C24A3" w:rsidP="003C24A3">
      <w:pPr>
        <w:adjustRightInd w:val="0"/>
        <w:spacing w:line="560" w:lineRule="exact"/>
        <w:ind w:firstLine="640"/>
        <w:rPr>
          <w:rFonts w:ascii="楷体" w:eastAsia="楷体" w:hAnsi="楷体" w:cs="楷体"/>
          <w:b/>
        </w:rPr>
      </w:pPr>
      <w:r>
        <w:rPr>
          <w:rFonts w:ascii="黑体" w:eastAsia="黑体" w:hAnsi="黑体" w:cs="仿宋_GB2312" w:hint="eastAsia"/>
          <w:sz w:val="32"/>
          <w:szCs w:val="32"/>
        </w:rPr>
        <w:t>四</w:t>
      </w:r>
      <w:r>
        <w:rPr>
          <w:rFonts w:ascii="黑体" w:eastAsia="黑体" w:hAnsi="黑体" w:cs="仿宋_GB2312"/>
          <w:sz w:val="32"/>
          <w:szCs w:val="32"/>
        </w:rPr>
        <w:t>、有关问题的说明</w:t>
      </w:r>
    </w:p>
    <w:p w14:paraId="77BED209" w14:textId="77777777" w:rsidR="003C24A3" w:rsidRDefault="003C24A3" w:rsidP="003C24A3">
      <w:pPr>
        <w:adjustRightInd w:val="0"/>
        <w:spacing w:line="560" w:lineRule="exact"/>
        <w:ind w:firstLine="643"/>
        <w:rPr>
          <w:rFonts w:ascii="楷体_GB2312" w:eastAsia="楷体_GB2312" w:hAnsi="楷体" w:cs="楷体"/>
          <w:b/>
        </w:rPr>
      </w:pPr>
      <w:r>
        <w:rPr>
          <w:rFonts w:ascii="楷体_GB2312" w:eastAsia="楷体_GB2312" w:hAnsi="楷体" w:cs="楷体" w:hint="eastAsia"/>
          <w:b/>
          <w:sz w:val="32"/>
          <w:szCs w:val="32"/>
        </w:rPr>
        <w:t>（一）关于</w:t>
      </w:r>
      <w:r>
        <w:rPr>
          <w:rFonts w:ascii="楷体_GB2312" w:eastAsia="楷体_GB2312" w:hAnsi="楷体" w:cs="楷体" w:hint="eastAsia"/>
          <w:b/>
          <w:color w:val="171717"/>
          <w:sz w:val="32"/>
          <w:szCs w:val="32"/>
        </w:rPr>
        <w:t>各部门职责定位</w:t>
      </w:r>
    </w:p>
    <w:p w14:paraId="6E8C8C51" w14:textId="77777777" w:rsidR="003C24A3" w:rsidRDefault="003C24A3" w:rsidP="003C24A3">
      <w:pPr>
        <w:adjustRightInd w:val="0"/>
        <w:spacing w:line="560" w:lineRule="exact"/>
        <w:ind w:firstLine="640"/>
        <w:rPr>
          <w:rFonts w:ascii="仿宋_GB2312" w:eastAsia="仿宋_GB2312" w:hAnsi="仿宋" w:cs="仿宋_GB2312"/>
        </w:rPr>
      </w:pPr>
      <w:r>
        <w:rPr>
          <w:rFonts w:ascii="仿宋_GB2312" w:eastAsia="仿宋_GB2312" w:hAnsi="仿宋" w:cs="宋体" w:hint="eastAsia"/>
          <w:color w:val="000000"/>
          <w:kern w:val="0"/>
          <w:sz w:val="32"/>
          <w:szCs w:val="32"/>
          <w:lang w:bidi="ar"/>
        </w:rPr>
        <w:t>按照上位政策要求，结合我市实际，《办法》将各部门、单位职责明确如下：市残联牵头开展定点机构评估认定，负责全市定点机构建设的统筹规划，承担定点机构业务指导、监督管理职责；民政、卫生健康、教育等行业管理部门对定</w:t>
      </w:r>
      <w:r>
        <w:rPr>
          <w:rFonts w:ascii="仿宋_GB2312" w:eastAsia="仿宋_GB2312" w:hAnsi="仿宋" w:cs="宋体" w:hint="eastAsia"/>
          <w:color w:val="000000"/>
          <w:kern w:val="0"/>
          <w:sz w:val="32"/>
          <w:szCs w:val="32"/>
          <w:lang w:bidi="ar"/>
        </w:rPr>
        <w:lastRenderedPageBreak/>
        <w:t>点机构承担行业管理职责，并协助残联组织做好定点机构服务管理相关工作；市残联会同市民政、卫生健康、教育、市场监督管理等部门，成立领导小组，负责统筹协调全市定点机构管理监督工作；市残联、民政、卫生健康、教育、市场监督管理等部门依法依规开展定点机构检查监督工作，并根据需要协同开展联合专项检查；各区（新区）残联承担本辖区内康复服务定点机构的日常管理工作，并及时向市残联报告相关情况。</w:t>
      </w:r>
    </w:p>
    <w:p w14:paraId="20EFF2BE" w14:textId="77777777" w:rsidR="003C24A3" w:rsidRDefault="003C24A3" w:rsidP="003C24A3">
      <w:pPr>
        <w:adjustRightInd w:val="0"/>
        <w:spacing w:line="560" w:lineRule="exact"/>
        <w:ind w:firstLine="643"/>
        <w:rPr>
          <w:rFonts w:ascii="楷体_GB2312" w:eastAsia="楷体_GB2312" w:hAnsi="楷体" w:cs="楷体"/>
          <w:b/>
        </w:rPr>
      </w:pPr>
      <w:r>
        <w:rPr>
          <w:rFonts w:ascii="楷体_GB2312" w:eastAsia="楷体_GB2312" w:hAnsi="楷体" w:cs="楷体" w:hint="eastAsia"/>
          <w:b/>
          <w:sz w:val="32"/>
          <w:szCs w:val="32"/>
        </w:rPr>
        <w:t>（二）关于定点机构准入评审工作</w:t>
      </w:r>
    </w:p>
    <w:p w14:paraId="30402B7B" w14:textId="77777777" w:rsidR="003C24A3" w:rsidRDefault="003C24A3" w:rsidP="003C24A3">
      <w:pPr>
        <w:adjustRightInd w:val="0"/>
        <w:spacing w:line="560" w:lineRule="exact"/>
        <w:ind w:firstLine="640"/>
        <w:rPr>
          <w:rFonts w:ascii="仿宋_GB2312" w:eastAsia="仿宋_GB2312" w:hAnsi="仿宋" w:cs="仿宋_GB2312"/>
        </w:rPr>
      </w:pPr>
      <w:r>
        <w:rPr>
          <w:rFonts w:ascii="仿宋_GB2312" w:eastAsia="仿宋_GB2312" w:hAnsi="仿宋" w:cs="仿宋_GB2312" w:hint="eastAsia"/>
          <w:sz w:val="32"/>
          <w:szCs w:val="32"/>
        </w:rPr>
        <w:t>为加强机构准入评审，保障定点机构质量，《办法》结合北京、上海、广州等地现行的准入标准，形成了新的定点机构准入标准，优化了以下评审工作：每季度安一次集中评审；参加评审的专家成员从评审专家库中按专业类别有序选取，每次评审不少于3名专家，评审采取上门实地评审方式；市残联会同市民政、卫生健康等部门，共同组建肢体、智力、精神、视力、听力言语等各类别的康复服务专家技术指导组；市残联牵头组织开展定点机构认定工作，民政、卫生健康、教育等部门应当支持、协助或参与认定工作。</w:t>
      </w:r>
    </w:p>
    <w:p w14:paraId="6215A115" w14:textId="77777777" w:rsidR="003C24A3" w:rsidRPr="003C24A3" w:rsidRDefault="003C24A3"/>
    <w:sectPr w:rsidR="003C24A3" w:rsidRPr="003C2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A3"/>
    <w:rsid w:val="003C2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4E75"/>
  <w15:chartTrackingRefBased/>
  <w15:docId w15:val="{A0E09555-164A-4DC3-A9A7-3E8CB679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4A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 L</dc:creator>
  <cp:keywords/>
  <dc:description/>
  <cp:lastModifiedBy>ZN L</cp:lastModifiedBy>
  <cp:revision>1</cp:revision>
  <dcterms:created xsi:type="dcterms:W3CDTF">2021-06-24T07:02:00Z</dcterms:created>
  <dcterms:modified xsi:type="dcterms:W3CDTF">2021-06-24T07:02:00Z</dcterms:modified>
</cp:coreProperties>
</file>