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4"/>
        <w:rPr>
          <w:rFonts w:ascii="Times New Roman"/>
          <w:sz w:val="17"/>
        </w:rPr>
      </w:pPr>
      <w:r>
        <w:drawing>
          <wp:anchor distT="0" distB="0" distL="0" distR="0" simplePos="0" relativeHeight="251660288" behindDoc="1" locked="0" layoutInCell="1" allowOverlap="1">
            <wp:simplePos x="0" y="0"/>
            <wp:positionH relativeFrom="page">
              <wp:posOffset>33655</wp:posOffset>
            </wp:positionH>
            <wp:positionV relativeFrom="page">
              <wp:posOffset>72390</wp:posOffset>
            </wp:positionV>
            <wp:extent cx="7461885" cy="1061466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26" cstate="print"/>
                    <a:stretch>
                      <a:fillRect/>
                    </a:stretch>
                  </pic:blipFill>
                  <pic:spPr>
                    <a:xfrm>
                      <a:off x="0" y="0"/>
                      <a:ext cx="7461804" cy="10614651"/>
                    </a:xfrm>
                    <a:prstGeom prst="rect">
                      <a:avLst/>
                    </a:prstGeom>
                  </pic:spPr>
                </pic:pic>
              </a:graphicData>
            </a:graphic>
          </wp:anchor>
        </w:drawing>
      </w:r>
    </w:p>
    <w:p>
      <w:pPr>
        <w:spacing w:after="0"/>
        <w:rPr>
          <w:rFonts w:ascii="Times New Roman"/>
          <w:sz w:val="17"/>
        </w:rPr>
        <w:sectPr>
          <w:type w:val="continuous"/>
          <w:pgSz w:w="11910" w:h="16840"/>
          <w:pgMar w:top="1580" w:right="819" w:bottom="280" w:left="920" w:header="720" w:footer="720" w:gutter="0"/>
          <w:cols w:space="720" w:num="1"/>
        </w:sectPr>
      </w:pPr>
    </w:p>
    <w:p>
      <w:pPr>
        <w:pStyle w:val="5"/>
        <w:spacing w:before="4"/>
        <w:rPr>
          <w:rFonts w:ascii="Times New Roman"/>
          <w:sz w:val="37"/>
        </w:rPr>
      </w:pPr>
    </w:p>
    <w:p>
      <w:pPr>
        <w:spacing w:before="1"/>
        <w:ind w:left="3051" w:right="0" w:firstLine="0"/>
        <w:jc w:val="left"/>
        <w:rPr>
          <w:rFonts w:hint="eastAsia" w:ascii="黑体" w:eastAsia="黑体"/>
          <w:sz w:val="32"/>
        </w:rPr>
      </w:pPr>
      <w:r>
        <w:rPr>
          <w:rFonts w:hint="eastAsia" w:ascii="黑体" w:eastAsia="黑体"/>
          <w:sz w:val="32"/>
        </w:rPr>
        <w:t>深圳市工程建设地方标准</w:t>
      </w:r>
    </w:p>
    <w:p>
      <w:pPr>
        <w:spacing w:before="44"/>
        <w:ind w:left="1349" w:right="0" w:firstLine="0"/>
        <w:jc w:val="left"/>
        <w:rPr>
          <w:rFonts w:ascii="Times New Roman"/>
          <w:b/>
          <w:sz w:val="72"/>
        </w:rPr>
      </w:pPr>
      <w:r>
        <w:br w:type="column"/>
      </w:r>
      <w:r>
        <w:rPr>
          <w:rFonts w:ascii="Times New Roman"/>
          <w:b/>
          <w:sz w:val="72"/>
        </w:rPr>
        <w:t>SJG</w:t>
      </w:r>
    </w:p>
    <w:p>
      <w:pPr>
        <w:spacing w:before="208"/>
        <w:ind w:left="353" w:right="0" w:firstLine="0"/>
        <w:jc w:val="left"/>
        <w:rPr>
          <w:sz w:val="28"/>
        </w:rPr>
      </w:pPr>
      <w:r>
        <w:rPr>
          <w:rFonts w:ascii="仿宋" w:hAnsi="仿宋"/>
          <w:sz w:val="28"/>
        </w:rPr>
        <w:t xml:space="preserve">SJG </w:t>
      </w:r>
      <w:r>
        <w:rPr>
          <w:sz w:val="28"/>
        </w:rPr>
        <w:t>103—2021</w:t>
      </w:r>
    </w:p>
    <w:p>
      <w:pPr>
        <w:spacing w:after="0"/>
        <w:jc w:val="left"/>
        <w:rPr>
          <w:sz w:val="28"/>
        </w:rPr>
        <w:sectPr>
          <w:pgSz w:w="11910" w:h="16840"/>
          <w:pgMar w:top="1100" w:right="819" w:bottom="280" w:left="920" w:header="720" w:footer="720" w:gutter="0"/>
          <w:cols w:equalWidth="0" w:num="2">
            <w:col w:w="6971" w:space="40"/>
            <w:col w:w="3160"/>
          </w:cols>
        </w:sectPr>
      </w:pPr>
    </w:p>
    <w:p>
      <w:pPr>
        <w:pStyle w:val="5"/>
        <w:rPr>
          <w:sz w:val="20"/>
        </w:rPr>
      </w:pPr>
      <w:r>
        <mc:AlternateContent>
          <mc:Choice Requires="wps">
            <w:drawing>
              <wp:anchor distT="0" distB="0" distL="114300" distR="114300" simplePos="0" relativeHeight="251680768" behindDoc="0" locked="0" layoutInCell="1" allowOverlap="1">
                <wp:simplePos x="0" y="0"/>
                <wp:positionH relativeFrom="page">
                  <wp:posOffset>0</wp:posOffset>
                </wp:positionH>
                <wp:positionV relativeFrom="page">
                  <wp:posOffset>8306435</wp:posOffset>
                </wp:positionV>
                <wp:extent cx="7559675" cy="0"/>
                <wp:effectExtent l="0" t="0" r="0" b="0"/>
                <wp:wrapNone/>
                <wp:docPr id="20" name="直线 2"/>
                <wp:cNvGraphicFramePr/>
                <a:graphic xmlns:a="http://schemas.openxmlformats.org/drawingml/2006/main">
                  <a:graphicData uri="http://schemas.microsoft.com/office/word/2010/wordprocessingShape">
                    <wps:wsp>
                      <wps:cNvSpPr/>
                      <wps:spPr>
                        <a:xfrm>
                          <a:off x="0" y="0"/>
                          <a:ext cx="75596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0pt;margin-top:654.05pt;height:0pt;width:595.25pt;mso-position-horizontal-relative:page;mso-position-vertical-relative:page;z-index:251680768;mso-width-relative:page;mso-height-relative:page;" filled="f" stroked="t" coordsize="21600,21600" o:gfxdata="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yRKGb1QAA&#10;AAsBAAAPAAAAAAAAAAEAIAAAACIAAABkcnMvZG93bnJldi54bWxQSwECFAAUAAAACACHTuJAZNqq&#10;FegBAADcAwAADgAAAAAAAAABACAAAAAkAQAAZHJzL2Uyb0RvYy54bWxQSwUGAAAAAAYABgBZAQAA&#10;f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41910</wp:posOffset>
                </wp:positionH>
                <wp:positionV relativeFrom="page">
                  <wp:posOffset>1691640</wp:posOffset>
                </wp:positionV>
                <wp:extent cx="7517130" cy="0"/>
                <wp:effectExtent l="0" t="0" r="0" b="0"/>
                <wp:wrapNone/>
                <wp:docPr id="2" name="直线 3"/>
                <wp:cNvGraphicFramePr/>
                <a:graphic xmlns:a="http://schemas.openxmlformats.org/drawingml/2006/main">
                  <a:graphicData uri="http://schemas.microsoft.com/office/word/2010/wordprocessingShape">
                    <wps:wsp>
                      <wps:cNvSpPr/>
                      <wps:spPr>
                        <a:xfrm>
                          <a:off x="0" y="0"/>
                          <a:ext cx="7517130" cy="0"/>
                        </a:xfrm>
                        <a:prstGeom prst="line">
                          <a:avLst/>
                        </a:prstGeom>
                        <a:ln w="18957"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3.3pt;margin-top:133.2pt;height:0pt;width:591.9pt;mso-position-horizontal-relative:page;mso-position-vertical-relative:page;z-index:-251654144;mso-width-relative:page;mso-height-relative:page;" filled="f" stroked="t" coordsize="21600,21600" o:gfxdata="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d01aI&#10;2AAAAAoBAAAPAAAAAAAAAAEAIAAAACIAAABkcnMvZG93bnJldi54bWxQSwECFAAUAAAACACHTuJA&#10;EEfeJugBAADcAwAADgAAAAAAAAABACAAAAAnAQAAZHJzL2Uyb0RvYy54bWxQSwUGAAAAAAYABgBZ&#10;AQAAgQUAAAAA&#10;">
                <v:fill on="f" focussize="0,0"/>
                <v:stroke weight="1.49267716535433pt" color="#000000" joinstyle="round"/>
                <v:imagedata o:title=""/>
                <o:lock v:ext="edit" aspectratio="f"/>
              </v:line>
            </w:pict>
          </mc:Fallback>
        </mc:AlternateConten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3"/>
        <w:rPr>
          <w:sz w:val="26"/>
        </w:rPr>
      </w:pPr>
    </w:p>
    <w:p>
      <w:pPr>
        <w:spacing w:before="37"/>
        <w:ind w:left="2705" w:right="2803" w:firstLine="0"/>
        <w:jc w:val="center"/>
        <w:rPr>
          <w:rFonts w:hint="eastAsia" w:ascii="黑体" w:eastAsia="黑体"/>
          <w:sz w:val="44"/>
        </w:rPr>
      </w:pPr>
      <w:r>
        <w:rPr>
          <w:rFonts w:hint="eastAsia" w:ascii="黑体" w:eastAsia="黑体"/>
          <w:sz w:val="44"/>
        </w:rPr>
        <w:t>无障碍设计标准</w:t>
      </w:r>
    </w:p>
    <w:p>
      <w:pPr>
        <w:spacing w:before="165"/>
        <w:ind w:left="2707" w:right="2803" w:firstLine="0"/>
        <w:jc w:val="center"/>
        <w:rPr>
          <w:rFonts w:ascii="仿宋"/>
          <w:sz w:val="28"/>
        </w:rPr>
      </w:pPr>
      <w:r>
        <w:rPr>
          <w:rFonts w:ascii="仿宋"/>
          <w:sz w:val="28"/>
        </w:rPr>
        <w:t>Standard for accessibility design</w:t>
      </w:r>
    </w:p>
    <w:p>
      <w:pPr>
        <w:pStyle w:val="5"/>
        <w:rPr>
          <w:rFonts w:ascii="仿宋"/>
          <w:sz w:val="28"/>
        </w:rPr>
      </w:pPr>
    </w:p>
    <w:p>
      <w:pPr>
        <w:pStyle w:val="5"/>
        <w:rPr>
          <w:rFonts w:ascii="仿宋"/>
          <w:sz w:val="28"/>
        </w:rPr>
      </w:pPr>
    </w:p>
    <w:p>
      <w:pPr>
        <w:pStyle w:val="5"/>
        <w:rPr>
          <w:rFonts w:ascii="仿宋"/>
          <w:sz w:val="28"/>
        </w:rPr>
      </w:pPr>
    </w:p>
    <w:p>
      <w:pPr>
        <w:pStyle w:val="5"/>
        <w:rPr>
          <w:rFonts w:ascii="仿宋"/>
          <w:sz w:val="28"/>
        </w:rPr>
      </w:pPr>
    </w:p>
    <w:p>
      <w:pPr>
        <w:pStyle w:val="5"/>
        <w:rPr>
          <w:rFonts w:ascii="仿宋"/>
          <w:sz w:val="28"/>
        </w:rPr>
      </w:pPr>
    </w:p>
    <w:p>
      <w:pPr>
        <w:pStyle w:val="5"/>
        <w:rPr>
          <w:rFonts w:ascii="仿宋"/>
          <w:sz w:val="28"/>
        </w:rPr>
      </w:pPr>
    </w:p>
    <w:p>
      <w:pPr>
        <w:pStyle w:val="5"/>
        <w:rPr>
          <w:rFonts w:ascii="仿宋"/>
          <w:sz w:val="28"/>
        </w:rPr>
      </w:pPr>
    </w:p>
    <w:p>
      <w:pPr>
        <w:pStyle w:val="5"/>
        <w:rPr>
          <w:rFonts w:ascii="仿宋"/>
          <w:sz w:val="28"/>
        </w:rPr>
      </w:pPr>
    </w:p>
    <w:p>
      <w:pPr>
        <w:pStyle w:val="5"/>
        <w:rPr>
          <w:rFonts w:ascii="仿宋"/>
          <w:sz w:val="28"/>
        </w:rPr>
      </w:pPr>
    </w:p>
    <w:p>
      <w:pPr>
        <w:pStyle w:val="5"/>
        <w:rPr>
          <w:rFonts w:ascii="仿宋"/>
          <w:sz w:val="28"/>
        </w:rPr>
      </w:pPr>
    </w:p>
    <w:p>
      <w:pPr>
        <w:pStyle w:val="5"/>
        <w:rPr>
          <w:rFonts w:ascii="仿宋"/>
          <w:sz w:val="28"/>
        </w:rPr>
      </w:pPr>
    </w:p>
    <w:p>
      <w:pPr>
        <w:pStyle w:val="5"/>
        <w:rPr>
          <w:rFonts w:ascii="仿宋"/>
          <w:sz w:val="28"/>
        </w:rPr>
      </w:pPr>
    </w:p>
    <w:p>
      <w:pPr>
        <w:pStyle w:val="5"/>
        <w:rPr>
          <w:rFonts w:ascii="仿宋"/>
          <w:sz w:val="28"/>
        </w:rPr>
      </w:pPr>
    </w:p>
    <w:p>
      <w:pPr>
        <w:pStyle w:val="5"/>
        <w:rPr>
          <w:rFonts w:ascii="仿宋"/>
          <w:sz w:val="28"/>
        </w:rPr>
      </w:pPr>
    </w:p>
    <w:p>
      <w:pPr>
        <w:pStyle w:val="5"/>
        <w:rPr>
          <w:rFonts w:ascii="仿宋"/>
          <w:sz w:val="28"/>
        </w:rPr>
      </w:pPr>
    </w:p>
    <w:p>
      <w:pPr>
        <w:tabs>
          <w:tab w:val="left" w:pos="7097"/>
        </w:tabs>
        <w:spacing w:before="188"/>
        <w:ind w:left="1031" w:right="0" w:firstLine="0"/>
        <w:jc w:val="left"/>
        <w:rPr>
          <w:rFonts w:hint="eastAsia" w:ascii="黑体" w:eastAsia="黑体"/>
          <w:sz w:val="28"/>
        </w:rPr>
      </w:pPr>
      <w:r>
        <w:rPr>
          <w:rFonts w:ascii="Times New Roman" w:eastAsia="Times New Roman"/>
          <w:sz w:val="28"/>
        </w:rPr>
        <w:t>2021-</w:t>
      </w:r>
      <w:r>
        <w:rPr>
          <w:rFonts w:hint="eastAsia" w:ascii="仿宋" w:eastAsia="仿宋"/>
          <w:sz w:val="28"/>
        </w:rPr>
        <w:t>12</w:t>
      </w:r>
      <w:r>
        <w:rPr>
          <w:rFonts w:ascii="Times New Roman" w:eastAsia="Times New Roman"/>
          <w:sz w:val="28"/>
        </w:rPr>
        <w:t>-25</w:t>
      </w:r>
      <w:r>
        <w:rPr>
          <w:rFonts w:ascii="Times New Roman" w:eastAsia="Times New Roman"/>
          <w:spacing w:val="67"/>
          <w:sz w:val="28"/>
        </w:rPr>
        <w:t xml:space="preserve"> </w:t>
      </w:r>
      <w:r>
        <w:rPr>
          <w:rFonts w:hint="eastAsia" w:ascii="黑体" w:eastAsia="黑体"/>
          <w:sz w:val="28"/>
        </w:rPr>
        <w:t>发布</w:t>
      </w:r>
      <w:r>
        <w:rPr>
          <w:rFonts w:hint="eastAsia" w:ascii="黑体" w:eastAsia="黑体"/>
          <w:sz w:val="28"/>
        </w:rPr>
        <w:tab/>
      </w:r>
      <w:r>
        <w:rPr>
          <w:rFonts w:ascii="Times New Roman" w:eastAsia="Times New Roman"/>
          <w:sz w:val="28"/>
        </w:rPr>
        <w:t>2022-</w:t>
      </w:r>
      <w:r>
        <w:rPr>
          <w:rFonts w:ascii="Times New Roman" w:eastAsia="Times New Roman"/>
          <w:spacing w:val="-1"/>
          <w:sz w:val="28"/>
        </w:rPr>
        <w:t xml:space="preserve"> </w:t>
      </w:r>
      <w:r>
        <w:rPr>
          <w:rFonts w:hint="eastAsia" w:ascii="仿宋" w:eastAsia="仿宋"/>
          <w:sz w:val="28"/>
        </w:rPr>
        <w:t>03</w:t>
      </w:r>
      <w:r>
        <w:rPr>
          <w:rFonts w:ascii="Times New Roman" w:eastAsia="Times New Roman"/>
          <w:sz w:val="28"/>
        </w:rPr>
        <w:t>-01</w:t>
      </w:r>
      <w:r>
        <w:rPr>
          <w:rFonts w:ascii="Times New Roman" w:eastAsia="Times New Roman"/>
          <w:spacing w:val="67"/>
          <w:sz w:val="28"/>
        </w:rPr>
        <w:t xml:space="preserve"> </w:t>
      </w:r>
      <w:r>
        <w:rPr>
          <w:rFonts w:hint="eastAsia" w:ascii="黑体" w:eastAsia="黑体"/>
          <w:sz w:val="28"/>
        </w:rPr>
        <w:t>实施</w:t>
      </w:r>
    </w:p>
    <w:p>
      <w:pPr>
        <w:spacing w:before="212"/>
        <w:ind w:left="2703" w:right="2803" w:firstLine="0"/>
        <w:jc w:val="center"/>
        <w:rPr>
          <w:rFonts w:hint="eastAsia" w:ascii="黑体" w:eastAsia="黑体"/>
          <w:sz w:val="36"/>
        </w:rPr>
      </w:pPr>
      <w:r>
        <w:rPr>
          <w:rFonts w:hint="eastAsia" w:ascii="黑体" w:eastAsia="黑体"/>
          <w:sz w:val="36"/>
        </w:rPr>
        <w:t>深圳市住房和建设局发布</w:t>
      </w:r>
    </w:p>
    <w:p>
      <w:pPr>
        <w:spacing w:after="0"/>
        <w:jc w:val="center"/>
        <w:rPr>
          <w:rFonts w:hint="eastAsia" w:ascii="黑体" w:eastAsia="黑体"/>
          <w:sz w:val="36"/>
        </w:rPr>
        <w:sectPr>
          <w:type w:val="continuous"/>
          <w:pgSz w:w="11910" w:h="16840"/>
          <w:pgMar w:top="1580" w:right="819" w:bottom="280" w:left="920" w:header="720" w:footer="720" w:gutter="0"/>
          <w:cols w:space="720" w:num="1"/>
        </w:sect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spacing w:before="6"/>
        <w:rPr>
          <w:rFonts w:ascii="黑体"/>
          <w:sz w:val="18"/>
        </w:rPr>
      </w:pPr>
    </w:p>
    <w:p>
      <w:pPr>
        <w:pStyle w:val="2"/>
        <w:spacing w:before="54"/>
        <w:ind w:left="0" w:right="97" w:firstLine="0"/>
        <w:jc w:val="center"/>
        <w:rPr>
          <w:rFonts w:hint="eastAsia" w:ascii="黑体" w:eastAsia="黑体"/>
        </w:rPr>
      </w:pPr>
      <w:r>
        <w:rPr>
          <w:rFonts w:hint="eastAsia" w:ascii="黑体" w:eastAsia="黑体"/>
        </w:rPr>
        <w:t>深圳市工程建设地方标准</w:t>
      </w:r>
    </w:p>
    <w:p>
      <w:pPr>
        <w:pStyle w:val="5"/>
        <w:rPr>
          <w:rFonts w:ascii="黑体"/>
          <w:b/>
          <w:sz w:val="32"/>
        </w:rPr>
      </w:pPr>
    </w:p>
    <w:p>
      <w:pPr>
        <w:pStyle w:val="5"/>
        <w:spacing w:before="5"/>
        <w:rPr>
          <w:rFonts w:ascii="黑体"/>
          <w:b/>
          <w:sz w:val="25"/>
        </w:rPr>
      </w:pPr>
    </w:p>
    <w:p>
      <w:pPr>
        <w:spacing w:before="0"/>
        <w:ind w:left="0" w:right="92" w:firstLine="0"/>
        <w:jc w:val="center"/>
        <w:rPr>
          <w:b/>
          <w:sz w:val="48"/>
        </w:rPr>
      </w:pPr>
      <w:r>
        <w:rPr>
          <w:b/>
          <w:sz w:val="48"/>
        </w:rPr>
        <w:t>无障碍设计标准</w:t>
      </w:r>
    </w:p>
    <w:p>
      <w:pPr>
        <w:spacing w:before="137"/>
        <w:ind w:left="0" w:right="96" w:firstLine="0"/>
        <w:jc w:val="center"/>
        <w:rPr>
          <w:rFonts w:ascii="仿宋"/>
          <w:sz w:val="28"/>
        </w:rPr>
      </w:pPr>
      <w:r>
        <w:rPr>
          <w:rFonts w:ascii="仿宋"/>
          <w:sz w:val="28"/>
        </w:rPr>
        <w:t>Standard for accessibility design</w:t>
      </w:r>
    </w:p>
    <w:p>
      <w:pPr>
        <w:pStyle w:val="5"/>
        <w:spacing w:before="9"/>
        <w:rPr>
          <w:rFonts w:ascii="仿宋"/>
          <w:sz w:val="19"/>
        </w:rPr>
      </w:pPr>
    </w:p>
    <w:p>
      <w:pPr>
        <w:pStyle w:val="3"/>
      </w:pPr>
      <w:r>
        <w:rPr>
          <w:rFonts w:ascii="仿宋" w:hAnsi="仿宋"/>
        </w:rPr>
        <w:t xml:space="preserve">SJG </w:t>
      </w:r>
      <w:r>
        <w:t>103—2021</w:t>
      </w:r>
    </w:p>
    <w:p>
      <w:pPr>
        <w:pStyle w:val="5"/>
        <w:rPr>
          <w:b/>
          <w:sz w:val="30"/>
        </w:rPr>
      </w:pPr>
    </w:p>
    <w:p>
      <w:pPr>
        <w:pStyle w:val="5"/>
        <w:rPr>
          <w:b/>
          <w:sz w:val="30"/>
        </w:rPr>
      </w:pPr>
    </w:p>
    <w:p>
      <w:pPr>
        <w:pStyle w:val="5"/>
        <w:rPr>
          <w:b/>
          <w:sz w:val="30"/>
        </w:rPr>
      </w:pPr>
    </w:p>
    <w:p>
      <w:pPr>
        <w:pStyle w:val="5"/>
        <w:rPr>
          <w:b/>
          <w:sz w:val="30"/>
        </w:rPr>
      </w:pPr>
    </w:p>
    <w:p>
      <w:pPr>
        <w:pStyle w:val="5"/>
        <w:rPr>
          <w:b/>
          <w:sz w:val="30"/>
        </w:rPr>
      </w:pPr>
    </w:p>
    <w:p>
      <w:pPr>
        <w:pStyle w:val="5"/>
        <w:rPr>
          <w:b/>
          <w:sz w:val="30"/>
        </w:rPr>
      </w:pPr>
    </w:p>
    <w:p>
      <w:pPr>
        <w:pStyle w:val="5"/>
        <w:rPr>
          <w:b/>
          <w:sz w:val="30"/>
        </w:rPr>
      </w:pPr>
    </w:p>
    <w:p>
      <w:pPr>
        <w:pStyle w:val="5"/>
        <w:rPr>
          <w:b/>
          <w:sz w:val="30"/>
        </w:rPr>
      </w:pPr>
    </w:p>
    <w:p>
      <w:pPr>
        <w:pStyle w:val="5"/>
        <w:rPr>
          <w:b/>
          <w:sz w:val="30"/>
        </w:rPr>
      </w:pPr>
    </w:p>
    <w:p>
      <w:pPr>
        <w:pStyle w:val="5"/>
        <w:rPr>
          <w:b/>
          <w:sz w:val="30"/>
        </w:rPr>
      </w:pPr>
    </w:p>
    <w:p>
      <w:pPr>
        <w:pStyle w:val="5"/>
        <w:rPr>
          <w:b/>
          <w:sz w:val="30"/>
        </w:rPr>
      </w:pPr>
    </w:p>
    <w:p>
      <w:pPr>
        <w:pStyle w:val="5"/>
        <w:rPr>
          <w:b/>
          <w:sz w:val="30"/>
        </w:rPr>
      </w:pPr>
    </w:p>
    <w:p>
      <w:pPr>
        <w:pStyle w:val="5"/>
        <w:rPr>
          <w:b/>
          <w:sz w:val="30"/>
        </w:rPr>
      </w:pPr>
    </w:p>
    <w:p>
      <w:pPr>
        <w:pStyle w:val="5"/>
        <w:rPr>
          <w:b/>
          <w:sz w:val="30"/>
        </w:rPr>
      </w:pPr>
    </w:p>
    <w:p>
      <w:pPr>
        <w:pStyle w:val="5"/>
        <w:rPr>
          <w:b/>
          <w:sz w:val="30"/>
        </w:rPr>
      </w:pPr>
    </w:p>
    <w:p>
      <w:pPr>
        <w:pStyle w:val="5"/>
        <w:rPr>
          <w:b/>
          <w:sz w:val="30"/>
        </w:rPr>
      </w:pPr>
    </w:p>
    <w:p>
      <w:pPr>
        <w:pStyle w:val="5"/>
        <w:rPr>
          <w:b/>
          <w:sz w:val="30"/>
        </w:rPr>
      </w:pPr>
    </w:p>
    <w:p>
      <w:pPr>
        <w:pStyle w:val="5"/>
        <w:rPr>
          <w:b/>
          <w:sz w:val="30"/>
        </w:rPr>
      </w:pPr>
    </w:p>
    <w:p>
      <w:pPr>
        <w:pStyle w:val="5"/>
        <w:rPr>
          <w:b/>
          <w:sz w:val="30"/>
        </w:rPr>
      </w:pPr>
    </w:p>
    <w:p>
      <w:pPr>
        <w:pStyle w:val="5"/>
        <w:rPr>
          <w:b/>
          <w:sz w:val="30"/>
        </w:rPr>
      </w:pPr>
    </w:p>
    <w:p>
      <w:pPr>
        <w:pStyle w:val="5"/>
        <w:spacing w:before="6"/>
        <w:rPr>
          <w:b/>
          <w:sz w:val="38"/>
        </w:rPr>
      </w:pPr>
    </w:p>
    <w:p>
      <w:pPr>
        <w:spacing w:before="0"/>
        <w:ind w:left="0" w:right="97" w:firstLine="0"/>
        <w:jc w:val="center"/>
        <w:rPr>
          <w:b/>
          <w:sz w:val="21"/>
        </w:rPr>
      </w:pPr>
      <w:r>
        <w:rPr>
          <w:rFonts w:ascii="Times New Roman" w:eastAsia="Times New Roman"/>
          <w:b/>
          <w:sz w:val="21"/>
        </w:rPr>
        <w:t xml:space="preserve">2021 </w:t>
      </w:r>
      <w:r>
        <w:rPr>
          <w:b/>
          <w:sz w:val="21"/>
        </w:rPr>
        <w:t>深圳</w:t>
      </w:r>
    </w:p>
    <w:p>
      <w:pPr>
        <w:spacing w:after="0"/>
        <w:jc w:val="center"/>
        <w:rPr>
          <w:sz w:val="21"/>
        </w:rPr>
        <w:sectPr>
          <w:pgSz w:w="11910" w:h="16840"/>
          <w:pgMar w:top="1580" w:right="820" w:bottom="280" w:left="920" w:header="720" w:footer="720" w:gutter="0"/>
          <w:cols w:space="720" w:num="1"/>
        </w:sectPr>
      </w:pPr>
    </w:p>
    <w:p>
      <w:pPr>
        <w:pStyle w:val="4"/>
        <w:rPr>
          <w:rFonts w:hint="eastAsia" w:ascii="黑体" w:eastAsia="黑体"/>
        </w:rPr>
      </w:pPr>
      <w:r>
        <w:rPr>
          <w:rFonts w:hint="eastAsia" w:ascii="黑体" w:eastAsia="黑体"/>
        </w:rPr>
        <w:t>前言</w:t>
      </w:r>
    </w:p>
    <w:p>
      <w:pPr>
        <w:spacing w:before="214" w:line="364" w:lineRule="auto"/>
        <w:ind w:left="212" w:right="351" w:firstLine="480"/>
        <w:jc w:val="both"/>
        <w:rPr>
          <w:sz w:val="24"/>
        </w:rPr>
      </w:pPr>
      <w:r>
        <w:rPr>
          <w:sz w:val="24"/>
        </w:rPr>
        <w:t>为规范本市建设工程无障碍设计，构建城市无障碍环境，提高全龄全民生活质量，受深圳市住房和建设局委托，编制组经广泛调查研究，认真总结国内相关建设成果和实践经验， 依据或参考有关技术标准，并在充分征求相关方面意见的基础上，制定本标准。</w:t>
      </w:r>
    </w:p>
    <w:p>
      <w:pPr>
        <w:spacing w:before="2" w:line="364" w:lineRule="auto"/>
        <w:ind w:left="212" w:right="351" w:firstLine="480"/>
        <w:jc w:val="both"/>
        <w:rPr>
          <w:sz w:val="24"/>
        </w:rPr>
      </w:pPr>
      <w:r>
        <w:rPr>
          <w:sz w:val="24"/>
        </w:rPr>
        <w:t>本标准主要技术内容包括：1</w:t>
      </w:r>
      <w:r>
        <w:rPr>
          <w:spacing w:val="-12"/>
          <w:sz w:val="24"/>
        </w:rPr>
        <w:t xml:space="preserve"> 总则； </w:t>
      </w:r>
      <w:r>
        <w:rPr>
          <w:sz w:val="24"/>
        </w:rPr>
        <w:t>2</w:t>
      </w:r>
      <w:r>
        <w:rPr>
          <w:spacing w:val="-20"/>
          <w:sz w:val="24"/>
        </w:rPr>
        <w:t xml:space="preserve"> 术语</w:t>
      </w:r>
      <w:r>
        <w:rPr>
          <w:sz w:val="24"/>
        </w:rPr>
        <w:t>；3</w:t>
      </w:r>
      <w:r>
        <w:rPr>
          <w:spacing w:val="-12"/>
          <w:sz w:val="24"/>
        </w:rPr>
        <w:t xml:space="preserve"> 基本规定</w:t>
      </w:r>
      <w:r>
        <w:rPr>
          <w:sz w:val="24"/>
        </w:rPr>
        <w:t>；4</w:t>
      </w:r>
      <w:r>
        <w:rPr>
          <w:spacing w:val="-9"/>
          <w:sz w:val="24"/>
        </w:rPr>
        <w:t xml:space="preserve"> 无障碍设施的设计要求；5 </w:t>
      </w:r>
      <w:r>
        <w:rPr>
          <w:sz w:val="24"/>
        </w:rPr>
        <w:t>城市道路；6</w:t>
      </w:r>
      <w:r>
        <w:rPr>
          <w:spacing w:val="-12"/>
          <w:sz w:val="24"/>
        </w:rPr>
        <w:t xml:space="preserve"> 城市广场</w:t>
      </w:r>
      <w:r>
        <w:rPr>
          <w:sz w:val="24"/>
        </w:rPr>
        <w:t>；7</w:t>
      </w:r>
      <w:r>
        <w:rPr>
          <w:spacing w:val="-12"/>
          <w:sz w:val="24"/>
        </w:rPr>
        <w:t xml:space="preserve"> 城市绿地</w:t>
      </w:r>
      <w:r>
        <w:rPr>
          <w:sz w:val="24"/>
        </w:rPr>
        <w:t>；8</w:t>
      </w:r>
      <w:r>
        <w:rPr>
          <w:spacing w:val="-14"/>
          <w:sz w:val="24"/>
        </w:rPr>
        <w:t xml:space="preserve"> 城市建筑；附录 </w:t>
      </w:r>
      <w:r>
        <w:rPr>
          <w:sz w:val="24"/>
        </w:rPr>
        <w:t>A。</w:t>
      </w:r>
    </w:p>
    <w:p>
      <w:pPr>
        <w:spacing w:before="1" w:line="364" w:lineRule="auto"/>
        <w:ind w:left="212" w:right="351" w:firstLine="480"/>
        <w:jc w:val="left"/>
        <w:rPr>
          <w:sz w:val="24"/>
        </w:rPr>
      </w:pPr>
      <w:r>
        <w:rPr>
          <w:sz w:val="24"/>
        </w:rPr>
        <w:t>本标准由深圳市住房和建设局提出、业务归口及批准发布，由深圳大学本原设计研究中心负责具体技术条文解释。本标准在执行过程中如发现需要修改和补充之处，请将意见和有关资料寄送至深圳大学本原设计研究中心（地址：深圳市南山区南海大道 3688 号；邮编： 518000），以供今后修订时参考。</w:t>
      </w:r>
    </w:p>
    <w:p>
      <w:pPr>
        <w:spacing w:before="3" w:line="364" w:lineRule="auto"/>
        <w:ind w:left="692" w:right="3951" w:firstLine="0"/>
        <w:jc w:val="left"/>
        <w:rPr>
          <w:sz w:val="24"/>
        </w:rPr>
      </w:pPr>
      <w:r>
        <w:rPr>
          <w:sz w:val="24"/>
        </w:rPr>
        <w:t xml:space="preserve">本标准主编单位：深圳大学（本原设计研究中心） </w:t>
      </w:r>
      <w:r>
        <w:rPr>
          <w:spacing w:val="-1"/>
          <w:sz w:val="24"/>
        </w:rPr>
        <w:t>本标准参编单位：深圳市建筑设计研究总院有限公司</w:t>
      </w:r>
    </w:p>
    <w:p>
      <w:pPr>
        <w:spacing w:before="1"/>
        <w:ind w:left="2624" w:right="0" w:firstLine="0"/>
        <w:jc w:val="left"/>
        <w:rPr>
          <w:sz w:val="24"/>
        </w:rPr>
      </w:pPr>
      <w:r>
        <w:rPr>
          <w:sz w:val="24"/>
        </w:rPr>
        <w:t>深圳市勘察设计行业协会</w:t>
      </w:r>
    </w:p>
    <w:p>
      <w:pPr>
        <w:spacing w:before="160"/>
        <w:ind w:left="2624" w:right="0" w:firstLine="0"/>
        <w:jc w:val="left"/>
        <w:rPr>
          <w:sz w:val="24"/>
        </w:rPr>
      </w:pPr>
      <w:r>
        <w:rPr>
          <w:sz w:val="24"/>
        </w:rPr>
        <w:t>深圳市市政设计研究院有限公司</w:t>
      </w:r>
    </w:p>
    <w:p>
      <w:pPr>
        <w:spacing w:before="161" w:line="364" w:lineRule="auto"/>
        <w:ind w:left="2624" w:right="2979" w:firstLine="0"/>
        <w:jc w:val="left"/>
        <w:rPr>
          <w:sz w:val="24"/>
        </w:rPr>
      </w:pPr>
      <w:r>
        <w:rPr>
          <w:sz w:val="24"/>
        </w:rPr>
        <w:t>深圳媚道风景园林与城市规划设计有限公司深圳华森建筑与工程设计顾问有限公司</w:t>
      </w:r>
    </w:p>
    <w:p>
      <w:pPr>
        <w:spacing w:before="1"/>
        <w:ind w:left="2624" w:right="0" w:firstLine="0"/>
        <w:jc w:val="left"/>
        <w:rPr>
          <w:sz w:val="24"/>
        </w:rPr>
      </w:pPr>
      <w:r>
        <w:rPr>
          <w:sz w:val="24"/>
        </w:rPr>
        <w:t>筑博设计股份有限公司</w:t>
      </w:r>
    </w:p>
    <w:p>
      <w:pPr>
        <w:spacing w:before="160" w:line="364" w:lineRule="auto"/>
        <w:ind w:left="2624" w:right="3699" w:firstLine="0"/>
        <w:jc w:val="left"/>
        <w:rPr>
          <w:sz w:val="24"/>
        </w:rPr>
      </w:pPr>
      <w:r>
        <w:rPr>
          <w:sz w:val="24"/>
        </w:rPr>
        <w:t>深圳市建筑科学研究院股份有限公司清华大学无障碍发展研究院</w:t>
      </w:r>
    </w:p>
    <w:p>
      <w:pPr>
        <w:spacing w:before="2"/>
        <w:ind w:left="2624" w:right="0" w:firstLine="0"/>
        <w:jc w:val="left"/>
        <w:rPr>
          <w:sz w:val="24"/>
        </w:rPr>
      </w:pPr>
      <w:r>
        <w:rPr>
          <w:sz w:val="24"/>
        </w:rPr>
        <w:t>深圳市无障碍环境促进会</w:t>
      </w:r>
    </w:p>
    <w:p>
      <w:pPr>
        <w:spacing w:before="160"/>
        <w:ind w:left="2624" w:right="0" w:firstLine="0"/>
        <w:jc w:val="left"/>
        <w:rPr>
          <w:sz w:val="24"/>
        </w:rPr>
      </w:pPr>
      <w:r>
        <w:rPr>
          <w:sz w:val="24"/>
        </w:rPr>
        <w:t>深圳市建筑信息模型产业创新发展促进会</w:t>
      </w:r>
    </w:p>
    <w:p>
      <w:pPr>
        <w:pStyle w:val="5"/>
        <w:spacing w:before="2"/>
        <w:rPr>
          <w:sz w:val="15"/>
        </w:rPr>
      </w:pPr>
    </w:p>
    <w:tbl>
      <w:tblPr>
        <w:tblStyle w:val="9"/>
        <w:tblW w:w="0" w:type="auto"/>
        <w:tblInd w:w="6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398"/>
        <w:gridCol w:w="960"/>
        <w:gridCol w:w="960"/>
        <w:gridCol w:w="960"/>
        <w:gridCol w:w="960"/>
        <w:gridCol w:w="9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4" w:hRule="atLeast"/>
        </w:trPr>
        <w:tc>
          <w:tcPr>
            <w:tcW w:w="3398" w:type="dxa"/>
          </w:tcPr>
          <w:p>
            <w:pPr>
              <w:pStyle w:val="13"/>
              <w:spacing w:line="274" w:lineRule="exact"/>
              <w:ind w:right="107"/>
              <w:jc w:val="right"/>
              <w:rPr>
                <w:sz w:val="24"/>
              </w:rPr>
            </w:pPr>
            <w:r>
              <w:rPr>
                <w:sz w:val="24"/>
              </w:rPr>
              <w:t>本标准主要起草人员： 孟建民</w:t>
            </w:r>
          </w:p>
        </w:tc>
        <w:tc>
          <w:tcPr>
            <w:tcW w:w="960" w:type="dxa"/>
          </w:tcPr>
          <w:p>
            <w:pPr>
              <w:pStyle w:val="13"/>
              <w:spacing w:line="274" w:lineRule="exact"/>
              <w:ind w:left="131"/>
              <w:rPr>
                <w:sz w:val="24"/>
              </w:rPr>
            </w:pPr>
            <w:r>
              <w:rPr>
                <w:sz w:val="24"/>
              </w:rPr>
              <w:t>王晓东</w:t>
            </w:r>
          </w:p>
        </w:tc>
        <w:tc>
          <w:tcPr>
            <w:tcW w:w="960" w:type="dxa"/>
          </w:tcPr>
          <w:p>
            <w:pPr>
              <w:pStyle w:val="13"/>
              <w:tabs>
                <w:tab w:val="left" w:pos="611"/>
              </w:tabs>
              <w:spacing w:line="274" w:lineRule="exact"/>
              <w:ind w:left="131"/>
              <w:rPr>
                <w:sz w:val="24"/>
              </w:rPr>
            </w:pPr>
            <w:r>
              <w:rPr>
                <w:sz w:val="24"/>
              </w:rPr>
              <w:t>刘</w:t>
            </w:r>
            <w:r>
              <w:rPr>
                <w:sz w:val="24"/>
              </w:rPr>
              <w:tab/>
            </w:r>
            <w:r>
              <w:rPr>
                <w:sz w:val="24"/>
              </w:rPr>
              <w:t>芳</w:t>
            </w:r>
          </w:p>
        </w:tc>
        <w:tc>
          <w:tcPr>
            <w:tcW w:w="960" w:type="dxa"/>
          </w:tcPr>
          <w:p>
            <w:pPr>
              <w:pStyle w:val="13"/>
              <w:spacing w:line="274" w:lineRule="exact"/>
              <w:ind w:left="131"/>
              <w:rPr>
                <w:sz w:val="24"/>
              </w:rPr>
            </w:pPr>
            <w:r>
              <w:rPr>
                <w:sz w:val="24"/>
              </w:rPr>
              <w:t>李良胜</w:t>
            </w:r>
          </w:p>
        </w:tc>
        <w:tc>
          <w:tcPr>
            <w:tcW w:w="960" w:type="dxa"/>
          </w:tcPr>
          <w:p>
            <w:pPr>
              <w:pStyle w:val="13"/>
              <w:spacing w:line="274" w:lineRule="exact"/>
              <w:ind w:left="131"/>
              <w:rPr>
                <w:sz w:val="24"/>
              </w:rPr>
            </w:pPr>
            <w:r>
              <w:rPr>
                <w:sz w:val="24"/>
              </w:rPr>
              <w:t>朱燕梅</w:t>
            </w:r>
          </w:p>
        </w:tc>
        <w:tc>
          <w:tcPr>
            <w:tcW w:w="902" w:type="dxa"/>
          </w:tcPr>
          <w:p>
            <w:pPr>
              <w:pStyle w:val="13"/>
              <w:spacing w:line="274" w:lineRule="exact"/>
              <w:ind w:left="82"/>
              <w:jc w:val="center"/>
              <w:rPr>
                <w:sz w:val="24"/>
              </w:rPr>
            </w:pPr>
            <w:r>
              <w:rPr>
                <w:sz w:val="24"/>
              </w:rPr>
              <w:t>谢秋芃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8" w:hRule="atLeast"/>
        </w:trPr>
        <w:tc>
          <w:tcPr>
            <w:tcW w:w="3398" w:type="dxa"/>
          </w:tcPr>
          <w:p>
            <w:pPr>
              <w:pStyle w:val="13"/>
              <w:spacing w:before="80"/>
              <w:ind w:right="131"/>
              <w:jc w:val="right"/>
              <w:rPr>
                <w:sz w:val="24"/>
              </w:rPr>
            </w:pPr>
            <w:r>
              <w:rPr>
                <w:sz w:val="24"/>
              </w:rPr>
              <w:t>陈宜言</w:t>
            </w:r>
          </w:p>
        </w:tc>
        <w:tc>
          <w:tcPr>
            <w:tcW w:w="960" w:type="dxa"/>
          </w:tcPr>
          <w:p>
            <w:pPr>
              <w:pStyle w:val="13"/>
              <w:tabs>
                <w:tab w:val="left" w:pos="587"/>
              </w:tabs>
              <w:spacing w:before="80"/>
              <w:ind w:left="107"/>
              <w:rPr>
                <w:sz w:val="24"/>
              </w:rPr>
            </w:pPr>
            <w:r>
              <w:rPr>
                <w:sz w:val="24"/>
              </w:rPr>
              <w:t>何</w:t>
            </w:r>
            <w:r>
              <w:rPr>
                <w:sz w:val="24"/>
              </w:rPr>
              <w:tab/>
            </w:r>
            <w:r>
              <w:rPr>
                <w:sz w:val="24"/>
              </w:rPr>
              <w:t>昉</w:t>
            </w:r>
          </w:p>
        </w:tc>
        <w:tc>
          <w:tcPr>
            <w:tcW w:w="960" w:type="dxa"/>
          </w:tcPr>
          <w:p>
            <w:pPr>
              <w:pStyle w:val="13"/>
              <w:spacing w:before="80"/>
              <w:ind w:left="107"/>
              <w:rPr>
                <w:sz w:val="24"/>
              </w:rPr>
            </w:pPr>
            <w:r>
              <w:rPr>
                <w:sz w:val="24"/>
              </w:rPr>
              <w:t>黄晓东</w:t>
            </w:r>
          </w:p>
        </w:tc>
        <w:tc>
          <w:tcPr>
            <w:tcW w:w="960" w:type="dxa"/>
          </w:tcPr>
          <w:p>
            <w:pPr>
              <w:pStyle w:val="13"/>
              <w:tabs>
                <w:tab w:val="left" w:pos="587"/>
              </w:tabs>
              <w:spacing w:before="80"/>
              <w:ind w:left="107"/>
              <w:rPr>
                <w:sz w:val="24"/>
              </w:rPr>
            </w:pPr>
            <w:r>
              <w:rPr>
                <w:sz w:val="24"/>
              </w:rPr>
              <w:t>张</w:t>
            </w:r>
            <w:r>
              <w:rPr>
                <w:sz w:val="24"/>
              </w:rPr>
              <w:tab/>
            </w:r>
            <w:r>
              <w:rPr>
                <w:sz w:val="24"/>
              </w:rPr>
              <w:t>晖</w:t>
            </w:r>
          </w:p>
        </w:tc>
        <w:tc>
          <w:tcPr>
            <w:tcW w:w="960" w:type="dxa"/>
          </w:tcPr>
          <w:p>
            <w:pPr>
              <w:pStyle w:val="13"/>
              <w:tabs>
                <w:tab w:val="left" w:pos="587"/>
              </w:tabs>
              <w:spacing w:before="80"/>
              <w:ind w:left="107"/>
              <w:rPr>
                <w:sz w:val="24"/>
              </w:rPr>
            </w:pPr>
            <w:r>
              <w:rPr>
                <w:sz w:val="24"/>
              </w:rPr>
              <w:t>张</w:t>
            </w:r>
            <w:r>
              <w:rPr>
                <w:sz w:val="24"/>
              </w:rPr>
              <w:tab/>
            </w:r>
            <w:r>
              <w:rPr>
                <w:sz w:val="24"/>
              </w:rPr>
              <w:t>希</w:t>
            </w:r>
          </w:p>
        </w:tc>
        <w:tc>
          <w:tcPr>
            <w:tcW w:w="902" w:type="dxa"/>
          </w:tcPr>
          <w:p>
            <w:pPr>
              <w:pStyle w:val="13"/>
              <w:tabs>
                <w:tab w:val="left" w:pos="513"/>
              </w:tabs>
              <w:spacing w:before="80"/>
              <w:ind w:left="34"/>
              <w:jc w:val="center"/>
              <w:rPr>
                <w:sz w:val="24"/>
              </w:rPr>
            </w:pPr>
            <w:r>
              <w:rPr>
                <w:sz w:val="24"/>
              </w:rPr>
              <w:t>刘</w:t>
            </w:r>
            <w:r>
              <w:rPr>
                <w:sz w:val="24"/>
              </w:rPr>
              <w:tab/>
            </w:r>
            <w:r>
              <w:rPr>
                <w:sz w:val="24"/>
              </w:rPr>
              <w:t>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3398" w:type="dxa"/>
          </w:tcPr>
          <w:p>
            <w:pPr>
              <w:pStyle w:val="13"/>
              <w:tabs>
                <w:tab w:val="left" w:pos="479"/>
              </w:tabs>
              <w:spacing w:before="80"/>
              <w:ind w:right="131"/>
              <w:jc w:val="right"/>
              <w:rPr>
                <w:sz w:val="24"/>
              </w:rPr>
            </w:pPr>
            <w:r>
              <w:rPr>
                <w:sz w:val="24"/>
              </w:rPr>
              <w:t>邵</w:t>
            </w:r>
            <w:r>
              <w:rPr>
                <w:sz w:val="24"/>
              </w:rPr>
              <w:tab/>
            </w:r>
            <w:r>
              <w:rPr>
                <w:sz w:val="24"/>
              </w:rPr>
              <w:t>磊</w:t>
            </w:r>
          </w:p>
        </w:tc>
        <w:tc>
          <w:tcPr>
            <w:tcW w:w="960" w:type="dxa"/>
          </w:tcPr>
          <w:p>
            <w:pPr>
              <w:pStyle w:val="13"/>
              <w:tabs>
                <w:tab w:val="left" w:pos="587"/>
              </w:tabs>
              <w:spacing w:before="80"/>
              <w:ind w:left="107"/>
              <w:rPr>
                <w:sz w:val="24"/>
              </w:rPr>
            </w:pPr>
            <w:r>
              <w:rPr>
                <w:sz w:val="24"/>
              </w:rPr>
              <w:t>武</w:t>
            </w:r>
            <w:r>
              <w:rPr>
                <w:sz w:val="24"/>
              </w:rPr>
              <w:tab/>
            </w:r>
            <w:r>
              <w:rPr>
                <w:sz w:val="24"/>
              </w:rPr>
              <w:t>琛</w:t>
            </w:r>
          </w:p>
        </w:tc>
        <w:tc>
          <w:tcPr>
            <w:tcW w:w="960" w:type="dxa"/>
          </w:tcPr>
          <w:p>
            <w:pPr>
              <w:pStyle w:val="13"/>
              <w:spacing w:before="80"/>
              <w:ind w:left="107"/>
              <w:rPr>
                <w:sz w:val="24"/>
              </w:rPr>
            </w:pPr>
            <w:r>
              <w:rPr>
                <w:sz w:val="24"/>
              </w:rPr>
              <w:t>段秀丽</w:t>
            </w:r>
          </w:p>
        </w:tc>
        <w:tc>
          <w:tcPr>
            <w:tcW w:w="960" w:type="dxa"/>
          </w:tcPr>
          <w:p>
            <w:pPr>
              <w:pStyle w:val="13"/>
              <w:spacing w:before="80"/>
              <w:ind w:left="107"/>
              <w:rPr>
                <w:sz w:val="24"/>
              </w:rPr>
            </w:pPr>
            <w:r>
              <w:rPr>
                <w:sz w:val="24"/>
              </w:rPr>
              <w:t>洪琳燕</w:t>
            </w:r>
          </w:p>
        </w:tc>
        <w:tc>
          <w:tcPr>
            <w:tcW w:w="960" w:type="dxa"/>
          </w:tcPr>
          <w:p>
            <w:pPr>
              <w:pStyle w:val="13"/>
              <w:spacing w:before="80"/>
              <w:ind w:left="107"/>
              <w:rPr>
                <w:sz w:val="24"/>
              </w:rPr>
            </w:pPr>
            <w:r>
              <w:rPr>
                <w:sz w:val="24"/>
              </w:rPr>
              <w:t>毕岳菁</w:t>
            </w:r>
          </w:p>
        </w:tc>
        <w:tc>
          <w:tcPr>
            <w:tcW w:w="902" w:type="dxa"/>
          </w:tcPr>
          <w:p>
            <w:pPr>
              <w:pStyle w:val="13"/>
              <w:spacing w:before="80"/>
              <w:ind w:left="34"/>
              <w:jc w:val="center"/>
              <w:rPr>
                <w:sz w:val="24"/>
              </w:rPr>
            </w:pPr>
            <w:r>
              <w:rPr>
                <w:sz w:val="24"/>
              </w:rPr>
              <w:t>陈芙蓉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3398" w:type="dxa"/>
          </w:tcPr>
          <w:p>
            <w:pPr>
              <w:pStyle w:val="13"/>
              <w:spacing w:before="80"/>
              <w:ind w:right="131"/>
              <w:jc w:val="right"/>
              <w:rPr>
                <w:sz w:val="24"/>
              </w:rPr>
            </w:pPr>
            <w:r>
              <w:rPr>
                <w:sz w:val="24"/>
              </w:rPr>
              <w:t>谢晓蓉</w:t>
            </w:r>
          </w:p>
        </w:tc>
        <w:tc>
          <w:tcPr>
            <w:tcW w:w="960" w:type="dxa"/>
          </w:tcPr>
          <w:p>
            <w:pPr>
              <w:pStyle w:val="13"/>
              <w:tabs>
                <w:tab w:val="left" w:pos="587"/>
              </w:tabs>
              <w:spacing w:before="80"/>
              <w:ind w:left="107"/>
              <w:rPr>
                <w:sz w:val="24"/>
              </w:rPr>
            </w:pPr>
            <w:r>
              <w:rPr>
                <w:sz w:val="24"/>
              </w:rPr>
              <w:t>冯</w:t>
            </w:r>
            <w:r>
              <w:rPr>
                <w:sz w:val="24"/>
              </w:rPr>
              <w:tab/>
            </w:r>
            <w:r>
              <w:rPr>
                <w:sz w:val="24"/>
              </w:rPr>
              <w:t>春</w:t>
            </w:r>
          </w:p>
        </w:tc>
        <w:tc>
          <w:tcPr>
            <w:tcW w:w="960" w:type="dxa"/>
          </w:tcPr>
          <w:p>
            <w:pPr>
              <w:pStyle w:val="13"/>
              <w:tabs>
                <w:tab w:val="left" w:pos="587"/>
              </w:tabs>
              <w:spacing w:before="80"/>
              <w:ind w:left="107"/>
              <w:rPr>
                <w:sz w:val="24"/>
              </w:rPr>
            </w:pPr>
            <w:r>
              <w:rPr>
                <w:sz w:val="24"/>
              </w:rPr>
              <w:t>王</w:t>
            </w:r>
            <w:r>
              <w:rPr>
                <w:sz w:val="24"/>
              </w:rPr>
              <w:tab/>
            </w:r>
            <w:r>
              <w:rPr>
                <w:sz w:val="24"/>
              </w:rPr>
              <w:t>瑜</w:t>
            </w:r>
          </w:p>
        </w:tc>
        <w:tc>
          <w:tcPr>
            <w:tcW w:w="960" w:type="dxa"/>
          </w:tcPr>
          <w:p>
            <w:pPr>
              <w:pStyle w:val="13"/>
              <w:tabs>
                <w:tab w:val="left" w:pos="587"/>
              </w:tabs>
              <w:spacing w:before="80"/>
              <w:ind w:left="107"/>
              <w:rPr>
                <w:sz w:val="24"/>
              </w:rPr>
            </w:pPr>
            <w:r>
              <w:rPr>
                <w:sz w:val="24"/>
              </w:rPr>
              <w:t>张</w:t>
            </w:r>
            <w:r>
              <w:rPr>
                <w:sz w:val="24"/>
              </w:rPr>
              <w:tab/>
            </w:r>
            <w:r>
              <w:rPr>
                <w:sz w:val="24"/>
              </w:rPr>
              <w:t>辛</w:t>
            </w:r>
          </w:p>
        </w:tc>
        <w:tc>
          <w:tcPr>
            <w:tcW w:w="960" w:type="dxa"/>
          </w:tcPr>
          <w:p>
            <w:pPr>
              <w:pStyle w:val="13"/>
              <w:tabs>
                <w:tab w:val="left" w:pos="587"/>
              </w:tabs>
              <w:spacing w:before="80"/>
              <w:ind w:left="107"/>
              <w:rPr>
                <w:sz w:val="24"/>
              </w:rPr>
            </w:pPr>
            <w:r>
              <w:rPr>
                <w:sz w:val="24"/>
              </w:rPr>
              <w:t>陈</w:t>
            </w:r>
            <w:r>
              <w:rPr>
                <w:sz w:val="24"/>
              </w:rPr>
              <w:tab/>
            </w:r>
            <w:r>
              <w:rPr>
                <w:sz w:val="24"/>
              </w:rPr>
              <w:t>雷</w:t>
            </w:r>
          </w:p>
        </w:tc>
        <w:tc>
          <w:tcPr>
            <w:tcW w:w="902" w:type="dxa"/>
          </w:tcPr>
          <w:p>
            <w:pPr>
              <w:pStyle w:val="13"/>
              <w:spacing w:before="80"/>
              <w:ind w:left="34"/>
              <w:jc w:val="center"/>
              <w:rPr>
                <w:sz w:val="24"/>
              </w:rPr>
            </w:pPr>
            <w:r>
              <w:rPr>
                <w:sz w:val="24"/>
              </w:rPr>
              <w:t>余冠彬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3398" w:type="dxa"/>
          </w:tcPr>
          <w:p>
            <w:pPr>
              <w:pStyle w:val="13"/>
              <w:tabs>
                <w:tab w:val="left" w:pos="2999"/>
              </w:tabs>
              <w:spacing w:before="80"/>
              <w:ind w:right="107"/>
              <w:jc w:val="right"/>
              <w:rPr>
                <w:sz w:val="24"/>
              </w:rPr>
            </w:pPr>
            <w:r>
              <w:rPr>
                <w:sz w:val="24"/>
              </w:rPr>
              <w:t>本标准主要审查人员： 林</w:t>
            </w:r>
            <w:r>
              <w:rPr>
                <w:sz w:val="24"/>
              </w:rPr>
              <w:tab/>
            </w:r>
            <w:r>
              <w:rPr>
                <w:sz w:val="24"/>
              </w:rPr>
              <w:t>毅</w:t>
            </w:r>
          </w:p>
        </w:tc>
        <w:tc>
          <w:tcPr>
            <w:tcW w:w="960" w:type="dxa"/>
          </w:tcPr>
          <w:p>
            <w:pPr>
              <w:pStyle w:val="13"/>
              <w:tabs>
                <w:tab w:val="left" w:pos="611"/>
              </w:tabs>
              <w:spacing w:before="80"/>
              <w:ind w:left="131"/>
              <w:rPr>
                <w:sz w:val="24"/>
              </w:rPr>
            </w:pPr>
            <w:r>
              <w:rPr>
                <w:sz w:val="24"/>
              </w:rPr>
              <w:t>宁</w:t>
            </w:r>
            <w:r>
              <w:rPr>
                <w:sz w:val="24"/>
              </w:rPr>
              <w:tab/>
            </w:r>
            <w:r>
              <w:rPr>
                <w:sz w:val="24"/>
              </w:rPr>
              <w:t>琳</w:t>
            </w:r>
          </w:p>
        </w:tc>
        <w:tc>
          <w:tcPr>
            <w:tcW w:w="960" w:type="dxa"/>
          </w:tcPr>
          <w:p>
            <w:pPr>
              <w:pStyle w:val="13"/>
              <w:spacing w:before="80"/>
              <w:ind w:left="131"/>
              <w:rPr>
                <w:sz w:val="24"/>
              </w:rPr>
            </w:pPr>
            <w:r>
              <w:rPr>
                <w:sz w:val="24"/>
              </w:rPr>
              <w:t>陈乐中</w:t>
            </w:r>
          </w:p>
        </w:tc>
        <w:tc>
          <w:tcPr>
            <w:tcW w:w="960" w:type="dxa"/>
          </w:tcPr>
          <w:p>
            <w:pPr>
              <w:pStyle w:val="13"/>
              <w:spacing w:before="80"/>
              <w:ind w:left="131"/>
              <w:rPr>
                <w:sz w:val="24"/>
              </w:rPr>
            </w:pPr>
            <w:r>
              <w:rPr>
                <w:sz w:val="24"/>
              </w:rPr>
              <w:t>陈江华</w:t>
            </w:r>
          </w:p>
        </w:tc>
        <w:tc>
          <w:tcPr>
            <w:tcW w:w="960" w:type="dxa"/>
          </w:tcPr>
          <w:p>
            <w:pPr>
              <w:pStyle w:val="13"/>
              <w:spacing w:before="80"/>
              <w:ind w:left="131"/>
              <w:rPr>
                <w:sz w:val="24"/>
              </w:rPr>
            </w:pPr>
            <w:r>
              <w:rPr>
                <w:sz w:val="24"/>
              </w:rPr>
              <w:t>于天赤</w:t>
            </w:r>
          </w:p>
        </w:tc>
        <w:tc>
          <w:tcPr>
            <w:tcW w:w="902" w:type="dxa"/>
          </w:tcPr>
          <w:p>
            <w:pPr>
              <w:pStyle w:val="13"/>
              <w:spacing w:before="80"/>
              <w:ind w:left="82"/>
              <w:jc w:val="center"/>
              <w:rPr>
                <w:sz w:val="24"/>
              </w:rPr>
            </w:pPr>
            <w:r>
              <w:rPr>
                <w:sz w:val="24"/>
              </w:rPr>
              <w:t>袁兴无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4" w:hRule="atLeast"/>
        </w:trPr>
        <w:tc>
          <w:tcPr>
            <w:tcW w:w="3398" w:type="dxa"/>
          </w:tcPr>
          <w:p>
            <w:pPr>
              <w:pStyle w:val="13"/>
              <w:spacing w:before="80" w:line="254" w:lineRule="exact"/>
              <w:ind w:right="151"/>
              <w:jc w:val="right"/>
              <w:rPr>
                <w:sz w:val="24"/>
              </w:rPr>
            </w:pPr>
            <w:r>
              <w:rPr>
                <w:sz w:val="24"/>
              </w:rPr>
              <w:t>谢勇利</w:t>
            </w:r>
          </w:p>
        </w:tc>
        <w:tc>
          <w:tcPr>
            <w:tcW w:w="960" w:type="dxa"/>
          </w:tcPr>
          <w:p>
            <w:pPr>
              <w:pStyle w:val="13"/>
              <w:rPr>
                <w:rFonts w:ascii="Times New Roman"/>
                <w:sz w:val="24"/>
              </w:rPr>
            </w:pPr>
          </w:p>
        </w:tc>
        <w:tc>
          <w:tcPr>
            <w:tcW w:w="960" w:type="dxa"/>
          </w:tcPr>
          <w:p>
            <w:pPr>
              <w:pStyle w:val="13"/>
              <w:rPr>
                <w:rFonts w:ascii="Times New Roman"/>
                <w:sz w:val="24"/>
              </w:rPr>
            </w:pPr>
          </w:p>
        </w:tc>
        <w:tc>
          <w:tcPr>
            <w:tcW w:w="960" w:type="dxa"/>
          </w:tcPr>
          <w:p>
            <w:pPr>
              <w:pStyle w:val="13"/>
              <w:rPr>
                <w:rFonts w:ascii="Times New Roman"/>
                <w:sz w:val="24"/>
              </w:rPr>
            </w:pPr>
          </w:p>
        </w:tc>
        <w:tc>
          <w:tcPr>
            <w:tcW w:w="960" w:type="dxa"/>
          </w:tcPr>
          <w:p>
            <w:pPr>
              <w:pStyle w:val="13"/>
              <w:rPr>
                <w:rFonts w:ascii="Times New Roman"/>
                <w:sz w:val="24"/>
              </w:rPr>
            </w:pPr>
          </w:p>
        </w:tc>
        <w:tc>
          <w:tcPr>
            <w:tcW w:w="902" w:type="dxa"/>
          </w:tcPr>
          <w:p>
            <w:pPr>
              <w:pStyle w:val="13"/>
              <w:rPr>
                <w:rFonts w:ascii="Times New Roman"/>
                <w:sz w:val="24"/>
              </w:rPr>
            </w:pPr>
          </w:p>
        </w:tc>
      </w:tr>
    </w:tbl>
    <w:p>
      <w:pPr>
        <w:tabs>
          <w:tab w:val="left" w:pos="5372"/>
          <w:tab w:val="left" w:pos="6332"/>
          <w:tab w:val="left" w:pos="7292"/>
        </w:tabs>
        <w:spacing w:before="194"/>
        <w:ind w:left="692" w:right="0" w:firstLine="0"/>
        <w:jc w:val="left"/>
        <w:rPr>
          <w:sz w:val="24"/>
        </w:rPr>
      </w:pPr>
      <w:r>
        <w:rPr>
          <w:sz w:val="24"/>
        </w:rPr>
        <w:t>本标准业务归口单位主要指导人员：薛 峰</w:t>
      </w:r>
      <w:r>
        <w:rPr>
          <w:sz w:val="24"/>
        </w:rPr>
        <w:tab/>
      </w:r>
      <w:r>
        <w:rPr>
          <w:sz w:val="24"/>
        </w:rPr>
        <w:t>王宝玉</w:t>
      </w:r>
      <w:r>
        <w:rPr>
          <w:sz w:val="24"/>
        </w:rPr>
        <w:tab/>
      </w:r>
      <w:r>
        <w:rPr>
          <w:sz w:val="24"/>
        </w:rPr>
        <w:t>闫冬梅</w:t>
      </w:r>
      <w:r>
        <w:rPr>
          <w:sz w:val="24"/>
        </w:rPr>
        <w:tab/>
      </w:r>
      <w:r>
        <w:rPr>
          <w:sz w:val="24"/>
        </w:rPr>
        <w:t>刘俊跃 胡 荣</w:t>
      </w:r>
    </w:p>
    <w:p>
      <w:pPr>
        <w:spacing w:after="0"/>
        <w:jc w:val="left"/>
        <w:rPr>
          <w:sz w:val="24"/>
        </w:rPr>
        <w:sectPr>
          <w:footerReference r:id="rId5" w:type="default"/>
          <w:pgSz w:w="11910" w:h="16840"/>
          <w:pgMar w:top="1580" w:right="820" w:bottom="1280" w:left="920" w:header="0" w:footer="1095" w:gutter="0"/>
          <w:pgNumType w:start="3"/>
          <w:cols w:space="720" w:num="1"/>
        </w:sectPr>
      </w:pPr>
    </w:p>
    <w:p>
      <w:pPr>
        <w:pStyle w:val="4"/>
      </w:pPr>
      <w:r>
        <w:t>目次</w:t>
      </w:r>
    </w:p>
    <w:sdt>
      <w:sdtPr>
        <w:id w:val="2"/>
        <w:docPartObj>
          <w:docPartGallery w:val="Table of Contents"/>
          <w:docPartUnique/>
        </w:docPartObj>
      </w:sdtPr>
      <w:sdtContent>
        <w:p>
          <w:pPr>
            <w:pStyle w:val="7"/>
            <w:numPr>
              <w:ilvl w:val="0"/>
              <w:numId w:val="1"/>
            </w:numPr>
            <w:tabs>
              <w:tab w:val="left" w:pos="419"/>
              <w:tab w:val="left" w:pos="420"/>
              <w:tab w:val="left" w:leader="dot" w:pos="9527"/>
            </w:tabs>
            <w:spacing w:before="281" w:after="0" w:line="240" w:lineRule="auto"/>
            <w:ind w:left="632" w:right="322" w:hanging="633"/>
            <w:jc w:val="right"/>
            <w:rPr>
              <w:rFonts w:ascii="Calibri" w:eastAsia="Calibri"/>
            </w:rPr>
          </w:pPr>
          <w:r>
            <w:fldChar w:fldCharType="begin"/>
          </w:r>
          <w:r>
            <w:instrText xml:space="preserve"> HYPERLINK \l "_bookmark0" </w:instrText>
          </w:r>
          <w:r>
            <w:fldChar w:fldCharType="separate"/>
          </w:r>
          <w:r>
            <w:t>总则</w:t>
          </w:r>
          <w:r>
            <w:tab/>
          </w:r>
          <w:r>
            <w:rPr>
              <w:rFonts w:ascii="Calibri" w:eastAsia="Calibri"/>
              <w:w w:val="95"/>
            </w:rPr>
            <w:t>6</w:t>
          </w:r>
          <w:r>
            <w:rPr>
              <w:rFonts w:ascii="Calibri" w:eastAsia="Calibri"/>
              <w:w w:val="95"/>
            </w:rPr>
            <w:fldChar w:fldCharType="end"/>
          </w:r>
        </w:p>
        <w:p>
          <w:pPr>
            <w:pStyle w:val="7"/>
            <w:numPr>
              <w:ilvl w:val="0"/>
              <w:numId w:val="1"/>
            </w:numPr>
            <w:tabs>
              <w:tab w:val="left" w:pos="419"/>
              <w:tab w:val="left" w:pos="420"/>
              <w:tab w:val="left" w:leader="dot" w:pos="9527"/>
            </w:tabs>
            <w:spacing w:before="175" w:after="0" w:line="240" w:lineRule="auto"/>
            <w:ind w:left="632" w:right="322" w:hanging="633"/>
            <w:jc w:val="right"/>
            <w:rPr>
              <w:rFonts w:ascii="Calibri" w:eastAsia="Calibri"/>
            </w:rPr>
          </w:pPr>
          <w:r>
            <w:fldChar w:fldCharType="begin"/>
          </w:r>
          <w:r>
            <w:instrText xml:space="preserve"> HYPERLINK \l "_bookmark1" </w:instrText>
          </w:r>
          <w:r>
            <w:fldChar w:fldCharType="separate"/>
          </w:r>
          <w:r>
            <w:t>术语</w:t>
          </w:r>
          <w:r>
            <w:tab/>
          </w:r>
          <w:r>
            <w:rPr>
              <w:rFonts w:ascii="Calibri" w:eastAsia="Calibri"/>
              <w:w w:val="95"/>
            </w:rPr>
            <w:t>7</w:t>
          </w:r>
          <w:r>
            <w:rPr>
              <w:rFonts w:ascii="Calibri" w:eastAsia="Calibri"/>
              <w:w w:val="95"/>
            </w:rPr>
            <w:fldChar w:fldCharType="end"/>
          </w:r>
        </w:p>
        <w:p>
          <w:pPr>
            <w:pStyle w:val="7"/>
            <w:numPr>
              <w:ilvl w:val="0"/>
              <w:numId w:val="1"/>
            </w:numPr>
            <w:tabs>
              <w:tab w:val="left" w:pos="419"/>
              <w:tab w:val="left" w:pos="420"/>
              <w:tab w:val="left" w:leader="dot" w:pos="9427"/>
            </w:tabs>
            <w:spacing w:before="176" w:after="0" w:line="240" w:lineRule="auto"/>
            <w:ind w:left="632" w:right="322" w:hanging="633"/>
            <w:jc w:val="right"/>
            <w:rPr>
              <w:rFonts w:ascii="Calibri" w:eastAsia="Calibri"/>
            </w:rPr>
          </w:pPr>
          <w:r>
            <w:fldChar w:fldCharType="begin"/>
          </w:r>
          <w:r>
            <w:instrText xml:space="preserve"> HYPERLINK \l "_bookmark2" </w:instrText>
          </w:r>
          <w:r>
            <w:fldChar w:fldCharType="separate"/>
          </w:r>
          <w:r>
            <w:t>基本规定</w:t>
          </w:r>
          <w:r>
            <w:tab/>
          </w:r>
          <w:r>
            <w:rPr>
              <w:rFonts w:ascii="Calibri" w:eastAsia="Calibri"/>
              <w:spacing w:val="-1"/>
              <w:w w:val="95"/>
            </w:rPr>
            <w:t>11</w:t>
          </w:r>
          <w:r>
            <w:rPr>
              <w:rFonts w:ascii="Calibri" w:eastAsia="Calibri"/>
              <w:spacing w:val="-1"/>
              <w:w w:val="95"/>
            </w:rPr>
            <w:fldChar w:fldCharType="end"/>
          </w:r>
        </w:p>
        <w:p>
          <w:pPr>
            <w:pStyle w:val="7"/>
            <w:numPr>
              <w:ilvl w:val="0"/>
              <w:numId w:val="1"/>
            </w:numPr>
            <w:tabs>
              <w:tab w:val="left" w:pos="419"/>
              <w:tab w:val="left" w:pos="420"/>
              <w:tab w:val="left" w:leader="dot" w:pos="9427"/>
            </w:tabs>
            <w:spacing w:before="176" w:after="0" w:line="240" w:lineRule="auto"/>
            <w:ind w:left="632" w:right="322" w:hanging="633"/>
            <w:jc w:val="right"/>
            <w:rPr>
              <w:rFonts w:ascii="Calibri" w:eastAsia="Calibri"/>
            </w:rPr>
          </w:pPr>
          <w:r>
            <w:fldChar w:fldCharType="begin"/>
          </w:r>
          <w:r>
            <w:instrText xml:space="preserve"> HYPERLINK \l "_bookmark3" </w:instrText>
          </w:r>
          <w:r>
            <w:fldChar w:fldCharType="separate"/>
          </w:r>
          <w:r>
            <w:t>无障碍设施的设计要求</w:t>
          </w:r>
          <w:r>
            <w:tab/>
          </w:r>
          <w:r>
            <w:rPr>
              <w:rFonts w:ascii="Calibri" w:eastAsia="Calibri"/>
              <w:spacing w:val="-1"/>
              <w:w w:val="95"/>
            </w:rPr>
            <w:t>12</w:t>
          </w:r>
          <w:r>
            <w:rPr>
              <w:rFonts w:ascii="Calibri" w:eastAsia="Calibri"/>
              <w:spacing w:val="-1"/>
              <w:w w:val="95"/>
            </w:rPr>
            <w:fldChar w:fldCharType="end"/>
          </w:r>
        </w:p>
        <w:p>
          <w:pPr>
            <w:pStyle w:val="6"/>
            <w:numPr>
              <w:ilvl w:val="1"/>
              <w:numId w:val="1"/>
            </w:numPr>
            <w:tabs>
              <w:tab w:val="left" w:pos="1052"/>
              <w:tab w:val="left" w:pos="1053"/>
              <w:tab w:val="left" w:leader="dot" w:pos="9639"/>
            </w:tabs>
            <w:spacing w:before="176" w:after="0" w:line="240" w:lineRule="auto"/>
            <w:ind w:left="1052" w:right="0" w:hanging="629"/>
            <w:jc w:val="left"/>
            <w:rPr>
              <w:rFonts w:ascii="Calibri" w:eastAsia="Calibri"/>
            </w:rPr>
          </w:pPr>
          <w:r>
            <w:fldChar w:fldCharType="begin"/>
          </w:r>
          <w:r>
            <w:instrText xml:space="preserve"> HYPERLINK \l "_bookmark4" </w:instrText>
          </w:r>
          <w:r>
            <w:fldChar w:fldCharType="separate"/>
          </w:r>
          <w:r>
            <w:t>无障碍通行设施</w:t>
          </w:r>
          <w:r>
            <w:tab/>
          </w:r>
          <w:r>
            <w:rPr>
              <w:rFonts w:ascii="Calibri" w:eastAsia="Calibri"/>
            </w:rPr>
            <w:t>12</w:t>
          </w:r>
          <w:r>
            <w:rPr>
              <w:rFonts w:ascii="Calibri" w:eastAsia="Calibri"/>
            </w:rPr>
            <w:fldChar w:fldCharType="end"/>
          </w:r>
        </w:p>
        <w:p>
          <w:pPr>
            <w:pStyle w:val="6"/>
            <w:numPr>
              <w:ilvl w:val="1"/>
              <w:numId w:val="1"/>
            </w:numPr>
            <w:tabs>
              <w:tab w:val="left" w:pos="1052"/>
              <w:tab w:val="left" w:pos="1053"/>
              <w:tab w:val="left" w:leader="dot" w:pos="9639"/>
            </w:tabs>
            <w:spacing w:before="55" w:after="0" w:line="240" w:lineRule="auto"/>
            <w:ind w:left="1052" w:right="0" w:hanging="629"/>
            <w:jc w:val="left"/>
            <w:rPr>
              <w:rFonts w:ascii="Calibri" w:eastAsia="Calibri"/>
            </w:rPr>
          </w:pPr>
          <w:r>
            <w:fldChar w:fldCharType="begin"/>
          </w:r>
          <w:r>
            <w:instrText xml:space="preserve"> HYPERLINK \l "_bookmark5" </w:instrText>
          </w:r>
          <w:r>
            <w:fldChar w:fldCharType="separate"/>
          </w:r>
          <w:r>
            <w:t>无障碍服务设施</w:t>
          </w:r>
          <w:r>
            <w:tab/>
          </w:r>
          <w:r>
            <w:rPr>
              <w:rFonts w:ascii="Calibri" w:eastAsia="Calibri"/>
            </w:rPr>
            <w:t>18</w:t>
          </w:r>
          <w:r>
            <w:rPr>
              <w:rFonts w:ascii="Calibri" w:eastAsia="Calibri"/>
            </w:rPr>
            <w:fldChar w:fldCharType="end"/>
          </w:r>
        </w:p>
        <w:p>
          <w:pPr>
            <w:pStyle w:val="6"/>
            <w:numPr>
              <w:ilvl w:val="1"/>
              <w:numId w:val="1"/>
            </w:numPr>
            <w:tabs>
              <w:tab w:val="left" w:pos="1052"/>
              <w:tab w:val="left" w:pos="1053"/>
              <w:tab w:val="left" w:leader="dot" w:pos="9639"/>
            </w:tabs>
            <w:spacing w:before="56" w:after="0" w:line="240" w:lineRule="auto"/>
            <w:ind w:left="1052" w:right="0" w:hanging="629"/>
            <w:jc w:val="left"/>
            <w:rPr>
              <w:rFonts w:ascii="Calibri" w:eastAsia="Calibri"/>
            </w:rPr>
          </w:pPr>
          <w:r>
            <w:fldChar w:fldCharType="begin"/>
          </w:r>
          <w:r>
            <w:instrText xml:space="preserve"> HYPERLINK \l "_bookmark6" </w:instrText>
          </w:r>
          <w:r>
            <w:fldChar w:fldCharType="separate"/>
          </w:r>
          <w:r>
            <w:t>无障碍信息设施</w:t>
          </w:r>
          <w:r>
            <w:tab/>
          </w:r>
          <w:r>
            <w:rPr>
              <w:rFonts w:ascii="Calibri" w:eastAsia="Calibri"/>
            </w:rPr>
            <w:t>24</w:t>
          </w:r>
          <w:r>
            <w:rPr>
              <w:rFonts w:ascii="Calibri" w:eastAsia="Calibri"/>
            </w:rPr>
            <w:fldChar w:fldCharType="end"/>
          </w:r>
        </w:p>
        <w:p>
          <w:pPr>
            <w:pStyle w:val="7"/>
            <w:numPr>
              <w:ilvl w:val="0"/>
              <w:numId w:val="1"/>
            </w:numPr>
            <w:tabs>
              <w:tab w:val="left" w:pos="419"/>
              <w:tab w:val="left" w:pos="420"/>
              <w:tab w:val="left" w:leader="dot" w:pos="9427"/>
            </w:tabs>
            <w:spacing w:before="176" w:after="0" w:line="240" w:lineRule="auto"/>
            <w:ind w:left="632" w:right="322" w:hanging="633"/>
            <w:jc w:val="right"/>
            <w:rPr>
              <w:rFonts w:ascii="Calibri" w:eastAsia="Calibri"/>
            </w:rPr>
          </w:pPr>
          <w:r>
            <w:fldChar w:fldCharType="begin"/>
          </w:r>
          <w:r>
            <w:instrText xml:space="preserve"> HYPERLINK \l "_bookmark7" </w:instrText>
          </w:r>
          <w:r>
            <w:fldChar w:fldCharType="separate"/>
          </w:r>
          <w:r>
            <w:t>城市道路</w:t>
          </w:r>
          <w:r>
            <w:tab/>
          </w:r>
          <w:r>
            <w:rPr>
              <w:rFonts w:ascii="Calibri" w:eastAsia="Calibri"/>
              <w:spacing w:val="-1"/>
              <w:w w:val="95"/>
            </w:rPr>
            <w:t>27</w:t>
          </w:r>
          <w:r>
            <w:rPr>
              <w:rFonts w:ascii="Calibri" w:eastAsia="Calibri"/>
              <w:spacing w:val="-1"/>
              <w:w w:val="95"/>
            </w:rPr>
            <w:fldChar w:fldCharType="end"/>
          </w:r>
        </w:p>
        <w:p>
          <w:pPr>
            <w:pStyle w:val="6"/>
            <w:numPr>
              <w:ilvl w:val="1"/>
              <w:numId w:val="1"/>
            </w:numPr>
            <w:tabs>
              <w:tab w:val="left" w:pos="1052"/>
              <w:tab w:val="left" w:pos="1053"/>
              <w:tab w:val="left" w:leader="dot" w:pos="9639"/>
            </w:tabs>
            <w:spacing w:before="176" w:after="0" w:line="240" w:lineRule="auto"/>
            <w:ind w:left="1052" w:right="0" w:hanging="629"/>
            <w:jc w:val="left"/>
            <w:rPr>
              <w:rFonts w:ascii="Calibri" w:eastAsia="Calibri"/>
            </w:rPr>
          </w:pPr>
          <w:r>
            <w:fldChar w:fldCharType="begin"/>
          </w:r>
          <w:r>
            <w:instrText xml:space="preserve"> HYPERLINK \l "_bookmark8" </w:instrText>
          </w:r>
          <w:r>
            <w:fldChar w:fldCharType="separate"/>
          </w:r>
          <w:r>
            <w:t>一般规定</w:t>
          </w:r>
          <w:r>
            <w:tab/>
          </w:r>
          <w:r>
            <w:rPr>
              <w:rFonts w:ascii="Calibri" w:eastAsia="Calibri"/>
            </w:rPr>
            <w:t>27</w:t>
          </w:r>
          <w:r>
            <w:rPr>
              <w:rFonts w:ascii="Calibri" w:eastAsia="Calibri"/>
            </w:rPr>
            <w:fldChar w:fldCharType="end"/>
          </w:r>
        </w:p>
        <w:p>
          <w:pPr>
            <w:pStyle w:val="8"/>
            <w:numPr>
              <w:ilvl w:val="1"/>
              <w:numId w:val="1"/>
            </w:numPr>
            <w:tabs>
              <w:tab w:val="left" w:pos="628"/>
              <w:tab w:val="left" w:pos="1053"/>
              <w:tab w:val="left" w:leader="dot" w:pos="9215"/>
            </w:tabs>
            <w:spacing w:before="55" w:after="0" w:line="240" w:lineRule="auto"/>
            <w:ind w:left="1052" w:right="322" w:hanging="1053"/>
            <w:jc w:val="right"/>
            <w:rPr>
              <w:rFonts w:ascii="Calibri" w:eastAsia="Calibri"/>
            </w:rPr>
          </w:pPr>
          <w:r>
            <w:fldChar w:fldCharType="begin"/>
          </w:r>
          <w:r>
            <w:instrText xml:space="preserve"> HYPERLINK \l "_bookmark9" </w:instrText>
          </w:r>
          <w:r>
            <w:fldChar w:fldCharType="separate"/>
          </w:r>
          <w:r>
            <w:t>人行道</w:t>
          </w:r>
          <w:r>
            <w:tab/>
          </w:r>
          <w:r>
            <w:rPr>
              <w:rFonts w:ascii="Calibri" w:eastAsia="Calibri"/>
              <w:spacing w:val="-1"/>
              <w:w w:val="95"/>
            </w:rPr>
            <w:t>27</w:t>
          </w:r>
          <w:r>
            <w:rPr>
              <w:rFonts w:ascii="Calibri" w:eastAsia="Calibri"/>
              <w:spacing w:val="-1"/>
              <w:w w:val="95"/>
            </w:rPr>
            <w:fldChar w:fldCharType="end"/>
          </w:r>
        </w:p>
        <w:p>
          <w:pPr>
            <w:pStyle w:val="6"/>
            <w:numPr>
              <w:ilvl w:val="1"/>
              <w:numId w:val="1"/>
            </w:numPr>
            <w:tabs>
              <w:tab w:val="left" w:pos="1052"/>
              <w:tab w:val="left" w:pos="1053"/>
              <w:tab w:val="left" w:leader="dot" w:pos="9639"/>
            </w:tabs>
            <w:spacing w:before="56" w:after="0" w:line="240" w:lineRule="auto"/>
            <w:ind w:left="1052" w:right="0" w:hanging="629"/>
            <w:jc w:val="left"/>
            <w:rPr>
              <w:rFonts w:ascii="Calibri" w:eastAsia="Calibri"/>
            </w:rPr>
          </w:pPr>
          <w:r>
            <w:fldChar w:fldCharType="begin"/>
          </w:r>
          <w:r>
            <w:instrText xml:space="preserve"> HYPERLINK \l "_bookmark10" </w:instrText>
          </w:r>
          <w:r>
            <w:fldChar w:fldCharType="separate"/>
          </w:r>
          <w:r>
            <w:t>人行横道</w:t>
          </w:r>
          <w:r>
            <w:tab/>
          </w:r>
          <w:r>
            <w:rPr>
              <w:rFonts w:ascii="Calibri" w:eastAsia="Calibri"/>
            </w:rPr>
            <w:t>28</w:t>
          </w:r>
          <w:r>
            <w:rPr>
              <w:rFonts w:ascii="Calibri" w:eastAsia="Calibri"/>
            </w:rPr>
            <w:fldChar w:fldCharType="end"/>
          </w:r>
        </w:p>
        <w:p>
          <w:pPr>
            <w:pStyle w:val="6"/>
            <w:numPr>
              <w:ilvl w:val="1"/>
              <w:numId w:val="1"/>
            </w:numPr>
            <w:tabs>
              <w:tab w:val="left" w:pos="1052"/>
              <w:tab w:val="left" w:pos="1053"/>
              <w:tab w:val="left" w:leader="dot" w:pos="9639"/>
            </w:tabs>
            <w:spacing w:before="56" w:after="0" w:line="240" w:lineRule="auto"/>
            <w:ind w:left="1052" w:right="0" w:hanging="629"/>
            <w:jc w:val="left"/>
            <w:rPr>
              <w:rFonts w:ascii="Calibri" w:eastAsia="Calibri"/>
            </w:rPr>
          </w:pPr>
          <w:r>
            <w:fldChar w:fldCharType="begin"/>
          </w:r>
          <w:r>
            <w:instrText xml:space="preserve"> HYPERLINK \l "_bookmark11" </w:instrText>
          </w:r>
          <w:r>
            <w:fldChar w:fldCharType="separate"/>
          </w:r>
          <w:r>
            <w:t>人行天桥及地道</w:t>
          </w:r>
          <w:r>
            <w:tab/>
          </w:r>
          <w:r>
            <w:rPr>
              <w:rFonts w:ascii="Calibri" w:eastAsia="Calibri"/>
            </w:rPr>
            <w:t>28</w:t>
          </w:r>
          <w:r>
            <w:rPr>
              <w:rFonts w:ascii="Calibri" w:eastAsia="Calibri"/>
            </w:rPr>
            <w:fldChar w:fldCharType="end"/>
          </w:r>
        </w:p>
        <w:p>
          <w:pPr>
            <w:pStyle w:val="6"/>
            <w:numPr>
              <w:ilvl w:val="1"/>
              <w:numId w:val="1"/>
            </w:numPr>
            <w:tabs>
              <w:tab w:val="left" w:pos="1052"/>
              <w:tab w:val="left" w:pos="1053"/>
              <w:tab w:val="left" w:leader="dot" w:pos="9639"/>
            </w:tabs>
            <w:spacing w:before="56" w:after="0" w:line="240" w:lineRule="auto"/>
            <w:ind w:left="1052" w:right="0" w:hanging="629"/>
            <w:jc w:val="left"/>
            <w:rPr>
              <w:rFonts w:ascii="Calibri" w:eastAsia="Calibri"/>
            </w:rPr>
          </w:pPr>
          <w:r>
            <w:fldChar w:fldCharType="begin"/>
          </w:r>
          <w:r>
            <w:instrText xml:space="preserve"> HYPERLINK \l "_bookmark12" </w:instrText>
          </w:r>
          <w:r>
            <w:fldChar w:fldCharType="separate"/>
          </w:r>
          <w:r>
            <w:t>公交车站</w:t>
          </w:r>
          <w:r>
            <w:tab/>
          </w:r>
          <w:r>
            <w:rPr>
              <w:rFonts w:ascii="Calibri" w:eastAsia="Calibri"/>
            </w:rPr>
            <w:t>29</w:t>
          </w:r>
          <w:r>
            <w:rPr>
              <w:rFonts w:ascii="Calibri" w:eastAsia="Calibri"/>
            </w:rPr>
            <w:fldChar w:fldCharType="end"/>
          </w:r>
        </w:p>
        <w:p>
          <w:pPr>
            <w:pStyle w:val="6"/>
            <w:numPr>
              <w:ilvl w:val="1"/>
              <w:numId w:val="1"/>
            </w:numPr>
            <w:tabs>
              <w:tab w:val="left" w:pos="1052"/>
              <w:tab w:val="left" w:pos="1053"/>
              <w:tab w:val="left" w:leader="dot" w:pos="9639"/>
            </w:tabs>
            <w:spacing w:before="55" w:after="0" w:line="240" w:lineRule="auto"/>
            <w:ind w:left="1052" w:right="0" w:hanging="629"/>
            <w:jc w:val="left"/>
            <w:rPr>
              <w:rFonts w:ascii="Calibri" w:eastAsia="Calibri"/>
            </w:rPr>
          </w:pPr>
          <w:r>
            <w:fldChar w:fldCharType="begin"/>
          </w:r>
          <w:r>
            <w:instrText xml:space="preserve"> HYPERLINK \l "_bookmark13" </w:instrText>
          </w:r>
          <w:r>
            <w:fldChar w:fldCharType="separate"/>
          </w:r>
          <w:r>
            <w:t>自行车停放区</w:t>
          </w:r>
          <w:r>
            <w:tab/>
          </w:r>
          <w:r>
            <w:rPr>
              <w:rFonts w:ascii="Calibri" w:eastAsia="Calibri"/>
            </w:rPr>
            <w:t>29</w:t>
          </w:r>
          <w:r>
            <w:rPr>
              <w:rFonts w:ascii="Calibri" w:eastAsia="Calibri"/>
            </w:rPr>
            <w:fldChar w:fldCharType="end"/>
          </w:r>
        </w:p>
        <w:p>
          <w:pPr>
            <w:pStyle w:val="7"/>
            <w:numPr>
              <w:ilvl w:val="0"/>
              <w:numId w:val="1"/>
            </w:numPr>
            <w:tabs>
              <w:tab w:val="left" w:pos="419"/>
              <w:tab w:val="left" w:pos="420"/>
              <w:tab w:val="left" w:leader="dot" w:pos="9427"/>
            </w:tabs>
            <w:spacing w:before="176" w:after="0" w:line="240" w:lineRule="auto"/>
            <w:ind w:left="632" w:right="322" w:hanging="633"/>
            <w:jc w:val="right"/>
            <w:rPr>
              <w:rFonts w:ascii="Calibri" w:eastAsia="Calibri"/>
            </w:rPr>
          </w:pPr>
          <w:r>
            <w:fldChar w:fldCharType="begin"/>
          </w:r>
          <w:r>
            <w:instrText xml:space="preserve"> HYPERLINK \l "_bookmark14" </w:instrText>
          </w:r>
          <w:r>
            <w:fldChar w:fldCharType="separate"/>
          </w:r>
          <w:r>
            <w:t>城市广场</w:t>
          </w:r>
          <w:r>
            <w:tab/>
          </w:r>
          <w:r>
            <w:rPr>
              <w:rFonts w:ascii="Calibri" w:eastAsia="Calibri"/>
              <w:spacing w:val="-1"/>
              <w:w w:val="95"/>
            </w:rPr>
            <w:t>30</w:t>
          </w:r>
          <w:r>
            <w:rPr>
              <w:rFonts w:ascii="Calibri" w:eastAsia="Calibri"/>
              <w:spacing w:val="-1"/>
              <w:w w:val="95"/>
            </w:rPr>
            <w:fldChar w:fldCharType="end"/>
          </w:r>
        </w:p>
        <w:p>
          <w:pPr>
            <w:pStyle w:val="6"/>
            <w:numPr>
              <w:ilvl w:val="1"/>
              <w:numId w:val="1"/>
            </w:numPr>
            <w:tabs>
              <w:tab w:val="left" w:pos="1052"/>
              <w:tab w:val="left" w:pos="1053"/>
              <w:tab w:val="left" w:leader="dot" w:pos="9639"/>
            </w:tabs>
            <w:spacing w:before="176" w:after="0" w:line="240" w:lineRule="auto"/>
            <w:ind w:left="1052" w:right="0" w:hanging="629"/>
            <w:jc w:val="left"/>
            <w:rPr>
              <w:rFonts w:ascii="Calibri" w:eastAsia="Calibri"/>
            </w:rPr>
          </w:pPr>
          <w:r>
            <w:fldChar w:fldCharType="begin"/>
          </w:r>
          <w:r>
            <w:instrText xml:space="preserve"> HYPERLINK \l "_bookmark15" </w:instrText>
          </w:r>
          <w:r>
            <w:fldChar w:fldCharType="separate"/>
          </w:r>
          <w:r>
            <w:t>一般规定</w:t>
          </w:r>
          <w:r>
            <w:tab/>
          </w:r>
          <w:r>
            <w:rPr>
              <w:rFonts w:ascii="Calibri" w:eastAsia="Calibri"/>
            </w:rPr>
            <w:t>30</w:t>
          </w:r>
          <w:r>
            <w:rPr>
              <w:rFonts w:ascii="Calibri" w:eastAsia="Calibri"/>
            </w:rPr>
            <w:fldChar w:fldCharType="end"/>
          </w:r>
        </w:p>
        <w:p>
          <w:pPr>
            <w:pStyle w:val="6"/>
            <w:numPr>
              <w:ilvl w:val="1"/>
              <w:numId w:val="1"/>
            </w:numPr>
            <w:tabs>
              <w:tab w:val="left" w:pos="1052"/>
              <w:tab w:val="left" w:pos="1053"/>
              <w:tab w:val="left" w:leader="dot" w:pos="9639"/>
            </w:tabs>
            <w:spacing w:before="56" w:after="0" w:line="240" w:lineRule="auto"/>
            <w:ind w:left="1052" w:right="0" w:hanging="629"/>
            <w:jc w:val="left"/>
            <w:rPr>
              <w:rFonts w:ascii="Calibri" w:eastAsia="Calibri"/>
            </w:rPr>
          </w:pPr>
          <w:r>
            <w:fldChar w:fldCharType="begin"/>
          </w:r>
          <w:r>
            <w:instrText xml:space="preserve"> HYPERLINK \l "_bookmark16" </w:instrText>
          </w:r>
          <w:r>
            <w:fldChar w:fldCharType="separate"/>
          </w:r>
          <w:r>
            <w:t>技术要求</w:t>
          </w:r>
          <w:r>
            <w:tab/>
          </w:r>
          <w:r>
            <w:rPr>
              <w:rFonts w:ascii="Calibri" w:eastAsia="Calibri"/>
            </w:rPr>
            <w:t>30</w:t>
          </w:r>
          <w:r>
            <w:rPr>
              <w:rFonts w:ascii="Calibri" w:eastAsia="Calibri"/>
            </w:rPr>
            <w:fldChar w:fldCharType="end"/>
          </w:r>
        </w:p>
        <w:p>
          <w:pPr>
            <w:pStyle w:val="7"/>
            <w:numPr>
              <w:ilvl w:val="0"/>
              <w:numId w:val="1"/>
            </w:numPr>
            <w:tabs>
              <w:tab w:val="left" w:pos="419"/>
              <w:tab w:val="left" w:pos="420"/>
              <w:tab w:val="left" w:leader="dot" w:pos="9427"/>
            </w:tabs>
            <w:spacing w:before="175" w:after="0" w:line="240" w:lineRule="auto"/>
            <w:ind w:left="632" w:right="322" w:hanging="633"/>
            <w:jc w:val="right"/>
            <w:rPr>
              <w:rFonts w:ascii="Calibri" w:eastAsia="Calibri"/>
            </w:rPr>
          </w:pPr>
          <w:r>
            <w:fldChar w:fldCharType="begin"/>
          </w:r>
          <w:r>
            <w:instrText xml:space="preserve"> HYPERLINK \l "_bookmark17" </w:instrText>
          </w:r>
          <w:r>
            <w:fldChar w:fldCharType="separate"/>
          </w:r>
          <w:r>
            <w:t>城市绿地</w:t>
          </w:r>
          <w:r>
            <w:tab/>
          </w:r>
          <w:r>
            <w:rPr>
              <w:rFonts w:ascii="Calibri" w:eastAsia="Calibri"/>
              <w:spacing w:val="-1"/>
              <w:w w:val="95"/>
            </w:rPr>
            <w:t>32</w:t>
          </w:r>
          <w:r>
            <w:rPr>
              <w:rFonts w:ascii="Calibri" w:eastAsia="Calibri"/>
              <w:spacing w:val="-1"/>
              <w:w w:val="95"/>
            </w:rPr>
            <w:fldChar w:fldCharType="end"/>
          </w:r>
        </w:p>
        <w:p>
          <w:pPr>
            <w:pStyle w:val="6"/>
            <w:numPr>
              <w:ilvl w:val="1"/>
              <w:numId w:val="1"/>
            </w:numPr>
            <w:tabs>
              <w:tab w:val="left" w:pos="1052"/>
              <w:tab w:val="left" w:pos="1053"/>
              <w:tab w:val="left" w:leader="dot" w:pos="9639"/>
            </w:tabs>
            <w:spacing w:before="176" w:after="0" w:line="240" w:lineRule="auto"/>
            <w:ind w:left="1052" w:right="0" w:hanging="629"/>
            <w:jc w:val="left"/>
            <w:rPr>
              <w:rFonts w:ascii="Calibri" w:eastAsia="Calibri"/>
            </w:rPr>
          </w:pPr>
          <w:r>
            <w:fldChar w:fldCharType="begin"/>
          </w:r>
          <w:r>
            <w:instrText xml:space="preserve"> HYPERLINK \l "_bookmark18" </w:instrText>
          </w:r>
          <w:r>
            <w:fldChar w:fldCharType="separate"/>
          </w:r>
          <w:r>
            <w:t>一般规定</w:t>
          </w:r>
          <w:r>
            <w:tab/>
          </w:r>
          <w:r>
            <w:rPr>
              <w:rFonts w:ascii="Calibri" w:eastAsia="Calibri"/>
            </w:rPr>
            <w:t>32</w:t>
          </w:r>
          <w:r>
            <w:rPr>
              <w:rFonts w:ascii="Calibri" w:eastAsia="Calibri"/>
            </w:rPr>
            <w:fldChar w:fldCharType="end"/>
          </w:r>
        </w:p>
        <w:p>
          <w:pPr>
            <w:pStyle w:val="6"/>
            <w:numPr>
              <w:ilvl w:val="1"/>
              <w:numId w:val="1"/>
            </w:numPr>
            <w:tabs>
              <w:tab w:val="left" w:pos="1052"/>
              <w:tab w:val="left" w:pos="1053"/>
              <w:tab w:val="left" w:leader="dot" w:pos="9639"/>
            </w:tabs>
            <w:spacing w:before="56" w:after="0" w:line="240" w:lineRule="auto"/>
            <w:ind w:left="1052" w:right="0" w:hanging="629"/>
            <w:jc w:val="left"/>
            <w:rPr>
              <w:rFonts w:ascii="Calibri" w:eastAsia="Calibri"/>
            </w:rPr>
          </w:pPr>
          <w:r>
            <w:fldChar w:fldCharType="begin"/>
          </w:r>
          <w:r>
            <w:instrText xml:space="preserve"> HYPERLINK \l "_bookmark19" </w:instrText>
          </w:r>
          <w:r>
            <w:fldChar w:fldCharType="separate"/>
          </w:r>
          <w:r>
            <w:t>公园绿地</w:t>
          </w:r>
          <w:r>
            <w:tab/>
          </w:r>
          <w:r>
            <w:rPr>
              <w:rFonts w:ascii="Calibri" w:eastAsia="Calibri"/>
            </w:rPr>
            <w:t>32</w:t>
          </w:r>
          <w:r>
            <w:rPr>
              <w:rFonts w:ascii="Calibri" w:eastAsia="Calibri"/>
            </w:rPr>
            <w:fldChar w:fldCharType="end"/>
          </w:r>
        </w:p>
        <w:p>
          <w:pPr>
            <w:pStyle w:val="6"/>
            <w:numPr>
              <w:ilvl w:val="1"/>
              <w:numId w:val="1"/>
            </w:numPr>
            <w:tabs>
              <w:tab w:val="left" w:pos="1052"/>
              <w:tab w:val="left" w:pos="1053"/>
              <w:tab w:val="left" w:leader="dot" w:pos="9639"/>
            </w:tabs>
            <w:spacing w:before="56" w:after="0" w:line="240" w:lineRule="auto"/>
            <w:ind w:left="1052" w:right="0" w:hanging="629"/>
            <w:jc w:val="left"/>
            <w:rPr>
              <w:rFonts w:ascii="Calibri" w:eastAsia="Calibri"/>
            </w:rPr>
          </w:pPr>
          <w:r>
            <w:fldChar w:fldCharType="begin"/>
          </w:r>
          <w:r>
            <w:instrText xml:space="preserve"> HYPERLINK \l "_bookmark20" </w:instrText>
          </w:r>
          <w:r>
            <w:fldChar w:fldCharType="separate"/>
          </w:r>
          <w:r>
            <w:t>其他绿地</w:t>
          </w:r>
          <w:r>
            <w:tab/>
          </w:r>
          <w:r>
            <w:rPr>
              <w:rFonts w:ascii="Calibri" w:eastAsia="Calibri"/>
            </w:rPr>
            <w:t>34</w:t>
          </w:r>
          <w:r>
            <w:rPr>
              <w:rFonts w:ascii="Calibri" w:eastAsia="Calibri"/>
            </w:rPr>
            <w:fldChar w:fldCharType="end"/>
          </w:r>
        </w:p>
        <w:p>
          <w:pPr>
            <w:pStyle w:val="7"/>
            <w:numPr>
              <w:ilvl w:val="0"/>
              <w:numId w:val="1"/>
            </w:numPr>
            <w:tabs>
              <w:tab w:val="left" w:pos="419"/>
              <w:tab w:val="left" w:pos="420"/>
              <w:tab w:val="left" w:leader="dot" w:pos="9427"/>
            </w:tabs>
            <w:spacing w:before="175" w:after="0" w:line="240" w:lineRule="auto"/>
            <w:ind w:left="632" w:right="322" w:hanging="633"/>
            <w:jc w:val="right"/>
            <w:rPr>
              <w:rFonts w:ascii="Calibri" w:eastAsia="Calibri"/>
            </w:rPr>
          </w:pPr>
          <w:r>
            <w:fldChar w:fldCharType="begin"/>
          </w:r>
          <w:r>
            <w:instrText xml:space="preserve"> HYPERLINK \l "_bookmark21" </w:instrText>
          </w:r>
          <w:r>
            <w:fldChar w:fldCharType="separate"/>
          </w:r>
          <w:r>
            <w:t>城市建筑</w:t>
          </w:r>
          <w:r>
            <w:tab/>
          </w:r>
          <w:r>
            <w:rPr>
              <w:rFonts w:ascii="Calibri" w:eastAsia="Calibri"/>
              <w:spacing w:val="-1"/>
              <w:w w:val="95"/>
            </w:rPr>
            <w:t>35</w:t>
          </w:r>
          <w:r>
            <w:rPr>
              <w:rFonts w:ascii="Calibri" w:eastAsia="Calibri"/>
              <w:spacing w:val="-1"/>
              <w:w w:val="95"/>
            </w:rPr>
            <w:fldChar w:fldCharType="end"/>
          </w:r>
        </w:p>
        <w:p>
          <w:pPr>
            <w:pStyle w:val="6"/>
            <w:numPr>
              <w:ilvl w:val="1"/>
              <w:numId w:val="1"/>
            </w:numPr>
            <w:tabs>
              <w:tab w:val="left" w:pos="1052"/>
              <w:tab w:val="left" w:pos="1053"/>
              <w:tab w:val="left" w:leader="dot" w:pos="9639"/>
            </w:tabs>
            <w:spacing w:before="176" w:after="0" w:line="240" w:lineRule="auto"/>
            <w:ind w:left="1052" w:right="0" w:hanging="629"/>
            <w:jc w:val="left"/>
            <w:rPr>
              <w:rFonts w:ascii="Calibri" w:eastAsia="Calibri"/>
            </w:rPr>
          </w:pPr>
          <w:r>
            <w:fldChar w:fldCharType="begin"/>
          </w:r>
          <w:r>
            <w:instrText xml:space="preserve"> HYPERLINK \l "_bookmark22" </w:instrText>
          </w:r>
          <w:r>
            <w:fldChar w:fldCharType="separate"/>
          </w:r>
          <w:r>
            <w:t>一般规定</w:t>
          </w:r>
          <w:r>
            <w:tab/>
          </w:r>
          <w:r>
            <w:rPr>
              <w:rFonts w:ascii="Calibri" w:eastAsia="Calibri"/>
            </w:rPr>
            <w:t>35</w:t>
          </w:r>
          <w:r>
            <w:rPr>
              <w:rFonts w:ascii="Calibri" w:eastAsia="Calibri"/>
            </w:rPr>
            <w:fldChar w:fldCharType="end"/>
          </w:r>
        </w:p>
        <w:p>
          <w:pPr>
            <w:pStyle w:val="6"/>
            <w:numPr>
              <w:ilvl w:val="1"/>
              <w:numId w:val="1"/>
            </w:numPr>
            <w:tabs>
              <w:tab w:val="left" w:pos="1052"/>
              <w:tab w:val="left" w:pos="1053"/>
              <w:tab w:val="left" w:leader="dot" w:pos="9639"/>
            </w:tabs>
            <w:spacing w:before="56" w:after="0" w:line="240" w:lineRule="auto"/>
            <w:ind w:left="1052" w:right="0" w:hanging="629"/>
            <w:jc w:val="left"/>
            <w:rPr>
              <w:rFonts w:ascii="Calibri" w:eastAsia="Calibri"/>
            </w:rPr>
          </w:pPr>
          <w:r>
            <w:fldChar w:fldCharType="begin"/>
          </w:r>
          <w:r>
            <w:instrText xml:space="preserve"> HYPERLINK \l "_bookmark23" </w:instrText>
          </w:r>
          <w:r>
            <w:fldChar w:fldCharType="separate"/>
          </w:r>
          <w:r>
            <w:t>居住建筑</w:t>
          </w:r>
          <w:r>
            <w:tab/>
          </w:r>
          <w:r>
            <w:rPr>
              <w:rFonts w:ascii="Calibri" w:eastAsia="Calibri"/>
            </w:rPr>
            <w:t>35</w:t>
          </w:r>
          <w:r>
            <w:rPr>
              <w:rFonts w:ascii="Calibri" w:eastAsia="Calibri"/>
            </w:rPr>
            <w:fldChar w:fldCharType="end"/>
          </w:r>
        </w:p>
        <w:p>
          <w:pPr>
            <w:pStyle w:val="6"/>
            <w:numPr>
              <w:ilvl w:val="1"/>
              <w:numId w:val="1"/>
            </w:numPr>
            <w:tabs>
              <w:tab w:val="left" w:pos="1052"/>
              <w:tab w:val="left" w:pos="1053"/>
              <w:tab w:val="left" w:leader="dot" w:pos="9639"/>
            </w:tabs>
            <w:spacing w:before="56" w:after="0" w:line="240" w:lineRule="auto"/>
            <w:ind w:left="1052" w:right="0" w:hanging="629"/>
            <w:jc w:val="left"/>
            <w:rPr>
              <w:rFonts w:ascii="Calibri" w:eastAsia="Calibri"/>
            </w:rPr>
          </w:pPr>
          <w:r>
            <w:fldChar w:fldCharType="begin"/>
          </w:r>
          <w:r>
            <w:instrText xml:space="preserve"> HYPERLINK \l "_bookmark24" </w:instrText>
          </w:r>
          <w:r>
            <w:fldChar w:fldCharType="separate"/>
          </w:r>
          <w:r>
            <w:t>公共建筑</w:t>
          </w:r>
          <w:r>
            <w:tab/>
          </w:r>
          <w:r>
            <w:rPr>
              <w:rFonts w:ascii="Calibri" w:eastAsia="Calibri"/>
            </w:rPr>
            <w:t>37</w:t>
          </w:r>
          <w:r>
            <w:rPr>
              <w:rFonts w:ascii="Calibri" w:eastAsia="Calibri"/>
            </w:rPr>
            <w:fldChar w:fldCharType="end"/>
          </w:r>
        </w:p>
        <w:p>
          <w:pPr>
            <w:pStyle w:val="6"/>
            <w:numPr>
              <w:ilvl w:val="1"/>
              <w:numId w:val="1"/>
            </w:numPr>
            <w:tabs>
              <w:tab w:val="left" w:pos="1052"/>
              <w:tab w:val="left" w:pos="1053"/>
              <w:tab w:val="left" w:leader="dot" w:pos="9639"/>
            </w:tabs>
            <w:spacing w:before="55" w:after="0" w:line="240" w:lineRule="auto"/>
            <w:ind w:left="1052" w:right="0" w:hanging="629"/>
            <w:jc w:val="left"/>
            <w:rPr>
              <w:rFonts w:ascii="Calibri" w:eastAsia="Calibri"/>
            </w:rPr>
          </w:pPr>
          <w:r>
            <w:fldChar w:fldCharType="begin"/>
          </w:r>
          <w:r>
            <w:instrText xml:space="preserve"> HYPERLINK \l "_bookmark25" </w:instrText>
          </w:r>
          <w:r>
            <w:fldChar w:fldCharType="separate"/>
          </w:r>
          <w:r>
            <w:t>工业建筑</w:t>
          </w:r>
          <w:r>
            <w:tab/>
          </w:r>
          <w:r>
            <w:rPr>
              <w:rFonts w:ascii="Calibri" w:eastAsia="Calibri"/>
            </w:rPr>
            <w:t>45</w:t>
          </w:r>
          <w:r>
            <w:rPr>
              <w:rFonts w:ascii="Calibri" w:eastAsia="Calibri"/>
            </w:rPr>
            <w:fldChar w:fldCharType="end"/>
          </w:r>
        </w:p>
        <w:p>
          <w:pPr>
            <w:pStyle w:val="6"/>
            <w:numPr>
              <w:ilvl w:val="1"/>
              <w:numId w:val="1"/>
            </w:numPr>
            <w:tabs>
              <w:tab w:val="left" w:pos="1052"/>
              <w:tab w:val="left" w:pos="1053"/>
              <w:tab w:val="left" w:leader="dot" w:pos="9639"/>
            </w:tabs>
            <w:spacing w:before="56" w:after="0" w:line="240" w:lineRule="auto"/>
            <w:ind w:left="1052" w:right="0" w:hanging="629"/>
            <w:jc w:val="left"/>
            <w:rPr>
              <w:rFonts w:ascii="Calibri" w:eastAsia="Calibri"/>
            </w:rPr>
          </w:pPr>
          <w:r>
            <w:fldChar w:fldCharType="begin"/>
          </w:r>
          <w:r>
            <w:instrText xml:space="preserve"> HYPERLINK \l "_bookmark26" </w:instrText>
          </w:r>
          <w:r>
            <w:fldChar w:fldCharType="separate"/>
          </w:r>
          <w:r>
            <w:t>其他建筑</w:t>
          </w:r>
          <w:r>
            <w:tab/>
          </w:r>
          <w:r>
            <w:rPr>
              <w:rFonts w:ascii="Calibri" w:eastAsia="Calibri"/>
            </w:rPr>
            <w:t>45</w:t>
          </w:r>
          <w:r>
            <w:rPr>
              <w:rFonts w:ascii="Calibri" w:eastAsia="Calibri"/>
            </w:rPr>
            <w:fldChar w:fldCharType="end"/>
          </w:r>
        </w:p>
        <w:p>
          <w:pPr>
            <w:pStyle w:val="7"/>
            <w:tabs>
              <w:tab w:val="left" w:leader="dot" w:pos="9427"/>
            </w:tabs>
            <w:ind w:left="0" w:firstLine="0"/>
            <w:rPr>
              <w:rFonts w:ascii="Calibri" w:eastAsia="Calibri"/>
            </w:rPr>
          </w:pPr>
          <w:r>
            <w:fldChar w:fldCharType="begin"/>
          </w:r>
          <w:r>
            <w:instrText xml:space="preserve"> HYPERLINK \l "_bookmark27" </w:instrText>
          </w:r>
          <w:r>
            <w:fldChar w:fldCharType="separate"/>
          </w:r>
          <w:r>
            <w:t>附录</w:t>
          </w:r>
          <w:r>
            <w:rPr>
              <w:spacing w:val="-53"/>
            </w:rPr>
            <w:t xml:space="preserve"> </w:t>
          </w:r>
          <w:r>
            <w:rPr>
              <w:rFonts w:hint="eastAsia" w:ascii="仿宋" w:eastAsia="仿宋"/>
            </w:rPr>
            <w:t>A</w:t>
          </w:r>
          <w:r>
            <w:rPr>
              <w:rFonts w:hint="eastAsia" w:ascii="仿宋" w:eastAsia="仿宋"/>
              <w:spacing w:val="-1"/>
            </w:rPr>
            <w:t xml:space="preserve"> </w:t>
          </w:r>
          <w:r>
            <w:t>标识设施</w:t>
          </w:r>
          <w:r>
            <w:tab/>
          </w:r>
          <w:r>
            <w:rPr>
              <w:rFonts w:ascii="Calibri" w:eastAsia="Calibri"/>
              <w:spacing w:val="-1"/>
              <w:w w:val="95"/>
            </w:rPr>
            <w:t>48</w:t>
          </w:r>
          <w:r>
            <w:rPr>
              <w:rFonts w:ascii="Calibri" w:eastAsia="Calibri"/>
              <w:spacing w:val="-1"/>
              <w:w w:val="95"/>
            </w:rPr>
            <w:fldChar w:fldCharType="end"/>
          </w:r>
        </w:p>
        <w:p>
          <w:pPr>
            <w:pStyle w:val="7"/>
            <w:tabs>
              <w:tab w:val="left" w:leader="dot" w:pos="9427"/>
            </w:tabs>
            <w:ind w:left="0" w:firstLine="0"/>
            <w:rPr>
              <w:rFonts w:ascii="Calibri" w:eastAsia="Calibri"/>
            </w:rPr>
          </w:pPr>
          <w:r>
            <w:fldChar w:fldCharType="begin"/>
          </w:r>
          <w:r>
            <w:instrText xml:space="preserve"> HYPERLINK \l "_bookmark28" </w:instrText>
          </w:r>
          <w:r>
            <w:fldChar w:fldCharType="separate"/>
          </w:r>
          <w:r>
            <w:t>本标准用词说明</w:t>
          </w:r>
          <w:r>
            <w:tab/>
          </w:r>
          <w:r>
            <w:rPr>
              <w:rFonts w:ascii="Calibri" w:eastAsia="Calibri"/>
              <w:spacing w:val="-1"/>
              <w:w w:val="95"/>
            </w:rPr>
            <w:t>52</w:t>
          </w:r>
          <w:r>
            <w:rPr>
              <w:rFonts w:ascii="Calibri" w:eastAsia="Calibri"/>
              <w:spacing w:val="-1"/>
              <w:w w:val="95"/>
            </w:rPr>
            <w:fldChar w:fldCharType="end"/>
          </w:r>
        </w:p>
        <w:p>
          <w:pPr>
            <w:pStyle w:val="7"/>
            <w:tabs>
              <w:tab w:val="left" w:leader="dot" w:pos="9427"/>
            </w:tabs>
            <w:spacing w:before="175"/>
            <w:ind w:left="0" w:firstLine="0"/>
            <w:rPr>
              <w:rFonts w:ascii="Calibri" w:eastAsia="Calibri"/>
            </w:rPr>
          </w:pPr>
          <w:r>
            <w:fldChar w:fldCharType="begin"/>
          </w:r>
          <w:r>
            <w:instrText xml:space="preserve"> HYPERLINK \l "_bookmark29" </w:instrText>
          </w:r>
          <w:r>
            <w:fldChar w:fldCharType="separate"/>
          </w:r>
          <w:r>
            <w:t>引用标准名录</w:t>
          </w:r>
          <w:r>
            <w:tab/>
          </w:r>
          <w:r>
            <w:rPr>
              <w:rFonts w:ascii="Calibri" w:eastAsia="Calibri"/>
              <w:spacing w:val="-1"/>
              <w:w w:val="95"/>
            </w:rPr>
            <w:t>53</w:t>
          </w:r>
          <w:r>
            <w:rPr>
              <w:rFonts w:ascii="Calibri" w:eastAsia="Calibri"/>
              <w:spacing w:val="-1"/>
              <w:w w:val="95"/>
            </w:rPr>
            <w:fldChar w:fldCharType="end"/>
          </w:r>
        </w:p>
        <w:p>
          <w:pPr>
            <w:pStyle w:val="7"/>
            <w:tabs>
              <w:tab w:val="left" w:leader="dot" w:pos="9427"/>
            </w:tabs>
            <w:ind w:left="0" w:firstLine="0"/>
            <w:rPr>
              <w:rFonts w:ascii="Calibri" w:eastAsia="Calibri"/>
            </w:rPr>
          </w:pPr>
          <w:r>
            <w:t>附：条文说明</w:t>
          </w:r>
          <w:r>
            <w:tab/>
          </w:r>
          <w:r>
            <w:rPr>
              <w:rFonts w:ascii="Calibri" w:eastAsia="Calibri"/>
              <w:spacing w:val="-1"/>
              <w:w w:val="95"/>
            </w:rPr>
            <w:t>55</w:t>
          </w:r>
        </w:p>
      </w:sdtContent>
    </w:sdt>
    <w:p>
      <w:pPr>
        <w:spacing w:after="0"/>
        <w:rPr>
          <w:rFonts w:ascii="Calibri" w:eastAsia="Calibri"/>
        </w:rPr>
        <w:sectPr>
          <w:pgSz w:w="11910" w:h="16840"/>
          <w:pgMar w:top="1580" w:right="820" w:bottom="1280" w:left="920" w:header="0" w:footer="1095" w:gutter="0"/>
          <w:cols w:space="720" w:num="1"/>
        </w:sectPr>
      </w:pPr>
    </w:p>
    <w:p>
      <w:pPr>
        <w:spacing w:before="48"/>
        <w:ind w:left="0" w:right="91" w:firstLine="0"/>
        <w:jc w:val="center"/>
        <w:rPr>
          <w:rFonts w:ascii="仿宋"/>
          <w:b/>
          <w:sz w:val="20"/>
        </w:rPr>
      </w:pPr>
      <w:r>
        <w:rPr>
          <w:rFonts w:ascii="仿宋"/>
          <w:b/>
          <w:sz w:val="20"/>
        </w:rPr>
        <w:t>Contents</w:t>
      </w:r>
    </w:p>
    <w:p>
      <w:pPr>
        <w:pStyle w:val="12"/>
        <w:numPr>
          <w:ilvl w:val="0"/>
          <w:numId w:val="2"/>
        </w:numPr>
        <w:tabs>
          <w:tab w:val="left" w:pos="419"/>
          <w:tab w:val="left" w:pos="633"/>
          <w:tab w:val="left" w:leader="dot" w:pos="9527"/>
        </w:tabs>
        <w:spacing w:before="56" w:after="0" w:line="240" w:lineRule="auto"/>
        <w:ind w:left="632" w:right="109" w:hanging="633"/>
        <w:jc w:val="left"/>
        <w:rPr>
          <w:rFonts w:ascii="Calibri"/>
          <w:b/>
          <w:sz w:val="20"/>
        </w:rPr>
      </w:pPr>
      <w:r>
        <w:rPr>
          <w:rFonts w:ascii="仿宋"/>
          <w:b/>
          <w:sz w:val="20"/>
        </w:rPr>
        <w:t>General</w:t>
      </w:r>
      <w:r>
        <w:rPr>
          <w:rFonts w:ascii="仿宋"/>
          <w:b/>
          <w:spacing w:val="-52"/>
          <w:sz w:val="20"/>
        </w:rPr>
        <w:t xml:space="preserve"> </w:t>
      </w:r>
      <w:r>
        <w:rPr>
          <w:rFonts w:ascii="仿宋"/>
          <w:b/>
          <w:sz w:val="20"/>
        </w:rPr>
        <w:t>Provisions</w:t>
      </w:r>
      <w:r>
        <w:rPr>
          <w:rFonts w:ascii="仿宋"/>
          <w:b/>
          <w:sz w:val="20"/>
        </w:rPr>
        <w:tab/>
      </w:r>
      <w:r>
        <w:rPr>
          <w:rFonts w:ascii="Calibri"/>
          <w:b/>
          <w:sz w:val="20"/>
        </w:rPr>
        <w:t>6</w:t>
      </w:r>
    </w:p>
    <w:p>
      <w:pPr>
        <w:pStyle w:val="12"/>
        <w:numPr>
          <w:ilvl w:val="0"/>
          <w:numId w:val="2"/>
        </w:numPr>
        <w:tabs>
          <w:tab w:val="left" w:pos="419"/>
          <w:tab w:val="left" w:pos="633"/>
          <w:tab w:val="left" w:leader="dot" w:pos="9527"/>
        </w:tabs>
        <w:spacing w:before="56" w:after="0" w:line="240" w:lineRule="auto"/>
        <w:ind w:left="632" w:right="109" w:hanging="633"/>
        <w:jc w:val="left"/>
        <w:rPr>
          <w:rFonts w:ascii="Calibri"/>
          <w:b/>
          <w:sz w:val="20"/>
        </w:rPr>
      </w:pPr>
      <w:r>
        <w:rPr>
          <w:rFonts w:ascii="仿宋"/>
          <w:b/>
          <w:sz w:val="20"/>
        </w:rPr>
        <w:t>Terms</w:t>
      </w:r>
      <w:r>
        <w:rPr>
          <w:rFonts w:ascii="仿宋"/>
          <w:b/>
          <w:sz w:val="20"/>
        </w:rPr>
        <w:tab/>
      </w:r>
      <w:r>
        <w:rPr>
          <w:rFonts w:ascii="Calibri"/>
          <w:b/>
          <w:sz w:val="20"/>
        </w:rPr>
        <w:t>7</w:t>
      </w:r>
    </w:p>
    <w:p>
      <w:pPr>
        <w:pStyle w:val="12"/>
        <w:numPr>
          <w:ilvl w:val="0"/>
          <w:numId w:val="2"/>
        </w:numPr>
        <w:tabs>
          <w:tab w:val="left" w:pos="419"/>
          <w:tab w:val="left" w:pos="633"/>
          <w:tab w:val="left" w:leader="dot" w:pos="9427"/>
        </w:tabs>
        <w:spacing w:before="56" w:after="0" w:line="240" w:lineRule="auto"/>
        <w:ind w:left="632" w:right="109" w:hanging="633"/>
        <w:jc w:val="left"/>
        <w:rPr>
          <w:rFonts w:ascii="Calibri"/>
          <w:b/>
          <w:sz w:val="20"/>
        </w:rPr>
      </w:pPr>
      <w:r>
        <w:rPr>
          <w:rFonts w:ascii="仿宋"/>
          <w:b/>
          <w:sz w:val="20"/>
        </w:rPr>
        <w:t>Basic</w:t>
      </w:r>
      <w:r>
        <w:rPr>
          <w:rFonts w:ascii="仿宋"/>
          <w:b/>
          <w:spacing w:val="-52"/>
          <w:sz w:val="20"/>
        </w:rPr>
        <w:t xml:space="preserve"> </w:t>
      </w:r>
      <w:r>
        <w:rPr>
          <w:rFonts w:ascii="仿宋"/>
          <w:b/>
          <w:sz w:val="20"/>
        </w:rPr>
        <w:t>Requirements</w:t>
      </w:r>
      <w:r>
        <w:rPr>
          <w:rFonts w:ascii="仿宋"/>
          <w:b/>
          <w:sz w:val="20"/>
        </w:rPr>
        <w:tab/>
      </w:r>
      <w:r>
        <w:rPr>
          <w:rFonts w:ascii="Calibri"/>
          <w:b/>
          <w:sz w:val="20"/>
        </w:rPr>
        <w:t>11</w:t>
      </w:r>
    </w:p>
    <w:p>
      <w:pPr>
        <w:pStyle w:val="12"/>
        <w:numPr>
          <w:ilvl w:val="0"/>
          <w:numId w:val="2"/>
        </w:numPr>
        <w:tabs>
          <w:tab w:val="left" w:pos="419"/>
          <w:tab w:val="left" w:pos="633"/>
          <w:tab w:val="left" w:leader="dot" w:pos="9427"/>
        </w:tabs>
        <w:spacing w:before="55" w:after="0" w:line="240" w:lineRule="auto"/>
        <w:ind w:left="632" w:right="109" w:hanging="633"/>
        <w:jc w:val="left"/>
        <w:rPr>
          <w:rFonts w:ascii="Calibri"/>
          <w:b/>
          <w:sz w:val="20"/>
        </w:rPr>
      </w:pPr>
      <w:r>
        <w:rPr>
          <w:rFonts w:ascii="仿宋"/>
          <w:b/>
          <w:sz w:val="20"/>
        </w:rPr>
        <w:t>Design</w:t>
      </w:r>
      <w:r>
        <w:rPr>
          <w:rFonts w:ascii="仿宋"/>
          <w:b/>
          <w:spacing w:val="-53"/>
          <w:sz w:val="20"/>
        </w:rPr>
        <w:t xml:space="preserve"> </w:t>
      </w:r>
      <w:r>
        <w:rPr>
          <w:rFonts w:ascii="仿宋"/>
          <w:b/>
          <w:sz w:val="20"/>
        </w:rPr>
        <w:t>Requirements</w:t>
      </w:r>
      <w:r>
        <w:rPr>
          <w:rFonts w:ascii="仿宋"/>
          <w:b/>
          <w:spacing w:val="-52"/>
          <w:sz w:val="20"/>
        </w:rPr>
        <w:t xml:space="preserve"> </w:t>
      </w:r>
      <w:r>
        <w:rPr>
          <w:rFonts w:ascii="仿宋"/>
          <w:b/>
          <w:sz w:val="20"/>
        </w:rPr>
        <w:t>of</w:t>
      </w:r>
      <w:r>
        <w:rPr>
          <w:rFonts w:ascii="仿宋"/>
          <w:b/>
          <w:spacing w:val="-53"/>
          <w:sz w:val="20"/>
        </w:rPr>
        <w:t xml:space="preserve"> </w:t>
      </w:r>
      <w:r>
        <w:rPr>
          <w:rFonts w:ascii="仿宋"/>
          <w:b/>
          <w:sz w:val="20"/>
        </w:rPr>
        <w:t>Accessible</w:t>
      </w:r>
      <w:r>
        <w:rPr>
          <w:rFonts w:ascii="仿宋"/>
          <w:b/>
          <w:spacing w:val="-54"/>
          <w:sz w:val="20"/>
        </w:rPr>
        <w:t xml:space="preserve"> </w:t>
      </w:r>
      <w:r>
        <w:rPr>
          <w:rFonts w:ascii="仿宋"/>
          <w:b/>
          <w:sz w:val="20"/>
        </w:rPr>
        <w:t>Facilities</w:t>
      </w:r>
      <w:r>
        <w:rPr>
          <w:rFonts w:ascii="仿宋"/>
          <w:b/>
          <w:sz w:val="20"/>
        </w:rPr>
        <w:tab/>
      </w:r>
      <w:r>
        <w:rPr>
          <w:rFonts w:ascii="Calibri"/>
          <w:b/>
          <w:sz w:val="20"/>
        </w:rPr>
        <w:t>12</w:t>
      </w:r>
    </w:p>
    <w:p>
      <w:pPr>
        <w:pStyle w:val="12"/>
        <w:numPr>
          <w:ilvl w:val="1"/>
          <w:numId w:val="2"/>
        </w:numPr>
        <w:tabs>
          <w:tab w:val="left" w:pos="628"/>
          <w:tab w:val="left" w:pos="629"/>
          <w:tab w:val="left" w:leader="dot" w:pos="9215"/>
        </w:tabs>
        <w:spacing w:before="56" w:after="0" w:line="240" w:lineRule="auto"/>
        <w:ind w:left="1052" w:right="322" w:hanging="1053"/>
        <w:jc w:val="right"/>
        <w:rPr>
          <w:rFonts w:ascii="Calibri"/>
          <w:sz w:val="20"/>
        </w:rPr>
      </w:pPr>
      <w:r>
        <w:rPr>
          <w:rFonts w:ascii="仿宋"/>
          <w:sz w:val="20"/>
        </w:rPr>
        <w:t>Facilities for</w:t>
      </w:r>
      <w:r>
        <w:rPr>
          <w:rFonts w:ascii="仿宋"/>
          <w:spacing w:val="-6"/>
          <w:sz w:val="20"/>
        </w:rPr>
        <w:t xml:space="preserve"> </w:t>
      </w:r>
      <w:r>
        <w:rPr>
          <w:rFonts w:ascii="仿宋"/>
          <w:sz w:val="20"/>
        </w:rPr>
        <w:t>Accessible</w:t>
      </w:r>
      <w:r>
        <w:rPr>
          <w:rFonts w:ascii="仿宋"/>
          <w:spacing w:val="-1"/>
          <w:sz w:val="20"/>
        </w:rPr>
        <w:t xml:space="preserve"> </w:t>
      </w:r>
      <w:r>
        <w:rPr>
          <w:rFonts w:ascii="仿宋"/>
          <w:sz w:val="20"/>
        </w:rPr>
        <w:t>Routs</w:t>
      </w:r>
      <w:r>
        <w:rPr>
          <w:rFonts w:ascii="仿宋"/>
          <w:sz w:val="20"/>
        </w:rPr>
        <w:tab/>
      </w:r>
      <w:r>
        <w:rPr>
          <w:rFonts w:ascii="Calibri"/>
          <w:spacing w:val="-1"/>
          <w:w w:val="95"/>
          <w:sz w:val="20"/>
        </w:rPr>
        <w:t>12</w:t>
      </w:r>
    </w:p>
    <w:p>
      <w:pPr>
        <w:pStyle w:val="12"/>
        <w:numPr>
          <w:ilvl w:val="1"/>
          <w:numId w:val="2"/>
        </w:numPr>
        <w:tabs>
          <w:tab w:val="left" w:pos="628"/>
          <w:tab w:val="left" w:pos="629"/>
          <w:tab w:val="left" w:leader="dot" w:pos="9215"/>
        </w:tabs>
        <w:spacing w:before="56" w:after="0" w:line="240" w:lineRule="auto"/>
        <w:ind w:left="1052" w:right="322" w:hanging="1053"/>
        <w:jc w:val="right"/>
        <w:rPr>
          <w:rFonts w:ascii="Calibri"/>
          <w:sz w:val="20"/>
        </w:rPr>
      </w:pPr>
      <w:r>
        <w:rPr>
          <w:rFonts w:ascii="仿宋"/>
          <w:sz w:val="20"/>
        </w:rPr>
        <w:t>Facilities for</w:t>
      </w:r>
      <w:r>
        <w:rPr>
          <w:rFonts w:ascii="仿宋"/>
          <w:spacing w:val="-7"/>
          <w:sz w:val="20"/>
        </w:rPr>
        <w:t xml:space="preserve"> </w:t>
      </w:r>
      <w:r>
        <w:rPr>
          <w:rFonts w:ascii="仿宋"/>
          <w:sz w:val="20"/>
        </w:rPr>
        <w:t>Accessible</w:t>
      </w:r>
      <w:r>
        <w:rPr>
          <w:rFonts w:ascii="仿宋"/>
          <w:spacing w:val="-1"/>
          <w:sz w:val="20"/>
        </w:rPr>
        <w:t xml:space="preserve"> </w:t>
      </w:r>
      <w:r>
        <w:rPr>
          <w:rFonts w:ascii="仿宋"/>
          <w:sz w:val="20"/>
        </w:rPr>
        <w:t>Services</w:t>
      </w:r>
      <w:r>
        <w:rPr>
          <w:rFonts w:ascii="仿宋"/>
          <w:sz w:val="20"/>
        </w:rPr>
        <w:tab/>
      </w:r>
      <w:r>
        <w:rPr>
          <w:rFonts w:ascii="Calibri"/>
          <w:spacing w:val="-1"/>
          <w:w w:val="95"/>
          <w:sz w:val="20"/>
        </w:rPr>
        <w:t>18</w:t>
      </w:r>
    </w:p>
    <w:p>
      <w:pPr>
        <w:pStyle w:val="12"/>
        <w:numPr>
          <w:ilvl w:val="1"/>
          <w:numId w:val="2"/>
        </w:numPr>
        <w:tabs>
          <w:tab w:val="left" w:pos="628"/>
          <w:tab w:val="left" w:pos="629"/>
          <w:tab w:val="left" w:leader="dot" w:pos="9215"/>
        </w:tabs>
        <w:spacing w:before="56" w:after="0" w:line="240" w:lineRule="auto"/>
        <w:ind w:left="1052" w:right="322" w:hanging="1053"/>
        <w:jc w:val="right"/>
        <w:rPr>
          <w:rFonts w:ascii="Calibri"/>
          <w:sz w:val="20"/>
        </w:rPr>
      </w:pPr>
      <w:r>
        <w:rPr>
          <w:rFonts w:ascii="仿宋"/>
          <w:sz w:val="20"/>
        </w:rPr>
        <w:t>Facilities for</w:t>
      </w:r>
      <w:r>
        <w:rPr>
          <w:rFonts w:ascii="仿宋"/>
          <w:spacing w:val="-8"/>
          <w:sz w:val="20"/>
        </w:rPr>
        <w:t xml:space="preserve"> </w:t>
      </w:r>
      <w:r>
        <w:rPr>
          <w:rFonts w:ascii="仿宋"/>
          <w:sz w:val="20"/>
        </w:rPr>
        <w:t>Accessible</w:t>
      </w:r>
      <w:r>
        <w:rPr>
          <w:rFonts w:ascii="仿宋"/>
          <w:spacing w:val="-1"/>
          <w:sz w:val="20"/>
        </w:rPr>
        <w:t xml:space="preserve"> </w:t>
      </w:r>
      <w:r>
        <w:rPr>
          <w:rFonts w:ascii="仿宋"/>
          <w:sz w:val="20"/>
        </w:rPr>
        <w:t>Information</w:t>
      </w:r>
      <w:r>
        <w:rPr>
          <w:rFonts w:ascii="仿宋"/>
          <w:sz w:val="20"/>
        </w:rPr>
        <w:tab/>
      </w:r>
      <w:r>
        <w:rPr>
          <w:rFonts w:ascii="Calibri"/>
          <w:spacing w:val="-1"/>
          <w:w w:val="95"/>
          <w:sz w:val="20"/>
        </w:rPr>
        <w:t>25</w:t>
      </w:r>
    </w:p>
    <w:p>
      <w:pPr>
        <w:pStyle w:val="12"/>
        <w:numPr>
          <w:ilvl w:val="0"/>
          <w:numId w:val="2"/>
        </w:numPr>
        <w:tabs>
          <w:tab w:val="left" w:pos="419"/>
          <w:tab w:val="left" w:pos="420"/>
          <w:tab w:val="left" w:leader="dot" w:pos="9427"/>
        </w:tabs>
        <w:spacing w:before="55" w:after="0" w:line="240" w:lineRule="auto"/>
        <w:ind w:left="632" w:right="322" w:hanging="633"/>
        <w:jc w:val="right"/>
        <w:rPr>
          <w:rFonts w:ascii="Calibri"/>
          <w:b/>
          <w:sz w:val="20"/>
        </w:rPr>
      </w:pPr>
      <w:r>
        <w:rPr>
          <w:rFonts w:ascii="仿宋"/>
          <w:b/>
          <w:sz w:val="20"/>
        </w:rPr>
        <w:t>Urban</w:t>
      </w:r>
      <w:r>
        <w:rPr>
          <w:rFonts w:ascii="仿宋"/>
          <w:b/>
          <w:spacing w:val="-52"/>
          <w:sz w:val="20"/>
        </w:rPr>
        <w:t xml:space="preserve"> </w:t>
      </w:r>
      <w:r>
        <w:rPr>
          <w:rFonts w:ascii="仿宋"/>
          <w:b/>
          <w:sz w:val="20"/>
        </w:rPr>
        <w:t>Road</w:t>
      </w:r>
      <w:r>
        <w:rPr>
          <w:rFonts w:ascii="仿宋"/>
          <w:b/>
          <w:sz w:val="20"/>
        </w:rPr>
        <w:tab/>
      </w:r>
      <w:r>
        <w:rPr>
          <w:rFonts w:ascii="Calibri"/>
          <w:b/>
          <w:spacing w:val="-1"/>
          <w:w w:val="95"/>
          <w:sz w:val="20"/>
        </w:rPr>
        <w:t>27</w:t>
      </w:r>
    </w:p>
    <w:p>
      <w:pPr>
        <w:pStyle w:val="12"/>
        <w:numPr>
          <w:ilvl w:val="1"/>
          <w:numId w:val="2"/>
        </w:numPr>
        <w:tabs>
          <w:tab w:val="left" w:pos="628"/>
          <w:tab w:val="left" w:pos="629"/>
          <w:tab w:val="left" w:leader="dot" w:pos="9215"/>
        </w:tabs>
        <w:spacing w:before="56" w:after="0" w:line="240" w:lineRule="auto"/>
        <w:ind w:left="1052" w:right="322" w:hanging="1053"/>
        <w:jc w:val="right"/>
        <w:rPr>
          <w:rFonts w:ascii="Calibri"/>
          <w:sz w:val="20"/>
        </w:rPr>
      </w:pPr>
      <w:r>
        <w:rPr>
          <w:rFonts w:ascii="仿宋"/>
          <w:sz w:val="20"/>
        </w:rPr>
        <w:t>General</w:t>
      </w:r>
      <w:r>
        <w:rPr>
          <w:rFonts w:ascii="仿宋"/>
          <w:spacing w:val="-52"/>
          <w:sz w:val="20"/>
        </w:rPr>
        <w:t xml:space="preserve"> </w:t>
      </w:r>
      <w:r>
        <w:rPr>
          <w:rFonts w:ascii="仿宋"/>
          <w:sz w:val="20"/>
        </w:rPr>
        <w:t>Provisions</w:t>
      </w:r>
      <w:r>
        <w:rPr>
          <w:rFonts w:ascii="仿宋"/>
          <w:sz w:val="20"/>
        </w:rPr>
        <w:tab/>
      </w:r>
      <w:r>
        <w:rPr>
          <w:rFonts w:ascii="Calibri"/>
          <w:spacing w:val="-1"/>
          <w:w w:val="95"/>
          <w:sz w:val="20"/>
        </w:rPr>
        <w:t>27</w:t>
      </w:r>
    </w:p>
    <w:p>
      <w:pPr>
        <w:pStyle w:val="12"/>
        <w:numPr>
          <w:ilvl w:val="1"/>
          <w:numId w:val="2"/>
        </w:numPr>
        <w:tabs>
          <w:tab w:val="left" w:pos="628"/>
          <w:tab w:val="left" w:pos="629"/>
          <w:tab w:val="left" w:leader="dot" w:pos="9215"/>
        </w:tabs>
        <w:spacing w:before="56" w:after="0" w:line="240" w:lineRule="auto"/>
        <w:ind w:left="1052" w:right="322" w:hanging="1053"/>
        <w:jc w:val="right"/>
        <w:rPr>
          <w:rFonts w:ascii="Calibri"/>
          <w:sz w:val="20"/>
        </w:rPr>
      </w:pPr>
      <w:r>
        <w:rPr>
          <w:rFonts w:ascii="仿宋"/>
          <w:sz w:val="20"/>
        </w:rPr>
        <w:t>Sidewalk</w:t>
      </w:r>
      <w:r>
        <w:rPr>
          <w:rFonts w:ascii="仿宋"/>
          <w:sz w:val="20"/>
        </w:rPr>
        <w:tab/>
      </w:r>
      <w:r>
        <w:rPr>
          <w:rFonts w:ascii="Calibri"/>
          <w:spacing w:val="-1"/>
          <w:w w:val="95"/>
          <w:sz w:val="20"/>
        </w:rPr>
        <w:t>27</w:t>
      </w:r>
    </w:p>
    <w:p>
      <w:pPr>
        <w:pStyle w:val="12"/>
        <w:numPr>
          <w:ilvl w:val="1"/>
          <w:numId w:val="2"/>
        </w:numPr>
        <w:tabs>
          <w:tab w:val="left" w:pos="628"/>
          <w:tab w:val="left" w:pos="629"/>
          <w:tab w:val="left" w:leader="dot" w:pos="9215"/>
        </w:tabs>
        <w:spacing w:before="56" w:after="0" w:line="240" w:lineRule="auto"/>
        <w:ind w:left="1052" w:right="322" w:hanging="1053"/>
        <w:jc w:val="right"/>
        <w:rPr>
          <w:rFonts w:ascii="Calibri"/>
          <w:sz w:val="20"/>
        </w:rPr>
      </w:pPr>
      <w:r>
        <w:rPr>
          <w:rFonts w:ascii="仿宋"/>
          <w:sz w:val="20"/>
        </w:rPr>
        <w:t>Crosswalk</w:t>
      </w:r>
      <w:r>
        <w:rPr>
          <w:rFonts w:ascii="仿宋"/>
          <w:sz w:val="20"/>
        </w:rPr>
        <w:tab/>
      </w:r>
      <w:r>
        <w:rPr>
          <w:rFonts w:ascii="Calibri"/>
          <w:spacing w:val="-1"/>
          <w:w w:val="95"/>
          <w:sz w:val="20"/>
        </w:rPr>
        <w:t>28</w:t>
      </w:r>
    </w:p>
    <w:p>
      <w:pPr>
        <w:pStyle w:val="12"/>
        <w:numPr>
          <w:ilvl w:val="1"/>
          <w:numId w:val="2"/>
        </w:numPr>
        <w:tabs>
          <w:tab w:val="left" w:pos="628"/>
          <w:tab w:val="left" w:pos="629"/>
          <w:tab w:val="left" w:leader="dot" w:pos="9215"/>
        </w:tabs>
        <w:spacing w:before="55" w:after="0" w:line="240" w:lineRule="auto"/>
        <w:ind w:left="1052" w:right="322" w:hanging="1053"/>
        <w:jc w:val="right"/>
        <w:rPr>
          <w:rFonts w:ascii="Calibri"/>
          <w:sz w:val="20"/>
        </w:rPr>
      </w:pPr>
      <w:r>
        <w:rPr>
          <w:rFonts w:ascii="仿宋"/>
          <w:sz w:val="20"/>
        </w:rPr>
        <w:t>Pedestrian</w:t>
      </w:r>
      <w:r>
        <w:rPr>
          <w:rFonts w:ascii="仿宋"/>
          <w:spacing w:val="-51"/>
          <w:sz w:val="20"/>
        </w:rPr>
        <w:t xml:space="preserve"> </w:t>
      </w:r>
      <w:r>
        <w:rPr>
          <w:rFonts w:ascii="仿宋"/>
          <w:sz w:val="20"/>
        </w:rPr>
        <w:t>Overpass</w:t>
      </w:r>
      <w:r>
        <w:rPr>
          <w:rFonts w:ascii="仿宋"/>
          <w:spacing w:val="-53"/>
          <w:sz w:val="20"/>
        </w:rPr>
        <w:t xml:space="preserve"> </w:t>
      </w:r>
      <w:r>
        <w:rPr>
          <w:rFonts w:ascii="仿宋"/>
          <w:sz w:val="20"/>
        </w:rPr>
        <w:t>and</w:t>
      </w:r>
      <w:r>
        <w:rPr>
          <w:rFonts w:ascii="仿宋"/>
          <w:spacing w:val="-53"/>
          <w:sz w:val="20"/>
        </w:rPr>
        <w:t xml:space="preserve"> </w:t>
      </w:r>
      <w:r>
        <w:rPr>
          <w:rFonts w:ascii="仿宋"/>
          <w:sz w:val="20"/>
        </w:rPr>
        <w:t>Underpass</w:t>
      </w:r>
      <w:r>
        <w:rPr>
          <w:rFonts w:ascii="仿宋"/>
          <w:sz w:val="20"/>
        </w:rPr>
        <w:tab/>
      </w:r>
      <w:r>
        <w:rPr>
          <w:rFonts w:ascii="Calibri"/>
          <w:spacing w:val="-1"/>
          <w:w w:val="95"/>
          <w:sz w:val="20"/>
        </w:rPr>
        <w:t>28</w:t>
      </w:r>
    </w:p>
    <w:p>
      <w:pPr>
        <w:pStyle w:val="12"/>
        <w:numPr>
          <w:ilvl w:val="1"/>
          <w:numId w:val="2"/>
        </w:numPr>
        <w:tabs>
          <w:tab w:val="left" w:pos="628"/>
          <w:tab w:val="left" w:pos="629"/>
          <w:tab w:val="left" w:leader="dot" w:pos="9215"/>
        </w:tabs>
        <w:spacing w:before="56" w:after="0" w:line="240" w:lineRule="auto"/>
        <w:ind w:left="1052" w:right="322" w:hanging="1053"/>
        <w:jc w:val="right"/>
        <w:rPr>
          <w:rFonts w:ascii="Calibri"/>
          <w:sz w:val="20"/>
        </w:rPr>
      </w:pPr>
      <w:r>
        <w:rPr>
          <w:rFonts w:ascii="仿宋"/>
          <w:sz w:val="20"/>
        </w:rPr>
        <w:t>Bus</w:t>
      </w:r>
      <w:r>
        <w:rPr>
          <w:rFonts w:ascii="仿宋"/>
          <w:spacing w:val="-52"/>
          <w:sz w:val="20"/>
        </w:rPr>
        <w:t xml:space="preserve"> </w:t>
      </w:r>
      <w:r>
        <w:rPr>
          <w:rFonts w:ascii="仿宋"/>
          <w:sz w:val="20"/>
        </w:rPr>
        <w:t>Stop</w:t>
      </w:r>
      <w:r>
        <w:rPr>
          <w:rFonts w:ascii="仿宋"/>
          <w:sz w:val="20"/>
        </w:rPr>
        <w:tab/>
      </w:r>
      <w:r>
        <w:rPr>
          <w:rFonts w:ascii="Calibri"/>
          <w:spacing w:val="-1"/>
          <w:w w:val="95"/>
          <w:sz w:val="20"/>
        </w:rPr>
        <w:t>29</w:t>
      </w:r>
    </w:p>
    <w:p>
      <w:pPr>
        <w:pStyle w:val="12"/>
        <w:numPr>
          <w:ilvl w:val="1"/>
          <w:numId w:val="2"/>
        </w:numPr>
        <w:tabs>
          <w:tab w:val="left" w:pos="628"/>
          <w:tab w:val="left" w:pos="629"/>
          <w:tab w:val="left" w:leader="dot" w:pos="9215"/>
        </w:tabs>
        <w:spacing w:before="56" w:after="0" w:line="240" w:lineRule="auto"/>
        <w:ind w:left="1052" w:right="322" w:hanging="1053"/>
        <w:jc w:val="right"/>
        <w:rPr>
          <w:rFonts w:ascii="Calibri"/>
          <w:sz w:val="20"/>
        </w:rPr>
      </w:pPr>
      <w:r>
        <w:rPr>
          <w:rFonts w:ascii="仿宋"/>
          <w:sz w:val="20"/>
        </w:rPr>
        <w:t>Bicycle</w:t>
      </w:r>
      <w:r>
        <w:rPr>
          <w:rFonts w:ascii="仿宋"/>
          <w:spacing w:val="-51"/>
          <w:sz w:val="20"/>
        </w:rPr>
        <w:t xml:space="preserve"> </w:t>
      </w:r>
      <w:r>
        <w:rPr>
          <w:rFonts w:ascii="仿宋"/>
          <w:sz w:val="20"/>
        </w:rPr>
        <w:t>Parking</w:t>
      </w:r>
      <w:r>
        <w:rPr>
          <w:rFonts w:ascii="仿宋"/>
          <w:spacing w:val="-52"/>
          <w:sz w:val="20"/>
        </w:rPr>
        <w:t xml:space="preserve"> </w:t>
      </w:r>
      <w:r>
        <w:rPr>
          <w:rFonts w:ascii="仿宋"/>
          <w:sz w:val="20"/>
        </w:rPr>
        <w:t>lot</w:t>
      </w:r>
      <w:r>
        <w:rPr>
          <w:rFonts w:ascii="仿宋"/>
          <w:sz w:val="20"/>
        </w:rPr>
        <w:tab/>
      </w:r>
      <w:r>
        <w:rPr>
          <w:rFonts w:ascii="Calibri"/>
          <w:spacing w:val="-1"/>
          <w:w w:val="95"/>
          <w:sz w:val="20"/>
        </w:rPr>
        <w:t>29</w:t>
      </w:r>
    </w:p>
    <w:p>
      <w:pPr>
        <w:pStyle w:val="12"/>
        <w:numPr>
          <w:ilvl w:val="0"/>
          <w:numId w:val="2"/>
        </w:numPr>
        <w:tabs>
          <w:tab w:val="left" w:pos="419"/>
          <w:tab w:val="left" w:pos="420"/>
          <w:tab w:val="left" w:leader="dot" w:pos="9427"/>
        </w:tabs>
        <w:spacing w:before="56" w:after="0" w:line="240" w:lineRule="auto"/>
        <w:ind w:left="632" w:right="322" w:hanging="633"/>
        <w:jc w:val="right"/>
        <w:rPr>
          <w:rFonts w:ascii="Calibri"/>
          <w:b/>
          <w:sz w:val="20"/>
        </w:rPr>
      </w:pPr>
      <w:r>
        <w:rPr>
          <w:rFonts w:ascii="仿宋"/>
          <w:b/>
          <w:sz w:val="20"/>
        </w:rPr>
        <w:t>Urban</w:t>
      </w:r>
      <w:r>
        <w:rPr>
          <w:rFonts w:ascii="仿宋"/>
          <w:b/>
          <w:spacing w:val="-52"/>
          <w:sz w:val="20"/>
        </w:rPr>
        <w:t xml:space="preserve"> </w:t>
      </w:r>
      <w:r>
        <w:rPr>
          <w:rFonts w:ascii="仿宋"/>
          <w:b/>
          <w:sz w:val="20"/>
        </w:rPr>
        <w:t>Square</w:t>
      </w:r>
      <w:r>
        <w:rPr>
          <w:rFonts w:ascii="仿宋"/>
          <w:b/>
          <w:sz w:val="20"/>
        </w:rPr>
        <w:tab/>
      </w:r>
      <w:r>
        <w:rPr>
          <w:rFonts w:ascii="Calibri"/>
          <w:b/>
          <w:spacing w:val="-1"/>
          <w:w w:val="95"/>
          <w:sz w:val="20"/>
        </w:rPr>
        <w:t>30</w:t>
      </w:r>
    </w:p>
    <w:p>
      <w:pPr>
        <w:pStyle w:val="12"/>
        <w:numPr>
          <w:ilvl w:val="1"/>
          <w:numId w:val="2"/>
        </w:numPr>
        <w:tabs>
          <w:tab w:val="left" w:pos="628"/>
          <w:tab w:val="left" w:pos="629"/>
          <w:tab w:val="left" w:leader="dot" w:pos="9215"/>
        </w:tabs>
        <w:spacing w:before="55" w:after="0" w:line="240" w:lineRule="auto"/>
        <w:ind w:left="1052" w:right="322" w:hanging="1053"/>
        <w:jc w:val="right"/>
        <w:rPr>
          <w:rFonts w:ascii="Calibri"/>
          <w:sz w:val="20"/>
        </w:rPr>
      </w:pPr>
      <w:r>
        <w:rPr>
          <w:rFonts w:ascii="仿宋"/>
          <w:sz w:val="20"/>
        </w:rPr>
        <w:t>General</w:t>
      </w:r>
      <w:r>
        <w:rPr>
          <w:rFonts w:ascii="仿宋"/>
          <w:spacing w:val="-52"/>
          <w:sz w:val="20"/>
        </w:rPr>
        <w:t xml:space="preserve"> </w:t>
      </w:r>
      <w:r>
        <w:rPr>
          <w:rFonts w:ascii="仿宋"/>
          <w:sz w:val="20"/>
        </w:rPr>
        <w:t>Provisions</w:t>
      </w:r>
      <w:r>
        <w:rPr>
          <w:rFonts w:ascii="仿宋"/>
          <w:sz w:val="20"/>
        </w:rPr>
        <w:tab/>
      </w:r>
      <w:r>
        <w:rPr>
          <w:rFonts w:ascii="Calibri"/>
          <w:spacing w:val="-1"/>
          <w:w w:val="95"/>
          <w:sz w:val="20"/>
        </w:rPr>
        <w:t>30</w:t>
      </w:r>
    </w:p>
    <w:p>
      <w:pPr>
        <w:pStyle w:val="12"/>
        <w:numPr>
          <w:ilvl w:val="1"/>
          <w:numId w:val="2"/>
        </w:numPr>
        <w:tabs>
          <w:tab w:val="left" w:pos="628"/>
          <w:tab w:val="left" w:pos="629"/>
          <w:tab w:val="left" w:leader="dot" w:pos="9215"/>
        </w:tabs>
        <w:spacing w:before="56" w:after="0" w:line="240" w:lineRule="auto"/>
        <w:ind w:left="1052" w:right="322" w:hanging="1053"/>
        <w:jc w:val="right"/>
        <w:rPr>
          <w:rFonts w:ascii="Calibri"/>
          <w:sz w:val="20"/>
        </w:rPr>
      </w:pPr>
      <w:r>
        <w:rPr>
          <w:rFonts w:ascii="仿宋"/>
          <w:sz w:val="20"/>
        </w:rPr>
        <w:t>Technical</w:t>
      </w:r>
      <w:r>
        <w:rPr>
          <w:rFonts w:ascii="仿宋"/>
          <w:spacing w:val="-53"/>
          <w:sz w:val="20"/>
        </w:rPr>
        <w:t xml:space="preserve"> </w:t>
      </w:r>
      <w:r>
        <w:rPr>
          <w:rFonts w:ascii="仿宋"/>
          <w:sz w:val="20"/>
        </w:rPr>
        <w:t>Requirements</w:t>
      </w:r>
      <w:r>
        <w:rPr>
          <w:rFonts w:ascii="仿宋"/>
          <w:sz w:val="20"/>
        </w:rPr>
        <w:tab/>
      </w:r>
      <w:r>
        <w:rPr>
          <w:rFonts w:ascii="Calibri"/>
          <w:spacing w:val="-1"/>
          <w:w w:val="95"/>
          <w:sz w:val="20"/>
        </w:rPr>
        <w:t>30</w:t>
      </w:r>
    </w:p>
    <w:p>
      <w:pPr>
        <w:pStyle w:val="12"/>
        <w:numPr>
          <w:ilvl w:val="0"/>
          <w:numId w:val="2"/>
        </w:numPr>
        <w:tabs>
          <w:tab w:val="left" w:pos="419"/>
          <w:tab w:val="left" w:pos="420"/>
          <w:tab w:val="left" w:leader="dot" w:pos="9427"/>
        </w:tabs>
        <w:spacing w:before="56" w:after="0" w:line="240" w:lineRule="auto"/>
        <w:ind w:left="632" w:right="322" w:hanging="633"/>
        <w:jc w:val="right"/>
        <w:rPr>
          <w:rFonts w:ascii="Calibri"/>
          <w:b/>
          <w:sz w:val="20"/>
        </w:rPr>
      </w:pPr>
      <w:r>
        <w:rPr>
          <w:rFonts w:ascii="仿宋"/>
          <w:b/>
          <w:sz w:val="20"/>
        </w:rPr>
        <w:t>Urban</w:t>
      </w:r>
      <w:r>
        <w:rPr>
          <w:rFonts w:ascii="仿宋"/>
          <w:b/>
          <w:spacing w:val="-52"/>
          <w:sz w:val="20"/>
        </w:rPr>
        <w:t xml:space="preserve"> </w:t>
      </w:r>
      <w:r>
        <w:rPr>
          <w:rFonts w:ascii="仿宋"/>
          <w:b/>
          <w:sz w:val="20"/>
        </w:rPr>
        <w:t>Green</w:t>
      </w:r>
      <w:r>
        <w:rPr>
          <w:rFonts w:ascii="仿宋"/>
          <w:b/>
          <w:spacing w:val="-52"/>
          <w:sz w:val="20"/>
        </w:rPr>
        <w:t xml:space="preserve"> </w:t>
      </w:r>
      <w:r>
        <w:rPr>
          <w:rFonts w:ascii="仿宋"/>
          <w:b/>
          <w:sz w:val="20"/>
        </w:rPr>
        <w:t>Space</w:t>
      </w:r>
      <w:r>
        <w:rPr>
          <w:rFonts w:ascii="仿宋"/>
          <w:b/>
          <w:sz w:val="20"/>
        </w:rPr>
        <w:tab/>
      </w:r>
      <w:r>
        <w:rPr>
          <w:rFonts w:ascii="Calibri"/>
          <w:b/>
          <w:spacing w:val="-1"/>
          <w:w w:val="95"/>
          <w:sz w:val="20"/>
        </w:rPr>
        <w:t>32</w:t>
      </w:r>
    </w:p>
    <w:p>
      <w:pPr>
        <w:pStyle w:val="12"/>
        <w:numPr>
          <w:ilvl w:val="1"/>
          <w:numId w:val="2"/>
        </w:numPr>
        <w:tabs>
          <w:tab w:val="left" w:pos="628"/>
          <w:tab w:val="left" w:pos="629"/>
          <w:tab w:val="left" w:leader="dot" w:pos="9215"/>
        </w:tabs>
        <w:spacing w:before="56" w:after="0" w:line="240" w:lineRule="auto"/>
        <w:ind w:left="1052" w:right="322" w:hanging="1053"/>
        <w:jc w:val="right"/>
        <w:rPr>
          <w:rFonts w:ascii="Calibri"/>
          <w:sz w:val="20"/>
        </w:rPr>
      </w:pPr>
      <w:r>
        <w:rPr>
          <w:rFonts w:ascii="仿宋"/>
          <w:sz w:val="20"/>
        </w:rPr>
        <w:t>General</w:t>
      </w:r>
      <w:r>
        <w:rPr>
          <w:rFonts w:ascii="仿宋"/>
          <w:spacing w:val="-52"/>
          <w:sz w:val="20"/>
        </w:rPr>
        <w:t xml:space="preserve"> </w:t>
      </w:r>
      <w:r>
        <w:rPr>
          <w:rFonts w:ascii="仿宋"/>
          <w:sz w:val="20"/>
        </w:rPr>
        <w:t>Provisions</w:t>
      </w:r>
      <w:r>
        <w:rPr>
          <w:rFonts w:ascii="仿宋"/>
          <w:sz w:val="20"/>
        </w:rPr>
        <w:tab/>
      </w:r>
      <w:r>
        <w:rPr>
          <w:rFonts w:ascii="Calibri"/>
          <w:spacing w:val="-1"/>
          <w:w w:val="95"/>
          <w:sz w:val="20"/>
        </w:rPr>
        <w:t>32</w:t>
      </w:r>
    </w:p>
    <w:p>
      <w:pPr>
        <w:pStyle w:val="12"/>
        <w:numPr>
          <w:ilvl w:val="1"/>
          <w:numId w:val="2"/>
        </w:numPr>
        <w:tabs>
          <w:tab w:val="left" w:pos="628"/>
          <w:tab w:val="left" w:pos="629"/>
          <w:tab w:val="left" w:leader="dot" w:pos="9215"/>
        </w:tabs>
        <w:spacing w:before="55" w:after="0" w:line="240" w:lineRule="auto"/>
        <w:ind w:left="1052" w:right="322" w:hanging="1053"/>
        <w:jc w:val="right"/>
        <w:rPr>
          <w:rFonts w:ascii="Calibri"/>
          <w:sz w:val="20"/>
        </w:rPr>
      </w:pPr>
      <w:r>
        <w:rPr>
          <w:rFonts w:ascii="仿宋"/>
          <w:sz w:val="20"/>
        </w:rPr>
        <w:t>Park</w:t>
      </w:r>
      <w:r>
        <w:rPr>
          <w:rFonts w:ascii="仿宋"/>
          <w:spacing w:val="-51"/>
          <w:sz w:val="20"/>
        </w:rPr>
        <w:t xml:space="preserve"> </w:t>
      </w:r>
      <w:r>
        <w:rPr>
          <w:rFonts w:ascii="仿宋"/>
          <w:sz w:val="20"/>
        </w:rPr>
        <w:t>Green</w:t>
      </w:r>
      <w:r>
        <w:rPr>
          <w:rFonts w:ascii="仿宋"/>
          <w:spacing w:val="-52"/>
          <w:sz w:val="20"/>
        </w:rPr>
        <w:t xml:space="preserve"> </w:t>
      </w:r>
      <w:r>
        <w:rPr>
          <w:rFonts w:ascii="仿宋"/>
          <w:sz w:val="20"/>
        </w:rPr>
        <w:t>Space</w:t>
      </w:r>
      <w:r>
        <w:rPr>
          <w:rFonts w:ascii="仿宋"/>
          <w:sz w:val="20"/>
        </w:rPr>
        <w:tab/>
      </w:r>
      <w:r>
        <w:rPr>
          <w:rFonts w:ascii="Calibri"/>
          <w:spacing w:val="-1"/>
          <w:w w:val="95"/>
          <w:sz w:val="20"/>
        </w:rPr>
        <w:t>32</w:t>
      </w:r>
    </w:p>
    <w:p>
      <w:pPr>
        <w:pStyle w:val="12"/>
        <w:numPr>
          <w:ilvl w:val="1"/>
          <w:numId w:val="2"/>
        </w:numPr>
        <w:tabs>
          <w:tab w:val="left" w:pos="628"/>
          <w:tab w:val="left" w:pos="629"/>
          <w:tab w:val="left" w:leader="dot" w:pos="9215"/>
        </w:tabs>
        <w:spacing w:before="56" w:after="0" w:line="240" w:lineRule="auto"/>
        <w:ind w:left="1052" w:right="322" w:hanging="1053"/>
        <w:jc w:val="right"/>
        <w:rPr>
          <w:rFonts w:ascii="Calibri"/>
          <w:sz w:val="20"/>
        </w:rPr>
      </w:pPr>
      <w:r>
        <w:rPr>
          <w:rFonts w:ascii="仿宋"/>
          <w:sz w:val="20"/>
        </w:rPr>
        <w:t>Other</w:t>
      </w:r>
      <w:r>
        <w:rPr>
          <w:rFonts w:ascii="仿宋"/>
          <w:spacing w:val="-50"/>
          <w:sz w:val="20"/>
        </w:rPr>
        <w:t xml:space="preserve"> </w:t>
      </w:r>
      <w:r>
        <w:rPr>
          <w:rFonts w:ascii="仿宋"/>
          <w:sz w:val="20"/>
        </w:rPr>
        <w:t>Green</w:t>
      </w:r>
      <w:r>
        <w:rPr>
          <w:rFonts w:ascii="仿宋"/>
          <w:spacing w:val="-52"/>
          <w:sz w:val="20"/>
        </w:rPr>
        <w:t xml:space="preserve"> </w:t>
      </w:r>
      <w:r>
        <w:rPr>
          <w:rFonts w:ascii="仿宋"/>
          <w:sz w:val="20"/>
        </w:rPr>
        <w:t>Space</w:t>
      </w:r>
      <w:r>
        <w:rPr>
          <w:rFonts w:ascii="仿宋"/>
          <w:sz w:val="20"/>
        </w:rPr>
        <w:tab/>
      </w:r>
      <w:r>
        <w:rPr>
          <w:rFonts w:ascii="Calibri"/>
          <w:spacing w:val="-1"/>
          <w:w w:val="95"/>
          <w:sz w:val="20"/>
        </w:rPr>
        <w:t>34</w:t>
      </w:r>
    </w:p>
    <w:p>
      <w:pPr>
        <w:pStyle w:val="12"/>
        <w:numPr>
          <w:ilvl w:val="0"/>
          <w:numId w:val="2"/>
        </w:numPr>
        <w:tabs>
          <w:tab w:val="left" w:pos="419"/>
          <w:tab w:val="left" w:pos="420"/>
          <w:tab w:val="left" w:leader="dot" w:pos="9427"/>
        </w:tabs>
        <w:spacing w:before="56" w:after="0" w:line="240" w:lineRule="auto"/>
        <w:ind w:left="632" w:right="322" w:hanging="633"/>
        <w:jc w:val="right"/>
        <w:rPr>
          <w:rFonts w:ascii="Calibri"/>
          <w:b/>
          <w:sz w:val="20"/>
        </w:rPr>
      </w:pPr>
      <w:r>
        <w:rPr>
          <w:rFonts w:ascii="仿宋"/>
          <w:b/>
          <w:sz w:val="20"/>
        </w:rPr>
        <w:t>Urban</w:t>
      </w:r>
      <w:r>
        <w:rPr>
          <w:rFonts w:ascii="仿宋"/>
          <w:b/>
          <w:spacing w:val="-52"/>
          <w:sz w:val="20"/>
        </w:rPr>
        <w:t xml:space="preserve"> </w:t>
      </w:r>
      <w:r>
        <w:rPr>
          <w:rFonts w:ascii="仿宋"/>
          <w:b/>
          <w:sz w:val="20"/>
        </w:rPr>
        <w:t>Building</w:t>
      </w:r>
      <w:r>
        <w:rPr>
          <w:rFonts w:ascii="仿宋"/>
          <w:b/>
          <w:sz w:val="20"/>
        </w:rPr>
        <w:tab/>
      </w:r>
      <w:r>
        <w:rPr>
          <w:rFonts w:ascii="Calibri"/>
          <w:b/>
          <w:spacing w:val="-1"/>
          <w:w w:val="95"/>
          <w:sz w:val="20"/>
        </w:rPr>
        <w:t>35</w:t>
      </w:r>
    </w:p>
    <w:p>
      <w:pPr>
        <w:pStyle w:val="12"/>
        <w:numPr>
          <w:ilvl w:val="1"/>
          <w:numId w:val="2"/>
        </w:numPr>
        <w:tabs>
          <w:tab w:val="left" w:pos="628"/>
          <w:tab w:val="left" w:pos="629"/>
          <w:tab w:val="left" w:leader="dot" w:pos="9215"/>
        </w:tabs>
        <w:spacing w:before="56" w:after="0" w:line="240" w:lineRule="auto"/>
        <w:ind w:left="1052" w:right="322" w:hanging="1053"/>
        <w:jc w:val="right"/>
        <w:rPr>
          <w:rFonts w:ascii="Calibri"/>
          <w:sz w:val="20"/>
        </w:rPr>
      </w:pPr>
      <w:r>
        <w:rPr>
          <w:rFonts w:ascii="仿宋"/>
          <w:sz w:val="20"/>
        </w:rPr>
        <w:t>General</w:t>
      </w:r>
      <w:r>
        <w:rPr>
          <w:rFonts w:ascii="仿宋"/>
          <w:spacing w:val="-52"/>
          <w:sz w:val="20"/>
        </w:rPr>
        <w:t xml:space="preserve"> </w:t>
      </w:r>
      <w:r>
        <w:rPr>
          <w:rFonts w:ascii="仿宋"/>
          <w:sz w:val="20"/>
        </w:rPr>
        <w:t>Requirements</w:t>
      </w:r>
      <w:r>
        <w:rPr>
          <w:rFonts w:ascii="仿宋"/>
          <w:sz w:val="20"/>
        </w:rPr>
        <w:tab/>
      </w:r>
      <w:r>
        <w:rPr>
          <w:rFonts w:ascii="Calibri"/>
          <w:spacing w:val="-1"/>
          <w:w w:val="95"/>
          <w:sz w:val="20"/>
        </w:rPr>
        <w:t>35</w:t>
      </w:r>
    </w:p>
    <w:p>
      <w:pPr>
        <w:pStyle w:val="12"/>
        <w:numPr>
          <w:ilvl w:val="1"/>
          <w:numId w:val="2"/>
        </w:numPr>
        <w:tabs>
          <w:tab w:val="left" w:pos="628"/>
          <w:tab w:val="left" w:pos="629"/>
          <w:tab w:val="left" w:leader="dot" w:pos="9215"/>
        </w:tabs>
        <w:spacing w:before="55" w:after="0" w:line="240" w:lineRule="auto"/>
        <w:ind w:left="1052" w:right="322" w:hanging="1053"/>
        <w:jc w:val="right"/>
        <w:rPr>
          <w:rFonts w:ascii="Calibri"/>
          <w:sz w:val="20"/>
        </w:rPr>
      </w:pPr>
      <w:r>
        <w:rPr>
          <w:rFonts w:ascii="仿宋"/>
          <w:sz w:val="20"/>
        </w:rPr>
        <w:t>Residential</w:t>
      </w:r>
      <w:r>
        <w:rPr>
          <w:rFonts w:ascii="仿宋"/>
          <w:spacing w:val="-52"/>
          <w:sz w:val="20"/>
        </w:rPr>
        <w:t xml:space="preserve"> </w:t>
      </w:r>
      <w:r>
        <w:rPr>
          <w:rFonts w:ascii="仿宋"/>
          <w:sz w:val="20"/>
        </w:rPr>
        <w:t>Building</w:t>
      </w:r>
      <w:r>
        <w:rPr>
          <w:rFonts w:ascii="仿宋"/>
          <w:sz w:val="20"/>
        </w:rPr>
        <w:tab/>
      </w:r>
      <w:r>
        <w:rPr>
          <w:rFonts w:ascii="Calibri"/>
          <w:spacing w:val="-1"/>
          <w:w w:val="95"/>
          <w:sz w:val="20"/>
        </w:rPr>
        <w:t>35</w:t>
      </w:r>
    </w:p>
    <w:p>
      <w:pPr>
        <w:pStyle w:val="12"/>
        <w:numPr>
          <w:ilvl w:val="1"/>
          <w:numId w:val="2"/>
        </w:numPr>
        <w:tabs>
          <w:tab w:val="left" w:pos="628"/>
          <w:tab w:val="left" w:pos="629"/>
          <w:tab w:val="left" w:leader="dot" w:pos="9215"/>
        </w:tabs>
        <w:spacing w:before="56" w:after="0" w:line="240" w:lineRule="auto"/>
        <w:ind w:left="1052" w:right="322" w:hanging="1053"/>
        <w:jc w:val="right"/>
        <w:rPr>
          <w:rFonts w:ascii="Calibri"/>
          <w:sz w:val="20"/>
        </w:rPr>
      </w:pPr>
      <w:r>
        <w:rPr>
          <w:rFonts w:ascii="仿宋"/>
          <w:sz w:val="20"/>
        </w:rPr>
        <w:t>Public</w:t>
      </w:r>
      <w:r>
        <w:rPr>
          <w:rFonts w:ascii="仿宋"/>
          <w:spacing w:val="-52"/>
          <w:sz w:val="20"/>
        </w:rPr>
        <w:t xml:space="preserve"> </w:t>
      </w:r>
      <w:r>
        <w:rPr>
          <w:rFonts w:ascii="仿宋"/>
          <w:sz w:val="20"/>
        </w:rPr>
        <w:t>Buildings</w:t>
      </w:r>
      <w:r>
        <w:rPr>
          <w:rFonts w:ascii="仿宋"/>
          <w:sz w:val="20"/>
        </w:rPr>
        <w:tab/>
      </w:r>
      <w:r>
        <w:rPr>
          <w:rFonts w:ascii="Calibri"/>
          <w:spacing w:val="-1"/>
          <w:w w:val="95"/>
          <w:sz w:val="20"/>
        </w:rPr>
        <w:t>37</w:t>
      </w:r>
    </w:p>
    <w:p>
      <w:pPr>
        <w:pStyle w:val="12"/>
        <w:numPr>
          <w:ilvl w:val="1"/>
          <w:numId w:val="2"/>
        </w:numPr>
        <w:tabs>
          <w:tab w:val="left" w:pos="628"/>
          <w:tab w:val="left" w:pos="629"/>
          <w:tab w:val="left" w:leader="dot" w:pos="9215"/>
        </w:tabs>
        <w:spacing w:before="56" w:after="0" w:line="240" w:lineRule="auto"/>
        <w:ind w:left="1052" w:right="322" w:hanging="1053"/>
        <w:jc w:val="right"/>
        <w:rPr>
          <w:rFonts w:ascii="Calibri"/>
          <w:sz w:val="20"/>
        </w:rPr>
      </w:pPr>
      <w:r>
        <w:rPr>
          <w:rFonts w:ascii="仿宋"/>
          <w:sz w:val="20"/>
        </w:rPr>
        <w:t>Industrial</w:t>
      </w:r>
      <w:r>
        <w:rPr>
          <w:rFonts w:ascii="仿宋"/>
          <w:spacing w:val="-52"/>
          <w:sz w:val="20"/>
        </w:rPr>
        <w:t xml:space="preserve"> </w:t>
      </w:r>
      <w:r>
        <w:rPr>
          <w:rFonts w:ascii="仿宋"/>
          <w:sz w:val="20"/>
        </w:rPr>
        <w:t>Building</w:t>
      </w:r>
      <w:r>
        <w:rPr>
          <w:rFonts w:ascii="仿宋"/>
          <w:sz w:val="20"/>
        </w:rPr>
        <w:tab/>
      </w:r>
      <w:r>
        <w:rPr>
          <w:rFonts w:ascii="Calibri"/>
          <w:spacing w:val="-1"/>
          <w:w w:val="95"/>
          <w:sz w:val="20"/>
        </w:rPr>
        <w:t>45</w:t>
      </w:r>
    </w:p>
    <w:p>
      <w:pPr>
        <w:pStyle w:val="12"/>
        <w:numPr>
          <w:ilvl w:val="1"/>
          <w:numId w:val="2"/>
        </w:numPr>
        <w:tabs>
          <w:tab w:val="left" w:pos="628"/>
          <w:tab w:val="left" w:pos="629"/>
          <w:tab w:val="left" w:leader="dot" w:pos="9215"/>
        </w:tabs>
        <w:spacing w:before="56" w:after="0" w:line="240" w:lineRule="auto"/>
        <w:ind w:left="1052" w:right="322" w:hanging="1053"/>
        <w:jc w:val="right"/>
        <w:rPr>
          <w:rFonts w:ascii="Calibri"/>
          <w:sz w:val="20"/>
        </w:rPr>
      </w:pPr>
      <w:r>
        <w:rPr>
          <w:rFonts w:ascii="仿宋"/>
          <w:sz w:val="20"/>
        </w:rPr>
        <w:t>Other</w:t>
      </w:r>
      <w:r>
        <w:rPr>
          <w:rFonts w:ascii="仿宋"/>
          <w:spacing w:val="-51"/>
          <w:sz w:val="20"/>
        </w:rPr>
        <w:t xml:space="preserve"> </w:t>
      </w:r>
      <w:r>
        <w:rPr>
          <w:rFonts w:ascii="仿宋"/>
          <w:sz w:val="20"/>
        </w:rPr>
        <w:t>Buildings</w:t>
      </w:r>
      <w:r>
        <w:rPr>
          <w:rFonts w:ascii="仿宋"/>
          <w:sz w:val="20"/>
        </w:rPr>
        <w:tab/>
      </w:r>
      <w:r>
        <w:rPr>
          <w:rFonts w:ascii="Calibri"/>
          <w:spacing w:val="-1"/>
          <w:w w:val="95"/>
          <w:sz w:val="20"/>
        </w:rPr>
        <w:t>45</w:t>
      </w:r>
    </w:p>
    <w:p>
      <w:pPr>
        <w:tabs>
          <w:tab w:val="left" w:pos="1159"/>
          <w:tab w:val="left" w:leader="dot" w:pos="9427"/>
        </w:tabs>
        <w:spacing w:before="79"/>
        <w:ind w:left="0" w:right="109" w:firstLine="0"/>
        <w:jc w:val="center"/>
        <w:rPr>
          <w:rFonts w:ascii="Calibri"/>
          <w:b/>
          <w:sz w:val="20"/>
        </w:rPr>
      </w:pPr>
      <w:r>
        <w:rPr>
          <w:rFonts w:ascii="仿宋"/>
          <w:b/>
          <w:sz w:val="20"/>
        </w:rPr>
        <w:t>Appendix</w:t>
      </w:r>
      <w:r>
        <w:rPr>
          <w:rFonts w:ascii="仿宋"/>
          <w:b/>
          <w:spacing w:val="-52"/>
          <w:sz w:val="20"/>
        </w:rPr>
        <w:t xml:space="preserve"> </w:t>
      </w:r>
      <w:r>
        <w:rPr>
          <w:rFonts w:ascii="仿宋"/>
          <w:b/>
          <w:sz w:val="20"/>
        </w:rPr>
        <w:t>A</w:t>
      </w:r>
      <w:r>
        <w:rPr>
          <w:rFonts w:ascii="仿宋"/>
          <w:b/>
          <w:sz w:val="20"/>
        </w:rPr>
        <w:tab/>
      </w:r>
      <w:r>
        <w:rPr>
          <w:rFonts w:ascii="Times New Roman"/>
          <w:b/>
          <w:sz w:val="20"/>
        </w:rPr>
        <w:t>Signage</w:t>
      </w:r>
      <w:r>
        <w:rPr>
          <w:rFonts w:ascii="Times New Roman"/>
          <w:b/>
          <w:spacing w:val="-4"/>
          <w:sz w:val="20"/>
        </w:rPr>
        <w:t xml:space="preserve"> </w:t>
      </w:r>
      <w:r>
        <w:rPr>
          <w:rFonts w:ascii="Times New Roman"/>
          <w:b/>
          <w:sz w:val="20"/>
        </w:rPr>
        <w:t>Facilities</w:t>
      </w:r>
      <w:r>
        <w:rPr>
          <w:rFonts w:ascii="Times New Roman"/>
          <w:b/>
          <w:sz w:val="20"/>
        </w:rPr>
        <w:tab/>
      </w:r>
      <w:r>
        <w:rPr>
          <w:rFonts w:ascii="Calibri"/>
          <w:b/>
          <w:sz w:val="20"/>
        </w:rPr>
        <w:t>48</w:t>
      </w:r>
    </w:p>
    <w:p>
      <w:pPr>
        <w:tabs>
          <w:tab w:val="left" w:leader="dot" w:pos="9639"/>
        </w:tabs>
        <w:spacing w:before="102"/>
        <w:ind w:left="212" w:right="0" w:firstLine="0"/>
        <w:jc w:val="left"/>
        <w:rPr>
          <w:rFonts w:ascii="Calibri"/>
          <w:b/>
          <w:sz w:val="20"/>
        </w:rPr>
      </w:pPr>
      <w:r>
        <w:rPr>
          <w:rFonts w:ascii="仿宋"/>
          <w:b/>
          <w:sz w:val="20"/>
        </w:rPr>
        <w:t>Explanation</w:t>
      </w:r>
      <w:r>
        <w:rPr>
          <w:rFonts w:ascii="仿宋"/>
          <w:b/>
          <w:spacing w:val="-52"/>
          <w:sz w:val="20"/>
        </w:rPr>
        <w:t xml:space="preserve"> </w:t>
      </w:r>
      <w:r>
        <w:rPr>
          <w:rFonts w:ascii="仿宋"/>
          <w:b/>
          <w:sz w:val="20"/>
        </w:rPr>
        <w:t>of</w:t>
      </w:r>
      <w:r>
        <w:rPr>
          <w:rFonts w:ascii="仿宋"/>
          <w:b/>
          <w:spacing w:val="-52"/>
          <w:sz w:val="20"/>
        </w:rPr>
        <w:t xml:space="preserve"> </w:t>
      </w:r>
      <w:r>
        <w:rPr>
          <w:rFonts w:ascii="仿宋"/>
          <w:b/>
          <w:sz w:val="20"/>
        </w:rPr>
        <w:t>Wording</w:t>
      </w:r>
      <w:r>
        <w:rPr>
          <w:rFonts w:ascii="仿宋"/>
          <w:b/>
          <w:spacing w:val="-52"/>
          <w:sz w:val="20"/>
        </w:rPr>
        <w:t xml:space="preserve"> </w:t>
      </w:r>
      <w:r>
        <w:rPr>
          <w:rFonts w:ascii="仿宋"/>
          <w:b/>
          <w:sz w:val="20"/>
        </w:rPr>
        <w:t>in</w:t>
      </w:r>
      <w:r>
        <w:rPr>
          <w:rFonts w:ascii="仿宋"/>
          <w:b/>
          <w:spacing w:val="-52"/>
          <w:sz w:val="20"/>
        </w:rPr>
        <w:t xml:space="preserve"> </w:t>
      </w:r>
      <w:r>
        <w:rPr>
          <w:rFonts w:ascii="仿宋"/>
          <w:b/>
          <w:sz w:val="20"/>
        </w:rPr>
        <w:t>This</w:t>
      </w:r>
      <w:r>
        <w:rPr>
          <w:rFonts w:ascii="仿宋"/>
          <w:b/>
          <w:spacing w:val="-54"/>
          <w:sz w:val="20"/>
        </w:rPr>
        <w:t xml:space="preserve"> </w:t>
      </w:r>
      <w:r>
        <w:rPr>
          <w:rFonts w:ascii="仿宋"/>
          <w:b/>
          <w:sz w:val="20"/>
        </w:rPr>
        <w:t>Code</w:t>
      </w:r>
      <w:r>
        <w:rPr>
          <w:rFonts w:ascii="仿宋"/>
          <w:b/>
          <w:sz w:val="20"/>
        </w:rPr>
        <w:tab/>
      </w:r>
      <w:r>
        <w:rPr>
          <w:rFonts w:ascii="Calibri"/>
          <w:b/>
          <w:sz w:val="20"/>
        </w:rPr>
        <w:t>52</w:t>
      </w:r>
    </w:p>
    <w:p>
      <w:pPr>
        <w:tabs>
          <w:tab w:val="left" w:leader="dot" w:pos="9639"/>
        </w:tabs>
        <w:spacing w:before="103"/>
        <w:ind w:left="212" w:right="0" w:firstLine="0"/>
        <w:jc w:val="left"/>
        <w:rPr>
          <w:rFonts w:ascii="Calibri"/>
          <w:b/>
          <w:sz w:val="20"/>
        </w:rPr>
      </w:pPr>
      <w:r>
        <w:rPr>
          <w:rFonts w:ascii="仿宋"/>
          <w:b/>
          <w:sz w:val="20"/>
        </w:rPr>
        <w:t>List</w:t>
      </w:r>
      <w:r>
        <w:rPr>
          <w:rFonts w:ascii="仿宋"/>
          <w:b/>
          <w:spacing w:val="-52"/>
          <w:sz w:val="20"/>
        </w:rPr>
        <w:t xml:space="preserve"> </w:t>
      </w:r>
      <w:r>
        <w:rPr>
          <w:rFonts w:ascii="仿宋"/>
          <w:b/>
          <w:sz w:val="20"/>
        </w:rPr>
        <w:t>of</w:t>
      </w:r>
      <w:r>
        <w:rPr>
          <w:rFonts w:ascii="仿宋"/>
          <w:b/>
          <w:spacing w:val="-52"/>
          <w:sz w:val="20"/>
        </w:rPr>
        <w:t xml:space="preserve"> </w:t>
      </w:r>
      <w:r>
        <w:rPr>
          <w:rFonts w:ascii="仿宋"/>
          <w:b/>
          <w:sz w:val="20"/>
        </w:rPr>
        <w:t>Quoted</w:t>
      </w:r>
      <w:r>
        <w:rPr>
          <w:rFonts w:ascii="仿宋"/>
          <w:b/>
          <w:spacing w:val="-52"/>
          <w:sz w:val="20"/>
        </w:rPr>
        <w:t xml:space="preserve"> </w:t>
      </w:r>
      <w:r>
        <w:rPr>
          <w:rFonts w:ascii="仿宋"/>
          <w:b/>
          <w:sz w:val="20"/>
        </w:rPr>
        <w:t>Standards</w:t>
      </w:r>
      <w:r>
        <w:rPr>
          <w:rFonts w:ascii="仿宋"/>
          <w:b/>
          <w:sz w:val="20"/>
        </w:rPr>
        <w:tab/>
      </w:r>
      <w:r>
        <w:rPr>
          <w:rFonts w:ascii="Calibri"/>
          <w:b/>
          <w:sz w:val="20"/>
        </w:rPr>
        <w:t>53</w:t>
      </w:r>
    </w:p>
    <w:p>
      <w:pPr>
        <w:tabs>
          <w:tab w:val="left" w:leader="dot" w:pos="9639"/>
        </w:tabs>
        <w:spacing w:before="102"/>
        <w:ind w:left="212" w:right="0" w:firstLine="0"/>
        <w:jc w:val="left"/>
        <w:rPr>
          <w:rFonts w:ascii="Calibri" w:eastAsia="Calibri"/>
          <w:b/>
          <w:sz w:val="20"/>
        </w:rPr>
      </w:pPr>
      <w:r>
        <w:rPr>
          <w:rFonts w:hint="eastAsia" w:ascii="仿宋" w:eastAsia="仿宋"/>
          <w:b/>
          <w:sz w:val="20"/>
        </w:rPr>
        <w:t>Addition</w:t>
      </w:r>
      <w:r>
        <w:rPr>
          <w:b/>
          <w:sz w:val="20"/>
        </w:rPr>
        <w:t>：</w:t>
      </w:r>
      <w:r>
        <w:rPr>
          <w:rFonts w:hint="eastAsia" w:ascii="仿宋" w:eastAsia="仿宋"/>
          <w:b/>
          <w:sz w:val="20"/>
        </w:rPr>
        <w:t>Explanation</w:t>
      </w:r>
      <w:r>
        <w:rPr>
          <w:rFonts w:hint="eastAsia" w:ascii="仿宋" w:eastAsia="仿宋"/>
          <w:b/>
          <w:spacing w:val="-53"/>
          <w:sz w:val="20"/>
        </w:rPr>
        <w:t xml:space="preserve"> </w:t>
      </w:r>
      <w:r>
        <w:rPr>
          <w:rFonts w:hint="eastAsia" w:ascii="仿宋" w:eastAsia="仿宋"/>
          <w:b/>
          <w:sz w:val="20"/>
        </w:rPr>
        <w:t>of</w:t>
      </w:r>
      <w:r>
        <w:rPr>
          <w:rFonts w:hint="eastAsia" w:ascii="仿宋" w:eastAsia="仿宋"/>
          <w:b/>
          <w:spacing w:val="-52"/>
          <w:sz w:val="20"/>
        </w:rPr>
        <w:t xml:space="preserve"> </w:t>
      </w:r>
      <w:r>
        <w:rPr>
          <w:rFonts w:hint="eastAsia" w:ascii="仿宋" w:eastAsia="仿宋"/>
          <w:b/>
          <w:sz w:val="20"/>
        </w:rPr>
        <w:t>Provisions</w:t>
      </w:r>
      <w:r>
        <w:rPr>
          <w:rFonts w:hint="eastAsia" w:ascii="仿宋" w:eastAsia="仿宋"/>
          <w:b/>
          <w:sz w:val="20"/>
        </w:rPr>
        <w:tab/>
      </w:r>
      <w:r>
        <w:rPr>
          <w:rFonts w:ascii="Calibri" w:eastAsia="Calibri"/>
          <w:b/>
          <w:sz w:val="20"/>
        </w:rPr>
        <w:t>55</w:t>
      </w:r>
    </w:p>
    <w:p>
      <w:pPr>
        <w:spacing w:after="0"/>
        <w:jc w:val="left"/>
        <w:rPr>
          <w:rFonts w:ascii="Calibri" w:eastAsia="Calibri"/>
          <w:sz w:val="20"/>
        </w:rPr>
        <w:sectPr>
          <w:pgSz w:w="11910" w:h="16840"/>
          <w:pgMar w:top="1520" w:right="820" w:bottom="1280" w:left="920" w:header="0" w:footer="1095" w:gutter="0"/>
          <w:cols w:space="720" w:num="1"/>
        </w:sectPr>
      </w:pPr>
    </w:p>
    <w:p>
      <w:pPr>
        <w:pStyle w:val="2"/>
        <w:numPr>
          <w:ilvl w:val="2"/>
          <w:numId w:val="2"/>
        </w:numPr>
        <w:tabs>
          <w:tab w:val="left" w:pos="4921"/>
          <w:tab w:val="left" w:pos="4922"/>
        </w:tabs>
        <w:spacing w:before="68" w:after="0" w:line="240" w:lineRule="auto"/>
        <w:ind w:left="4921" w:right="0" w:hanging="421"/>
        <w:jc w:val="left"/>
      </w:pPr>
      <w:bookmarkStart w:id="0" w:name="1总则"/>
      <w:bookmarkEnd w:id="0"/>
      <w:bookmarkStart w:id="1" w:name="_bookmark0"/>
      <w:bookmarkEnd w:id="1"/>
      <w:r>
        <w:t>总则</w:t>
      </w:r>
    </w:p>
    <w:p>
      <w:pPr>
        <w:pStyle w:val="12"/>
        <w:numPr>
          <w:ilvl w:val="2"/>
          <w:numId w:val="3"/>
        </w:numPr>
        <w:tabs>
          <w:tab w:val="left" w:pos="1052"/>
          <w:tab w:val="left" w:pos="1053"/>
        </w:tabs>
        <w:spacing w:before="188" w:after="0" w:line="379" w:lineRule="auto"/>
        <w:ind w:left="212" w:right="312" w:firstLine="0"/>
        <w:jc w:val="left"/>
        <w:rPr>
          <w:sz w:val="21"/>
        </w:rPr>
      </w:pPr>
      <w:r>
        <w:rPr>
          <w:spacing w:val="-3"/>
          <w:w w:val="95"/>
          <w:sz w:val="21"/>
        </w:rPr>
        <w:t>为规范建设工程无障碍设计，构建城市无障碍环境，提高全龄全民生活质量</w:t>
      </w:r>
      <w:r>
        <w:rPr>
          <w:spacing w:val="-20"/>
          <w:w w:val="95"/>
          <w:sz w:val="24"/>
        </w:rPr>
        <w:t>，</w:t>
      </w:r>
      <w:r>
        <w:rPr>
          <w:w w:val="95"/>
          <w:sz w:val="21"/>
        </w:rPr>
        <w:t xml:space="preserve">确保无障碍设施安   </w:t>
      </w:r>
      <w:r>
        <w:rPr>
          <w:sz w:val="21"/>
        </w:rPr>
        <w:t>全可靠、便捷实用、均衡布设，制定本标准。</w:t>
      </w:r>
    </w:p>
    <w:p>
      <w:pPr>
        <w:pStyle w:val="12"/>
        <w:numPr>
          <w:ilvl w:val="2"/>
          <w:numId w:val="3"/>
        </w:numPr>
        <w:tabs>
          <w:tab w:val="left" w:pos="1052"/>
          <w:tab w:val="left" w:pos="1053"/>
        </w:tabs>
        <w:spacing w:before="43" w:after="0" w:line="417" w:lineRule="auto"/>
        <w:ind w:left="212" w:right="310" w:firstLine="0"/>
        <w:jc w:val="left"/>
        <w:rPr>
          <w:sz w:val="21"/>
        </w:rPr>
      </w:pPr>
      <w:r>
        <w:rPr>
          <w:spacing w:val="-3"/>
          <w:w w:val="95"/>
          <w:sz w:val="21"/>
        </w:rPr>
        <w:t xml:space="preserve">本标准适用于深圳市新建、改建、扩建的城市道路、城市广场、城市绿地、城市建筑等建设工程   </w:t>
      </w:r>
      <w:r>
        <w:rPr>
          <w:spacing w:val="-3"/>
          <w:sz w:val="21"/>
        </w:rPr>
        <w:t>的无障碍设施设计。其他或既有建设工程的无障碍设施设计参照执行。</w:t>
      </w:r>
    </w:p>
    <w:p>
      <w:pPr>
        <w:pStyle w:val="12"/>
        <w:numPr>
          <w:ilvl w:val="2"/>
          <w:numId w:val="3"/>
        </w:numPr>
        <w:tabs>
          <w:tab w:val="left" w:pos="1052"/>
          <w:tab w:val="left" w:pos="1053"/>
        </w:tabs>
        <w:spacing w:before="0" w:after="0" w:line="269" w:lineRule="exact"/>
        <w:ind w:left="1052" w:right="0" w:hanging="841"/>
        <w:jc w:val="left"/>
        <w:rPr>
          <w:sz w:val="21"/>
        </w:rPr>
      </w:pPr>
      <w:r>
        <w:rPr>
          <w:sz w:val="21"/>
        </w:rPr>
        <w:t>无障碍设计除应符合本标准外，尚应符合国家、行业和本省市现行有关标准的规定。</w:t>
      </w:r>
    </w:p>
    <w:p>
      <w:pPr>
        <w:spacing w:after="0" w:line="269" w:lineRule="exact"/>
        <w:jc w:val="left"/>
        <w:rPr>
          <w:sz w:val="21"/>
        </w:rPr>
        <w:sectPr>
          <w:pgSz w:w="11910" w:h="16840"/>
          <w:pgMar w:top="1580" w:right="820" w:bottom="1280" w:left="920" w:header="0" w:footer="1095" w:gutter="0"/>
          <w:cols w:space="720" w:num="1"/>
        </w:sectPr>
      </w:pPr>
    </w:p>
    <w:p>
      <w:pPr>
        <w:pStyle w:val="2"/>
        <w:numPr>
          <w:ilvl w:val="2"/>
          <w:numId w:val="2"/>
        </w:numPr>
        <w:tabs>
          <w:tab w:val="left" w:pos="4921"/>
          <w:tab w:val="left" w:pos="4922"/>
        </w:tabs>
        <w:spacing w:before="68" w:after="0" w:line="240" w:lineRule="auto"/>
        <w:ind w:left="4921" w:right="0" w:hanging="421"/>
        <w:jc w:val="left"/>
      </w:pPr>
      <w:bookmarkStart w:id="2" w:name="2术语"/>
      <w:bookmarkEnd w:id="2"/>
      <w:bookmarkStart w:id="3" w:name="_bookmark1"/>
      <w:bookmarkEnd w:id="3"/>
      <w:r>
        <w:t>术语</w:t>
      </w:r>
    </w:p>
    <w:p>
      <w:pPr>
        <w:pStyle w:val="5"/>
        <w:spacing w:before="8"/>
        <w:rPr>
          <w:b/>
          <w:sz w:val="10"/>
        </w:rPr>
      </w:pPr>
    </w:p>
    <w:p>
      <w:pPr>
        <w:pStyle w:val="12"/>
        <w:numPr>
          <w:ilvl w:val="2"/>
          <w:numId w:val="4"/>
        </w:numPr>
        <w:tabs>
          <w:tab w:val="left" w:pos="1052"/>
          <w:tab w:val="left" w:pos="1053"/>
        </w:tabs>
        <w:spacing w:before="70" w:after="0" w:line="240" w:lineRule="auto"/>
        <w:ind w:left="1052" w:right="0" w:hanging="841"/>
        <w:jc w:val="left"/>
        <w:rPr>
          <w:rFonts w:hint="eastAsia" w:ascii="仿宋" w:eastAsia="仿宋"/>
          <w:sz w:val="21"/>
        </w:rPr>
      </w:pPr>
      <w:r>
        <w:rPr>
          <w:spacing w:val="-13"/>
          <w:sz w:val="21"/>
        </w:rPr>
        <w:t xml:space="preserve">无障碍 </w:t>
      </w:r>
      <w:r>
        <w:rPr>
          <w:rFonts w:hint="eastAsia" w:ascii="仿宋" w:eastAsia="仿宋"/>
          <w:sz w:val="21"/>
        </w:rPr>
        <w:t>accessibility</w:t>
      </w:r>
    </w:p>
    <w:p>
      <w:pPr>
        <w:pStyle w:val="5"/>
        <w:spacing w:before="6"/>
        <w:rPr>
          <w:rFonts w:ascii="仿宋"/>
          <w:sz w:val="15"/>
        </w:rPr>
      </w:pPr>
    </w:p>
    <w:p>
      <w:pPr>
        <w:pStyle w:val="5"/>
        <w:spacing w:before="1"/>
        <w:ind w:left="212"/>
      </w:pPr>
      <w:r>
        <w:t>全龄全民在城市环境中出行及使用工程设施时不存在阻碍。</w:t>
      </w:r>
    </w:p>
    <w:p>
      <w:pPr>
        <w:pStyle w:val="5"/>
        <w:spacing w:before="6"/>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pacing w:val="-1"/>
          <w:sz w:val="21"/>
        </w:rPr>
        <w:t xml:space="preserve">无障碍设施 </w:t>
      </w:r>
      <w:r>
        <w:rPr>
          <w:rFonts w:hint="eastAsia" w:ascii="仿宋" w:eastAsia="仿宋"/>
          <w:sz w:val="21"/>
        </w:rPr>
        <w:t>accessible</w:t>
      </w:r>
      <w:r>
        <w:rPr>
          <w:rFonts w:hint="eastAsia" w:ascii="仿宋" w:eastAsia="仿宋"/>
          <w:spacing w:val="-4"/>
          <w:sz w:val="21"/>
        </w:rPr>
        <w:t xml:space="preserve"> </w:t>
      </w:r>
      <w:r>
        <w:rPr>
          <w:rFonts w:hint="eastAsia" w:ascii="仿宋" w:eastAsia="仿宋"/>
          <w:sz w:val="21"/>
        </w:rPr>
        <w:t>facilities</w:t>
      </w:r>
    </w:p>
    <w:p>
      <w:pPr>
        <w:pStyle w:val="5"/>
        <w:spacing w:before="7"/>
        <w:rPr>
          <w:rFonts w:ascii="仿宋"/>
          <w:sz w:val="15"/>
        </w:rPr>
      </w:pPr>
    </w:p>
    <w:p>
      <w:pPr>
        <w:pStyle w:val="5"/>
        <w:ind w:left="212"/>
      </w:pPr>
      <w:r>
        <w:rPr>
          <w:w w:val="95"/>
        </w:rPr>
        <w:t>能够辅助全龄全民平等顺畅地参与社会生活的工程设施。</w:t>
      </w:r>
    </w:p>
    <w:p>
      <w:pPr>
        <w:pStyle w:val="5"/>
        <w:spacing w:before="7"/>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z w:val="21"/>
        </w:rPr>
        <w:t xml:space="preserve">无障碍机动车停车位 </w:t>
      </w:r>
      <w:r>
        <w:rPr>
          <w:rFonts w:hint="eastAsia" w:ascii="仿宋" w:eastAsia="仿宋"/>
          <w:sz w:val="21"/>
        </w:rPr>
        <w:t>accessible</w:t>
      </w:r>
      <w:r>
        <w:rPr>
          <w:rFonts w:hint="eastAsia" w:ascii="仿宋" w:eastAsia="仿宋"/>
          <w:spacing w:val="1"/>
          <w:sz w:val="21"/>
        </w:rPr>
        <w:t xml:space="preserve"> </w:t>
      </w:r>
      <w:r>
        <w:rPr>
          <w:rFonts w:hint="eastAsia" w:ascii="仿宋" w:eastAsia="仿宋"/>
          <w:sz w:val="21"/>
        </w:rPr>
        <w:t>vehicle</w:t>
      </w:r>
      <w:r>
        <w:rPr>
          <w:rFonts w:hint="eastAsia" w:ascii="仿宋" w:eastAsia="仿宋"/>
          <w:spacing w:val="-1"/>
          <w:sz w:val="21"/>
        </w:rPr>
        <w:t xml:space="preserve"> </w:t>
      </w:r>
      <w:r>
        <w:rPr>
          <w:rFonts w:hint="eastAsia" w:ascii="仿宋" w:eastAsia="仿宋"/>
          <w:sz w:val="21"/>
        </w:rPr>
        <w:t>parking</w:t>
      </w:r>
      <w:r>
        <w:rPr>
          <w:rFonts w:hint="eastAsia" w:ascii="仿宋" w:eastAsia="仿宋"/>
          <w:spacing w:val="-1"/>
          <w:sz w:val="21"/>
        </w:rPr>
        <w:t xml:space="preserve"> </w:t>
      </w:r>
      <w:r>
        <w:rPr>
          <w:rFonts w:hint="eastAsia" w:ascii="仿宋" w:eastAsia="仿宋"/>
          <w:sz w:val="21"/>
        </w:rPr>
        <w:t>lot</w:t>
      </w:r>
    </w:p>
    <w:p>
      <w:pPr>
        <w:pStyle w:val="5"/>
        <w:spacing w:before="6"/>
        <w:rPr>
          <w:rFonts w:ascii="仿宋"/>
          <w:sz w:val="15"/>
        </w:rPr>
      </w:pPr>
    </w:p>
    <w:p>
      <w:pPr>
        <w:pStyle w:val="5"/>
        <w:spacing w:before="1"/>
        <w:ind w:left="212"/>
      </w:pPr>
      <w:r>
        <w:t>方便行动障碍者使用的机动车停车位。</w:t>
      </w:r>
    </w:p>
    <w:p>
      <w:pPr>
        <w:pStyle w:val="5"/>
        <w:spacing w:before="6"/>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z w:val="21"/>
        </w:rPr>
        <w:t>小汽车上/</w:t>
      </w:r>
      <w:r>
        <w:rPr>
          <w:spacing w:val="-1"/>
          <w:sz w:val="21"/>
        </w:rPr>
        <w:t xml:space="preserve">落客区 </w:t>
      </w:r>
      <w:r>
        <w:rPr>
          <w:rFonts w:hint="eastAsia" w:ascii="仿宋" w:eastAsia="仿宋"/>
          <w:sz w:val="21"/>
        </w:rPr>
        <w:t>pick</w:t>
      </w:r>
      <w:r>
        <w:rPr>
          <w:rFonts w:hint="eastAsia" w:ascii="仿宋" w:eastAsia="仿宋"/>
          <w:spacing w:val="-1"/>
          <w:sz w:val="21"/>
        </w:rPr>
        <w:t xml:space="preserve"> </w:t>
      </w:r>
      <w:r>
        <w:rPr>
          <w:rFonts w:hint="eastAsia" w:ascii="仿宋" w:eastAsia="仿宋"/>
          <w:sz w:val="21"/>
        </w:rPr>
        <w:t>up</w:t>
      </w:r>
      <w:r>
        <w:rPr>
          <w:rFonts w:hint="eastAsia" w:ascii="仿宋" w:eastAsia="仿宋"/>
          <w:spacing w:val="-1"/>
          <w:sz w:val="21"/>
        </w:rPr>
        <w:t xml:space="preserve"> </w:t>
      </w:r>
      <w:r>
        <w:rPr>
          <w:rFonts w:hint="eastAsia" w:ascii="仿宋" w:eastAsia="仿宋"/>
          <w:sz w:val="21"/>
        </w:rPr>
        <w:t>and</w:t>
      </w:r>
      <w:r>
        <w:rPr>
          <w:rFonts w:hint="eastAsia" w:ascii="仿宋" w:eastAsia="仿宋"/>
          <w:spacing w:val="-1"/>
          <w:sz w:val="21"/>
        </w:rPr>
        <w:t xml:space="preserve"> </w:t>
      </w:r>
      <w:r>
        <w:rPr>
          <w:rFonts w:hint="eastAsia" w:ascii="仿宋" w:eastAsia="仿宋"/>
          <w:sz w:val="21"/>
        </w:rPr>
        <w:t>drop</w:t>
      </w:r>
      <w:r>
        <w:rPr>
          <w:rFonts w:hint="eastAsia" w:ascii="仿宋" w:eastAsia="仿宋"/>
          <w:spacing w:val="-1"/>
          <w:sz w:val="21"/>
        </w:rPr>
        <w:t xml:space="preserve"> </w:t>
      </w:r>
      <w:r>
        <w:rPr>
          <w:rFonts w:hint="eastAsia" w:ascii="仿宋" w:eastAsia="仿宋"/>
          <w:sz w:val="21"/>
        </w:rPr>
        <w:t>off</w:t>
      </w:r>
      <w:r>
        <w:rPr>
          <w:rFonts w:hint="eastAsia" w:ascii="仿宋" w:eastAsia="仿宋"/>
          <w:spacing w:val="-1"/>
          <w:sz w:val="21"/>
        </w:rPr>
        <w:t xml:space="preserve"> </w:t>
      </w:r>
      <w:r>
        <w:rPr>
          <w:rFonts w:hint="eastAsia" w:ascii="仿宋" w:eastAsia="仿宋"/>
          <w:sz w:val="21"/>
        </w:rPr>
        <w:t>areas</w:t>
      </w:r>
      <w:r>
        <w:rPr>
          <w:rFonts w:hint="eastAsia" w:ascii="仿宋" w:eastAsia="仿宋"/>
          <w:spacing w:val="1"/>
          <w:sz w:val="21"/>
        </w:rPr>
        <w:t xml:space="preserve"> </w:t>
      </w:r>
      <w:r>
        <w:rPr>
          <w:rFonts w:hint="eastAsia" w:ascii="仿宋" w:eastAsia="仿宋"/>
          <w:sz w:val="21"/>
        </w:rPr>
        <w:t>for</w:t>
      </w:r>
      <w:r>
        <w:rPr>
          <w:rFonts w:hint="eastAsia" w:ascii="仿宋" w:eastAsia="仿宋"/>
          <w:spacing w:val="-1"/>
          <w:sz w:val="21"/>
        </w:rPr>
        <w:t xml:space="preserve"> </w:t>
      </w:r>
      <w:r>
        <w:rPr>
          <w:rFonts w:hint="eastAsia" w:ascii="仿宋" w:eastAsia="仿宋"/>
          <w:sz w:val="21"/>
        </w:rPr>
        <w:t>cars</w:t>
      </w:r>
    </w:p>
    <w:p>
      <w:pPr>
        <w:pStyle w:val="5"/>
        <w:spacing w:before="7"/>
        <w:rPr>
          <w:rFonts w:ascii="仿宋"/>
          <w:sz w:val="15"/>
        </w:rPr>
      </w:pPr>
    </w:p>
    <w:p>
      <w:pPr>
        <w:pStyle w:val="5"/>
        <w:ind w:left="212"/>
      </w:pPr>
      <w:r>
        <w:t>客流集中的公共场所和无障碍需求集中的设施周边，方便行动障碍者上下小汽车的区域。</w:t>
      </w:r>
    </w:p>
    <w:p>
      <w:pPr>
        <w:pStyle w:val="5"/>
        <w:spacing w:before="7"/>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pacing w:val="-11"/>
          <w:sz w:val="21"/>
        </w:rPr>
        <w:t xml:space="preserve">缘石坡道 </w:t>
      </w:r>
      <w:r>
        <w:rPr>
          <w:rFonts w:hint="eastAsia" w:ascii="仿宋" w:eastAsia="仿宋"/>
          <w:sz w:val="21"/>
        </w:rPr>
        <w:t>curb</w:t>
      </w:r>
      <w:r>
        <w:rPr>
          <w:rFonts w:hint="eastAsia" w:ascii="仿宋" w:eastAsia="仿宋"/>
          <w:spacing w:val="-1"/>
          <w:sz w:val="21"/>
        </w:rPr>
        <w:t xml:space="preserve"> </w:t>
      </w:r>
      <w:r>
        <w:rPr>
          <w:rFonts w:hint="eastAsia" w:ascii="仿宋" w:eastAsia="仿宋"/>
          <w:sz w:val="21"/>
        </w:rPr>
        <w:t>ramp</w:t>
      </w:r>
    </w:p>
    <w:p>
      <w:pPr>
        <w:pStyle w:val="5"/>
        <w:spacing w:before="6"/>
        <w:rPr>
          <w:rFonts w:ascii="仿宋"/>
          <w:sz w:val="15"/>
        </w:rPr>
      </w:pPr>
    </w:p>
    <w:p>
      <w:pPr>
        <w:pStyle w:val="5"/>
        <w:spacing w:before="1"/>
        <w:ind w:left="212"/>
      </w:pPr>
      <w:r>
        <w:t>位于人行道口，为了避免人行道路缘石带来的通行障碍，方便行人进出人行道的一种坡道。</w:t>
      </w:r>
    </w:p>
    <w:p>
      <w:pPr>
        <w:pStyle w:val="5"/>
        <w:spacing w:before="6"/>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pacing w:val="-17"/>
          <w:sz w:val="21"/>
        </w:rPr>
        <w:t xml:space="preserve">盲道 </w:t>
      </w:r>
      <w:r>
        <w:rPr>
          <w:rFonts w:hint="eastAsia" w:ascii="仿宋" w:eastAsia="仿宋"/>
          <w:sz w:val="21"/>
        </w:rPr>
        <w:t>tactile</w:t>
      </w:r>
      <w:r>
        <w:rPr>
          <w:rFonts w:hint="eastAsia" w:ascii="仿宋" w:eastAsia="仿宋"/>
          <w:spacing w:val="-1"/>
          <w:sz w:val="21"/>
        </w:rPr>
        <w:t xml:space="preserve"> </w:t>
      </w:r>
      <w:r>
        <w:rPr>
          <w:rFonts w:hint="eastAsia" w:ascii="仿宋" w:eastAsia="仿宋"/>
          <w:sz w:val="21"/>
        </w:rPr>
        <w:t>ground</w:t>
      </w:r>
      <w:r>
        <w:rPr>
          <w:rFonts w:hint="eastAsia" w:ascii="仿宋" w:eastAsia="仿宋"/>
          <w:spacing w:val="-1"/>
          <w:sz w:val="21"/>
        </w:rPr>
        <w:t xml:space="preserve"> </w:t>
      </w:r>
      <w:r>
        <w:rPr>
          <w:rFonts w:hint="eastAsia" w:ascii="仿宋" w:eastAsia="仿宋"/>
          <w:sz w:val="21"/>
        </w:rPr>
        <w:t>surface</w:t>
      </w:r>
      <w:r>
        <w:rPr>
          <w:rFonts w:hint="eastAsia" w:ascii="仿宋" w:eastAsia="仿宋"/>
          <w:spacing w:val="-1"/>
          <w:sz w:val="21"/>
        </w:rPr>
        <w:t xml:space="preserve"> </w:t>
      </w:r>
      <w:r>
        <w:rPr>
          <w:rFonts w:hint="eastAsia" w:ascii="仿宋" w:eastAsia="仿宋"/>
          <w:sz w:val="21"/>
        </w:rPr>
        <w:t>indicator</w:t>
      </w:r>
    </w:p>
    <w:p>
      <w:pPr>
        <w:pStyle w:val="5"/>
        <w:spacing w:before="7"/>
        <w:rPr>
          <w:rFonts w:ascii="仿宋"/>
          <w:sz w:val="15"/>
        </w:rPr>
      </w:pPr>
    </w:p>
    <w:p>
      <w:pPr>
        <w:pStyle w:val="5"/>
        <w:spacing w:line="417" w:lineRule="auto"/>
        <w:ind w:left="212" w:right="253"/>
      </w:pPr>
      <w:r>
        <w:rPr>
          <w:w w:val="95"/>
        </w:rPr>
        <w:t xml:space="preserve">在人行道上或其他场所铺设的一种固定形态的地面砖，使视觉障碍者产生盲杖触觉及脚感，引导视觉障碍   </w:t>
      </w:r>
      <w:r>
        <w:t>者向前行走和辨别方向以到达目的地的通道。</w:t>
      </w:r>
    </w:p>
    <w:p>
      <w:pPr>
        <w:pStyle w:val="12"/>
        <w:numPr>
          <w:ilvl w:val="2"/>
          <w:numId w:val="4"/>
        </w:numPr>
        <w:tabs>
          <w:tab w:val="left" w:pos="1052"/>
          <w:tab w:val="left" w:pos="1053"/>
        </w:tabs>
        <w:spacing w:before="0" w:after="0" w:line="269" w:lineRule="exact"/>
        <w:ind w:left="1052" w:right="0" w:hanging="841"/>
        <w:jc w:val="left"/>
        <w:rPr>
          <w:rFonts w:hint="eastAsia" w:ascii="仿宋" w:eastAsia="仿宋"/>
          <w:sz w:val="21"/>
        </w:rPr>
      </w:pPr>
      <w:r>
        <w:rPr>
          <w:spacing w:val="-11"/>
          <w:sz w:val="21"/>
        </w:rPr>
        <w:t xml:space="preserve">行进盲道 </w:t>
      </w:r>
      <w:r>
        <w:rPr>
          <w:rFonts w:hint="eastAsia" w:ascii="仿宋" w:eastAsia="仿宋"/>
          <w:sz w:val="21"/>
        </w:rPr>
        <w:t>directional</w:t>
      </w:r>
      <w:r>
        <w:rPr>
          <w:rFonts w:hint="eastAsia" w:ascii="仿宋" w:eastAsia="仿宋"/>
          <w:spacing w:val="-1"/>
          <w:sz w:val="21"/>
        </w:rPr>
        <w:t xml:space="preserve"> </w:t>
      </w:r>
      <w:r>
        <w:rPr>
          <w:rFonts w:hint="eastAsia" w:ascii="仿宋" w:eastAsia="仿宋"/>
          <w:sz w:val="21"/>
        </w:rPr>
        <w:t>indicator</w:t>
      </w:r>
    </w:p>
    <w:p>
      <w:pPr>
        <w:pStyle w:val="5"/>
        <w:spacing w:before="7"/>
        <w:rPr>
          <w:rFonts w:ascii="仿宋"/>
          <w:sz w:val="15"/>
        </w:rPr>
      </w:pPr>
    </w:p>
    <w:p>
      <w:pPr>
        <w:pStyle w:val="5"/>
        <w:ind w:left="212"/>
      </w:pPr>
      <w:r>
        <w:t>表面呈条状形，使视觉障碍者通过盲杖触觉及脚感，指引视觉障碍者可直接向正前方继续行走的盲道。</w:t>
      </w:r>
    </w:p>
    <w:p>
      <w:pPr>
        <w:pStyle w:val="5"/>
        <w:spacing w:before="6"/>
        <w:rPr>
          <w:sz w:val="15"/>
        </w:rPr>
      </w:pPr>
    </w:p>
    <w:p>
      <w:pPr>
        <w:pStyle w:val="12"/>
        <w:numPr>
          <w:ilvl w:val="2"/>
          <w:numId w:val="4"/>
        </w:numPr>
        <w:tabs>
          <w:tab w:val="left" w:pos="1052"/>
          <w:tab w:val="left" w:pos="1053"/>
        </w:tabs>
        <w:spacing w:before="1" w:after="0" w:line="240" w:lineRule="auto"/>
        <w:ind w:left="1052" w:right="0" w:hanging="841"/>
        <w:jc w:val="left"/>
        <w:rPr>
          <w:rFonts w:hint="eastAsia" w:ascii="仿宋" w:eastAsia="仿宋"/>
          <w:sz w:val="21"/>
        </w:rPr>
      </w:pPr>
      <w:r>
        <w:rPr>
          <w:spacing w:val="-11"/>
          <w:sz w:val="21"/>
        </w:rPr>
        <w:t xml:space="preserve">提示盲道 </w:t>
      </w:r>
      <w:r>
        <w:rPr>
          <w:rFonts w:hint="eastAsia" w:ascii="仿宋" w:eastAsia="仿宋"/>
          <w:sz w:val="21"/>
        </w:rPr>
        <w:t>warning</w:t>
      </w:r>
      <w:r>
        <w:rPr>
          <w:rFonts w:hint="eastAsia" w:ascii="仿宋" w:eastAsia="仿宋"/>
          <w:spacing w:val="-1"/>
          <w:sz w:val="21"/>
        </w:rPr>
        <w:t xml:space="preserve"> </w:t>
      </w:r>
      <w:r>
        <w:rPr>
          <w:rFonts w:hint="eastAsia" w:ascii="仿宋" w:eastAsia="仿宋"/>
          <w:sz w:val="21"/>
        </w:rPr>
        <w:t>indicator</w:t>
      </w:r>
    </w:p>
    <w:p>
      <w:pPr>
        <w:pStyle w:val="5"/>
        <w:spacing w:before="6"/>
        <w:rPr>
          <w:rFonts w:ascii="仿宋"/>
          <w:sz w:val="15"/>
        </w:rPr>
      </w:pPr>
    </w:p>
    <w:p>
      <w:pPr>
        <w:pStyle w:val="5"/>
        <w:spacing w:line="417" w:lineRule="auto"/>
        <w:ind w:left="212" w:right="251"/>
      </w:pPr>
      <w:r>
        <w:rPr>
          <w:w w:val="95"/>
        </w:rPr>
        <w:t xml:space="preserve">表面呈圆点形，用在盲道的起点处、拐弯处、终点处和表示服务设施的位置以及提示视觉障碍者前方将有   </w:t>
      </w:r>
      <w:r>
        <w:t>不安全或危险状态等，具有提醒注意作用的盲道。</w:t>
      </w:r>
    </w:p>
    <w:p>
      <w:pPr>
        <w:pStyle w:val="12"/>
        <w:numPr>
          <w:ilvl w:val="2"/>
          <w:numId w:val="4"/>
        </w:numPr>
        <w:tabs>
          <w:tab w:val="left" w:pos="1052"/>
          <w:tab w:val="left" w:pos="1053"/>
        </w:tabs>
        <w:spacing w:before="0" w:after="0" w:line="269" w:lineRule="exact"/>
        <w:ind w:left="1052" w:right="0" w:hanging="841"/>
        <w:jc w:val="left"/>
        <w:rPr>
          <w:rFonts w:hint="eastAsia" w:ascii="仿宋" w:eastAsia="仿宋"/>
          <w:sz w:val="21"/>
        </w:rPr>
      </w:pPr>
      <w:r>
        <w:rPr>
          <w:spacing w:val="-9"/>
          <w:sz w:val="21"/>
        </w:rPr>
        <w:t xml:space="preserve">无障碍通道 </w:t>
      </w:r>
      <w:r>
        <w:rPr>
          <w:rFonts w:hint="eastAsia" w:ascii="仿宋" w:eastAsia="仿宋"/>
          <w:sz w:val="21"/>
        </w:rPr>
        <w:t>accessible</w:t>
      </w:r>
      <w:r>
        <w:rPr>
          <w:rFonts w:hint="eastAsia" w:ascii="仿宋" w:eastAsia="仿宋"/>
          <w:spacing w:val="1"/>
          <w:sz w:val="21"/>
        </w:rPr>
        <w:t xml:space="preserve"> </w:t>
      </w:r>
      <w:r>
        <w:rPr>
          <w:rFonts w:hint="eastAsia" w:ascii="仿宋" w:eastAsia="仿宋"/>
          <w:sz w:val="21"/>
        </w:rPr>
        <w:t>route</w:t>
      </w:r>
    </w:p>
    <w:p>
      <w:pPr>
        <w:pStyle w:val="5"/>
        <w:spacing w:before="7"/>
        <w:rPr>
          <w:rFonts w:ascii="仿宋"/>
          <w:sz w:val="15"/>
        </w:rPr>
      </w:pPr>
    </w:p>
    <w:p>
      <w:pPr>
        <w:pStyle w:val="5"/>
        <w:ind w:left="212"/>
      </w:pPr>
      <w:r>
        <w:t>在坡度、宽度、高度、地面材质、扶手形式等方面方便行动障碍者通行的通道。</w:t>
      </w:r>
    </w:p>
    <w:p>
      <w:pPr>
        <w:pStyle w:val="5"/>
        <w:spacing w:before="7"/>
        <w:rPr>
          <w:sz w:val="15"/>
        </w:rPr>
      </w:pPr>
    </w:p>
    <w:p>
      <w:pPr>
        <w:pStyle w:val="12"/>
        <w:numPr>
          <w:ilvl w:val="2"/>
          <w:numId w:val="4"/>
        </w:numPr>
        <w:tabs>
          <w:tab w:val="left" w:pos="1052"/>
          <w:tab w:val="left" w:pos="1053"/>
          <w:tab w:val="left" w:pos="2103"/>
        </w:tabs>
        <w:spacing w:before="0" w:after="0" w:line="240" w:lineRule="auto"/>
        <w:ind w:left="1052" w:right="0" w:hanging="841"/>
        <w:jc w:val="left"/>
        <w:rPr>
          <w:rFonts w:hint="eastAsia" w:ascii="仿宋" w:eastAsia="仿宋"/>
          <w:sz w:val="21"/>
        </w:rPr>
      </w:pPr>
      <w:r>
        <w:rPr>
          <w:sz w:val="21"/>
        </w:rPr>
        <w:t>轮椅通道</w:t>
      </w:r>
      <w:r>
        <w:rPr>
          <w:sz w:val="21"/>
        </w:rPr>
        <w:tab/>
      </w:r>
      <w:r>
        <w:rPr>
          <w:rFonts w:hint="eastAsia" w:ascii="仿宋" w:eastAsia="仿宋"/>
          <w:sz w:val="21"/>
        </w:rPr>
        <w:t>wheelchair accessible</w:t>
      </w:r>
      <w:r>
        <w:rPr>
          <w:rFonts w:hint="eastAsia" w:ascii="仿宋" w:eastAsia="仿宋"/>
          <w:spacing w:val="-3"/>
          <w:sz w:val="21"/>
        </w:rPr>
        <w:t xml:space="preserve"> </w:t>
      </w:r>
      <w:r>
        <w:rPr>
          <w:rFonts w:hint="eastAsia" w:ascii="仿宋" w:eastAsia="仿宋"/>
          <w:sz w:val="21"/>
        </w:rPr>
        <w:t>path/lane</w:t>
      </w:r>
    </w:p>
    <w:p>
      <w:pPr>
        <w:pStyle w:val="5"/>
        <w:spacing w:before="6"/>
        <w:rPr>
          <w:rFonts w:ascii="仿宋"/>
          <w:sz w:val="15"/>
        </w:rPr>
      </w:pPr>
    </w:p>
    <w:p>
      <w:pPr>
        <w:pStyle w:val="5"/>
        <w:spacing w:before="1"/>
        <w:ind w:left="212"/>
      </w:pPr>
      <w:r>
        <w:t>在检票口、结算口等处为方便乘轮椅者设置的通道。</w:t>
      </w:r>
    </w:p>
    <w:p>
      <w:pPr>
        <w:pStyle w:val="5"/>
        <w:spacing w:before="6"/>
        <w:rPr>
          <w:sz w:val="15"/>
        </w:rPr>
      </w:pPr>
    </w:p>
    <w:p>
      <w:pPr>
        <w:pStyle w:val="12"/>
        <w:numPr>
          <w:ilvl w:val="2"/>
          <w:numId w:val="4"/>
        </w:numPr>
        <w:tabs>
          <w:tab w:val="left" w:pos="1052"/>
          <w:tab w:val="left" w:pos="1053"/>
          <w:tab w:val="left" w:pos="2523"/>
        </w:tabs>
        <w:spacing w:before="0" w:after="0" w:line="240" w:lineRule="auto"/>
        <w:ind w:left="1052" w:right="0" w:hanging="841"/>
        <w:jc w:val="left"/>
        <w:rPr>
          <w:rFonts w:hint="eastAsia" w:ascii="仿宋" w:eastAsia="仿宋"/>
          <w:sz w:val="21"/>
        </w:rPr>
      </w:pPr>
      <w:r>
        <w:rPr>
          <w:sz w:val="21"/>
        </w:rPr>
        <w:t>无障碍出入口</w:t>
      </w:r>
      <w:r>
        <w:rPr>
          <w:sz w:val="21"/>
        </w:rPr>
        <w:tab/>
      </w:r>
      <w:r>
        <w:rPr>
          <w:rFonts w:hint="eastAsia" w:ascii="仿宋" w:eastAsia="仿宋"/>
          <w:sz w:val="21"/>
        </w:rPr>
        <w:t>accessible</w:t>
      </w:r>
      <w:r>
        <w:rPr>
          <w:rFonts w:hint="eastAsia" w:ascii="仿宋" w:eastAsia="仿宋"/>
          <w:spacing w:val="-2"/>
          <w:sz w:val="21"/>
        </w:rPr>
        <w:t xml:space="preserve"> </w:t>
      </w:r>
      <w:r>
        <w:rPr>
          <w:rFonts w:hint="eastAsia" w:ascii="仿宋" w:eastAsia="仿宋"/>
          <w:sz w:val="21"/>
        </w:rPr>
        <w:t>entrance</w:t>
      </w:r>
    </w:p>
    <w:p>
      <w:pPr>
        <w:pStyle w:val="5"/>
        <w:spacing w:before="7"/>
        <w:rPr>
          <w:rFonts w:ascii="仿宋"/>
          <w:sz w:val="15"/>
        </w:rPr>
      </w:pPr>
    </w:p>
    <w:p>
      <w:pPr>
        <w:pStyle w:val="5"/>
        <w:ind w:left="212"/>
      </w:pPr>
      <w:r>
        <w:t>在坡度、宽度、高度上以及地面材质、扶手形式等方面方便行动障碍者通行的出入口。</w:t>
      </w:r>
    </w:p>
    <w:p>
      <w:pPr>
        <w:pStyle w:val="5"/>
        <w:spacing w:before="7"/>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z w:val="21"/>
        </w:rPr>
        <w:t xml:space="preserve">平坡出入口 </w:t>
      </w:r>
      <w:r>
        <w:rPr>
          <w:rFonts w:hint="eastAsia" w:ascii="仿宋" w:eastAsia="仿宋"/>
          <w:sz w:val="21"/>
        </w:rPr>
        <w:t>ramp</w:t>
      </w:r>
      <w:r>
        <w:rPr>
          <w:rFonts w:hint="eastAsia" w:ascii="仿宋" w:eastAsia="仿宋"/>
          <w:spacing w:val="-1"/>
          <w:sz w:val="21"/>
        </w:rPr>
        <w:t xml:space="preserve"> </w:t>
      </w:r>
      <w:r>
        <w:rPr>
          <w:rFonts w:hint="eastAsia" w:ascii="仿宋" w:eastAsia="仿宋"/>
          <w:sz w:val="21"/>
        </w:rPr>
        <w:t>entrance</w:t>
      </w:r>
    </w:p>
    <w:p>
      <w:pPr>
        <w:pStyle w:val="5"/>
        <w:spacing w:before="6"/>
        <w:rPr>
          <w:rFonts w:ascii="仿宋"/>
          <w:sz w:val="15"/>
        </w:rPr>
      </w:pPr>
    </w:p>
    <w:p>
      <w:pPr>
        <w:pStyle w:val="5"/>
        <w:spacing w:before="1"/>
        <w:ind w:left="212"/>
      </w:pPr>
      <w:r>
        <w:t>地面坡度不大于 1：20 且不设扶手的出入口。</w:t>
      </w:r>
    </w:p>
    <w:p>
      <w:pPr>
        <w:pStyle w:val="5"/>
        <w:spacing w:before="6"/>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pacing w:val="-9"/>
          <w:sz w:val="21"/>
        </w:rPr>
        <w:t xml:space="preserve">无障碍电梯 </w:t>
      </w:r>
      <w:r>
        <w:rPr>
          <w:rFonts w:hint="eastAsia" w:ascii="仿宋" w:eastAsia="仿宋"/>
          <w:sz w:val="21"/>
        </w:rPr>
        <w:t>accessible</w:t>
      </w:r>
      <w:r>
        <w:rPr>
          <w:rFonts w:hint="eastAsia" w:ascii="仿宋" w:eastAsia="仿宋"/>
          <w:spacing w:val="-1"/>
          <w:sz w:val="21"/>
        </w:rPr>
        <w:t xml:space="preserve"> </w:t>
      </w:r>
      <w:r>
        <w:rPr>
          <w:rFonts w:hint="eastAsia" w:ascii="仿宋" w:eastAsia="仿宋"/>
          <w:sz w:val="21"/>
        </w:rPr>
        <w:t>elevator</w:t>
      </w:r>
    </w:p>
    <w:p>
      <w:pPr>
        <w:pStyle w:val="5"/>
        <w:spacing w:before="7"/>
        <w:rPr>
          <w:rFonts w:ascii="仿宋"/>
          <w:sz w:val="15"/>
        </w:rPr>
      </w:pPr>
    </w:p>
    <w:p>
      <w:pPr>
        <w:pStyle w:val="5"/>
        <w:ind w:left="212"/>
      </w:pPr>
      <w:r>
        <w:t>适合行动障碍者、视觉障碍者、听觉障碍者进出和使用的电梯。</w:t>
      </w:r>
    </w:p>
    <w:p>
      <w:pPr>
        <w:spacing w:after="0"/>
        <w:sectPr>
          <w:pgSz w:w="11910" w:h="16840"/>
          <w:pgMar w:top="1580" w:right="820" w:bottom="1280" w:left="920" w:header="0" w:footer="1095" w:gutter="0"/>
          <w:cols w:space="720" w:num="1"/>
        </w:sectPr>
      </w:pPr>
    </w:p>
    <w:p>
      <w:pPr>
        <w:pStyle w:val="12"/>
        <w:numPr>
          <w:ilvl w:val="2"/>
          <w:numId w:val="4"/>
        </w:numPr>
        <w:tabs>
          <w:tab w:val="left" w:pos="1052"/>
          <w:tab w:val="left" w:pos="1053"/>
        </w:tabs>
        <w:spacing w:before="60" w:after="0" w:line="240" w:lineRule="auto"/>
        <w:ind w:left="1052" w:right="0" w:hanging="841"/>
        <w:jc w:val="left"/>
        <w:rPr>
          <w:rFonts w:hint="eastAsia" w:ascii="仿宋" w:eastAsia="仿宋"/>
          <w:sz w:val="21"/>
        </w:rPr>
      </w:pPr>
      <w:r>
        <w:rPr>
          <w:spacing w:val="-11"/>
          <w:sz w:val="21"/>
        </w:rPr>
        <w:t xml:space="preserve">升降平台 </w:t>
      </w:r>
      <w:r>
        <w:rPr>
          <w:rFonts w:hint="eastAsia" w:ascii="仿宋" w:eastAsia="仿宋"/>
          <w:sz w:val="21"/>
        </w:rPr>
        <w:t>platform</w:t>
      </w:r>
      <w:r>
        <w:rPr>
          <w:rFonts w:hint="eastAsia" w:ascii="仿宋" w:eastAsia="仿宋"/>
          <w:spacing w:val="-1"/>
          <w:sz w:val="21"/>
        </w:rPr>
        <w:t xml:space="preserve"> </w:t>
      </w:r>
      <w:r>
        <w:rPr>
          <w:rFonts w:hint="eastAsia" w:ascii="仿宋" w:eastAsia="仿宋"/>
          <w:sz w:val="21"/>
        </w:rPr>
        <w:t>lift</w:t>
      </w:r>
      <w:r>
        <w:rPr>
          <w:rFonts w:hint="eastAsia" w:ascii="仿宋" w:eastAsia="仿宋"/>
          <w:spacing w:val="-1"/>
          <w:sz w:val="21"/>
        </w:rPr>
        <w:t xml:space="preserve"> </w:t>
      </w:r>
      <w:r>
        <w:rPr>
          <w:rFonts w:hint="eastAsia" w:ascii="仿宋" w:eastAsia="仿宋"/>
          <w:sz w:val="21"/>
        </w:rPr>
        <w:t>and</w:t>
      </w:r>
      <w:r>
        <w:rPr>
          <w:rFonts w:hint="eastAsia" w:ascii="仿宋" w:eastAsia="仿宋"/>
          <w:spacing w:val="-1"/>
          <w:sz w:val="21"/>
        </w:rPr>
        <w:t xml:space="preserve"> </w:t>
      </w:r>
      <w:r>
        <w:rPr>
          <w:rFonts w:hint="eastAsia" w:ascii="仿宋" w:eastAsia="仿宋"/>
          <w:sz w:val="21"/>
        </w:rPr>
        <w:t>stair</w:t>
      </w:r>
      <w:r>
        <w:rPr>
          <w:rFonts w:hint="eastAsia" w:ascii="仿宋" w:eastAsia="仿宋"/>
          <w:spacing w:val="-1"/>
          <w:sz w:val="21"/>
        </w:rPr>
        <w:t xml:space="preserve"> </w:t>
      </w:r>
      <w:r>
        <w:rPr>
          <w:rFonts w:hint="eastAsia" w:ascii="仿宋" w:eastAsia="仿宋"/>
          <w:sz w:val="21"/>
        </w:rPr>
        <w:t>lift</w:t>
      </w:r>
    </w:p>
    <w:p>
      <w:pPr>
        <w:pStyle w:val="5"/>
        <w:spacing w:before="6"/>
        <w:rPr>
          <w:rFonts w:ascii="仿宋"/>
          <w:sz w:val="15"/>
        </w:rPr>
      </w:pPr>
    </w:p>
    <w:p>
      <w:pPr>
        <w:pStyle w:val="5"/>
        <w:spacing w:before="1"/>
        <w:ind w:left="212"/>
      </w:pPr>
      <w:r>
        <w:t>方便乘轮椅者进行垂直或斜向通行的设施。</w:t>
      </w:r>
    </w:p>
    <w:p>
      <w:pPr>
        <w:pStyle w:val="5"/>
        <w:spacing w:before="6"/>
        <w:rPr>
          <w:sz w:val="15"/>
        </w:rPr>
      </w:pPr>
    </w:p>
    <w:p>
      <w:pPr>
        <w:pStyle w:val="12"/>
        <w:numPr>
          <w:ilvl w:val="2"/>
          <w:numId w:val="4"/>
        </w:numPr>
        <w:tabs>
          <w:tab w:val="left" w:pos="1052"/>
          <w:tab w:val="left" w:pos="1053"/>
          <w:tab w:val="left" w:pos="2312"/>
        </w:tabs>
        <w:spacing w:before="0" w:after="0" w:line="240" w:lineRule="auto"/>
        <w:ind w:left="1052" w:right="0" w:hanging="841"/>
        <w:jc w:val="left"/>
        <w:rPr>
          <w:rFonts w:hint="eastAsia" w:ascii="仿宋" w:eastAsia="仿宋"/>
          <w:sz w:val="21"/>
        </w:rPr>
      </w:pPr>
      <w:r>
        <w:rPr>
          <w:sz w:val="21"/>
        </w:rPr>
        <w:t>无障碍楼梯</w:t>
      </w:r>
      <w:r>
        <w:rPr>
          <w:sz w:val="21"/>
        </w:rPr>
        <w:tab/>
      </w:r>
      <w:r>
        <w:rPr>
          <w:rFonts w:hint="eastAsia" w:ascii="仿宋" w:eastAsia="仿宋"/>
          <w:sz w:val="21"/>
        </w:rPr>
        <w:t>accessible stairway</w:t>
      </w:r>
    </w:p>
    <w:p>
      <w:pPr>
        <w:pStyle w:val="5"/>
        <w:spacing w:before="7"/>
        <w:rPr>
          <w:rFonts w:ascii="仿宋"/>
          <w:sz w:val="15"/>
        </w:rPr>
      </w:pPr>
    </w:p>
    <w:p>
      <w:pPr>
        <w:pStyle w:val="5"/>
        <w:ind w:left="212"/>
      </w:pPr>
      <w:r>
        <w:t>在楼梯形式、宽度、踏步、地面材质、扶手形式等方面方便行动及视觉障碍者使用的楼梯</w:t>
      </w:r>
    </w:p>
    <w:p>
      <w:pPr>
        <w:pStyle w:val="5"/>
        <w:spacing w:before="7"/>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pacing w:val="-11"/>
          <w:sz w:val="21"/>
        </w:rPr>
        <w:t xml:space="preserve">安全抓杆 </w:t>
      </w:r>
      <w:r>
        <w:rPr>
          <w:rFonts w:hint="eastAsia" w:ascii="仿宋" w:eastAsia="仿宋"/>
          <w:sz w:val="21"/>
        </w:rPr>
        <w:t>grab</w:t>
      </w:r>
      <w:r>
        <w:rPr>
          <w:rFonts w:hint="eastAsia" w:ascii="仿宋" w:eastAsia="仿宋"/>
          <w:spacing w:val="-1"/>
          <w:sz w:val="21"/>
        </w:rPr>
        <w:t xml:space="preserve"> </w:t>
      </w:r>
      <w:r>
        <w:rPr>
          <w:rFonts w:hint="eastAsia" w:ascii="仿宋" w:eastAsia="仿宋"/>
          <w:sz w:val="21"/>
        </w:rPr>
        <w:t>bar</w:t>
      </w:r>
    </w:p>
    <w:p>
      <w:pPr>
        <w:pStyle w:val="5"/>
        <w:spacing w:before="6"/>
        <w:rPr>
          <w:rFonts w:ascii="仿宋"/>
          <w:sz w:val="15"/>
        </w:rPr>
      </w:pPr>
    </w:p>
    <w:p>
      <w:pPr>
        <w:pStyle w:val="5"/>
        <w:spacing w:before="1"/>
        <w:ind w:left="212"/>
      </w:pPr>
      <w:r>
        <w:t>在无障碍厕位、卫生间、浴间内，方便行动障碍者安全移动和支撑的设施。</w:t>
      </w:r>
    </w:p>
    <w:p>
      <w:pPr>
        <w:pStyle w:val="5"/>
        <w:spacing w:before="6"/>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z w:val="21"/>
        </w:rPr>
        <w:t xml:space="preserve">安全警示线 </w:t>
      </w:r>
      <w:r>
        <w:rPr>
          <w:rFonts w:hint="eastAsia" w:ascii="仿宋" w:eastAsia="仿宋"/>
          <w:sz w:val="21"/>
        </w:rPr>
        <w:t>safety</w:t>
      </w:r>
      <w:r>
        <w:rPr>
          <w:rFonts w:hint="eastAsia" w:ascii="仿宋" w:eastAsia="仿宋"/>
          <w:spacing w:val="-1"/>
          <w:sz w:val="21"/>
        </w:rPr>
        <w:t xml:space="preserve"> </w:t>
      </w:r>
      <w:r>
        <w:rPr>
          <w:rFonts w:hint="eastAsia" w:ascii="仿宋" w:eastAsia="仿宋"/>
          <w:sz w:val="21"/>
        </w:rPr>
        <w:t>warning</w:t>
      </w:r>
      <w:r>
        <w:rPr>
          <w:rFonts w:hint="eastAsia" w:ascii="仿宋" w:eastAsia="仿宋"/>
          <w:spacing w:val="-1"/>
          <w:sz w:val="21"/>
        </w:rPr>
        <w:t xml:space="preserve"> </w:t>
      </w:r>
      <w:r>
        <w:rPr>
          <w:rFonts w:hint="eastAsia" w:ascii="仿宋" w:eastAsia="仿宋"/>
          <w:sz w:val="21"/>
        </w:rPr>
        <w:t>line</w:t>
      </w:r>
    </w:p>
    <w:p>
      <w:pPr>
        <w:pStyle w:val="5"/>
        <w:spacing w:before="7"/>
        <w:rPr>
          <w:rFonts w:ascii="仿宋"/>
          <w:sz w:val="15"/>
        </w:rPr>
      </w:pPr>
    </w:p>
    <w:p>
      <w:pPr>
        <w:pStyle w:val="5"/>
        <w:ind w:left="212"/>
      </w:pPr>
      <w:r>
        <w:t>用于界定和划分危险区域，向人们传递某种注意或警告的信息，以避免人身伤害的提示线。</w:t>
      </w:r>
    </w:p>
    <w:p>
      <w:pPr>
        <w:pStyle w:val="5"/>
        <w:spacing w:before="7"/>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z w:val="21"/>
        </w:rPr>
        <w:t xml:space="preserve">无障碍卫生间 </w:t>
      </w:r>
      <w:r>
        <w:rPr>
          <w:rFonts w:hint="eastAsia" w:ascii="仿宋" w:eastAsia="仿宋"/>
          <w:sz w:val="21"/>
        </w:rPr>
        <w:t>accessible</w:t>
      </w:r>
      <w:r>
        <w:rPr>
          <w:rFonts w:hint="eastAsia" w:ascii="仿宋" w:eastAsia="仿宋"/>
          <w:spacing w:val="-1"/>
          <w:sz w:val="21"/>
        </w:rPr>
        <w:t xml:space="preserve"> </w:t>
      </w:r>
      <w:r>
        <w:rPr>
          <w:rFonts w:hint="eastAsia" w:ascii="仿宋" w:eastAsia="仿宋"/>
          <w:sz w:val="21"/>
        </w:rPr>
        <w:t>bathroom</w:t>
      </w:r>
    </w:p>
    <w:p>
      <w:pPr>
        <w:pStyle w:val="5"/>
        <w:spacing w:before="6"/>
        <w:rPr>
          <w:rFonts w:ascii="仿宋"/>
          <w:sz w:val="15"/>
        </w:rPr>
      </w:pPr>
    </w:p>
    <w:p>
      <w:pPr>
        <w:pStyle w:val="5"/>
        <w:spacing w:before="1"/>
        <w:ind w:left="212"/>
      </w:pPr>
      <w:r>
        <w:t>出入口、室内空间及地面材质等方面方便行动障碍者使用且无障碍设施齐全的小型无性别厕所。</w:t>
      </w:r>
    </w:p>
    <w:p>
      <w:pPr>
        <w:pStyle w:val="5"/>
        <w:spacing w:before="6"/>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z w:val="21"/>
        </w:rPr>
        <w:t xml:space="preserve">第三卫生间 </w:t>
      </w:r>
      <w:r>
        <w:rPr>
          <w:rFonts w:hint="eastAsia" w:ascii="仿宋" w:eastAsia="仿宋"/>
          <w:sz w:val="21"/>
        </w:rPr>
        <w:t>gender</w:t>
      </w:r>
      <w:r>
        <w:rPr>
          <w:sz w:val="21"/>
        </w:rPr>
        <w:t>-</w:t>
      </w:r>
      <w:r>
        <w:rPr>
          <w:rFonts w:hint="eastAsia" w:ascii="仿宋" w:eastAsia="仿宋"/>
          <w:sz w:val="21"/>
        </w:rPr>
        <w:t>neutral</w:t>
      </w:r>
      <w:r>
        <w:rPr>
          <w:rFonts w:hint="eastAsia" w:ascii="仿宋" w:eastAsia="仿宋"/>
          <w:spacing w:val="-1"/>
          <w:sz w:val="21"/>
        </w:rPr>
        <w:t xml:space="preserve"> </w:t>
      </w:r>
      <w:r>
        <w:rPr>
          <w:rFonts w:hint="eastAsia" w:ascii="仿宋" w:eastAsia="仿宋"/>
          <w:sz w:val="21"/>
        </w:rPr>
        <w:t>bathroom</w:t>
      </w:r>
    </w:p>
    <w:p>
      <w:pPr>
        <w:pStyle w:val="5"/>
        <w:spacing w:before="7"/>
        <w:rPr>
          <w:rFonts w:ascii="仿宋"/>
          <w:sz w:val="15"/>
        </w:rPr>
      </w:pPr>
    </w:p>
    <w:p>
      <w:pPr>
        <w:pStyle w:val="5"/>
        <w:ind w:left="212"/>
      </w:pPr>
      <w:r>
        <w:t>能够方便行动障碍者及其协助者共同使用的不刻意区分性别的卫生间。</w:t>
      </w:r>
    </w:p>
    <w:p>
      <w:pPr>
        <w:pStyle w:val="5"/>
        <w:spacing w:before="7"/>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z w:val="21"/>
        </w:rPr>
        <w:t xml:space="preserve">母婴室 </w:t>
      </w:r>
      <w:r>
        <w:rPr>
          <w:rFonts w:hint="eastAsia" w:ascii="仿宋" w:eastAsia="仿宋"/>
          <w:sz w:val="21"/>
        </w:rPr>
        <w:t>Baby-Care</w:t>
      </w:r>
      <w:r>
        <w:rPr>
          <w:rFonts w:hint="eastAsia" w:ascii="仿宋" w:eastAsia="仿宋"/>
          <w:spacing w:val="-1"/>
          <w:sz w:val="21"/>
        </w:rPr>
        <w:t xml:space="preserve"> </w:t>
      </w:r>
      <w:r>
        <w:rPr>
          <w:rFonts w:hint="eastAsia" w:ascii="仿宋" w:eastAsia="仿宋"/>
          <w:sz w:val="21"/>
        </w:rPr>
        <w:t>Room</w:t>
      </w:r>
    </w:p>
    <w:p>
      <w:pPr>
        <w:pStyle w:val="5"/>
        <w:spacing w:before="6"/>
        <w:rPr>
          <w:rFonts w:ascii="仿宋"/>
          <w:sz w:val="15"/>
        </w:rPr>
      </w:pPr>
    </w:p>
    <w:p>
      <w:pPr>
        <w:pStyle w:val="5"/>
        <w:spacing w:before="1"/>
        <w:ind w:left="212"/>
      </w:pPr>
      <w:r>
        <w:t>专为孕期和哺乳期女性、婴幼儿及其护理者设置的，用于哺乳、集乳、护理及临时休憩的场所。</w:t>
      </w:r>
    </w:p>
    <w:p>
      <w:pPr>
        <w:pStyle w:val="5"/>
        <w:spacing w:before="6"/>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pacing w:val="-9"/>
          <w:sz w:val="21"/>
        </w:rPr>
        <w:t xml:space="preserve">无障碍厕位 </w:t>
      </w:r>
      <w:r>
        <w:rPr>
          <w:rFonts w:hint="eastAsia" w:ascii="仿宋" w:eastAsia="仿宋"/>
          <w:sz w:val="21"/>
        </w:rPr>
        <w:t>accessible</w:t>
      </w:r>
      <w:r>
        <w:rPr>
          <w:rFonts w:hint="eastAsia" w:ascii="仿宋" w:eastAsia="仿宋"/>
          <w:spacing w:val="-1"/>
          <w:sz w:val="21"/>
        </w:rPr>
        <w:t xml:space="preserve"> </w:t>
      </w:r>
      <w:r>
        <w:rPr>
          <w:rFonts w:hint="eastAsia" w:ascii="仿宋" w:eastAsia="仿宋"/>
          <w:sz w:val="21"/>
        </w:rPr>
        <w:t>toilet</w:t>
      </w:r>
      <w:r>
        <w:rPr>
          <w:rFonts w:hint="eastAsia" w:ascii="仿宋" w:eastAsia="仿宋"/>
          <w:spacing w:val="-1"/>
          <w:sz w:val="21"/>
        </w:rPr>
        <w:t xml:space="preserve"> </w:t>
      </w:r>
      <w:r>
        <w:rPr>
          <w:rFonts w:hint="eastAsia" w:ascii="仿宋" w:eastAsia="仿宋"/>
          <w:sz w:val="21"/>
        </w:rPr>
        <w:t>cubicle</w:t>
      </w:r>
    </w:p>
    <w:p>
      <w:pPr>
        <w:pStyle w:val="5"/>
        <w:spacing w:before="7"/>
        <w:rPr>
          <w:rFonts w:ascii="仿宋"/>
          <w:sz w:val="15"/>
        </w:rPr>
      </w:pPr>
    </w:p>
    <w:p>
      <w:pPr>
        <w:pStyle w:val="5"/>
        <w:ind w:left="212"/>
      </w:pPr>
      <w:r>
        <w:t>公共卫生间内设置的带坐便器及安全抓杆的方便行动障碍者进出和使用的带隔间的厕位。</w:t>
      </w:r>
    </w:p>
    <w:p>
      <w:pPr>
        <w:pStyle w:val="5"/>
        <w:spacing w:before="7"/>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pacing w:val="-8"/>
          <w:sz w:val="21"/>
        </w:rPr>
        <w:t xml:space="preserve">无障碍坐便器 </w:t>
      </w:r>
      <w:r>
        <w:rPr>
          <w:rFonts w:hint="eastAsia" w:ascii="仿宋" w:eastAsia="仿宋"/>
          <w:sz w:val="21"/>
        </w:rPr>
        <w:t>accessible</w:t>
      </w:r>
      <w:r>
        <w:rPr>
          <w:rFonts w:hint="eastAsia" w:ascii="仿宋" w:eastAsia="仿宋"/>
          <w:spacing w:val="-1"/>
          <w:sz w:val="21"/>
        </w:rPr>
        <w:t xml:space="preserve"> </w:t>
      </w:r>
      <w:r>
        <w:rPr>
          <w:rFonts w:hint="eastAsia" w:ascii="仿宋" w:eastAsia="仿宋"/>
          <w:sz w:val="21"/>
        </w:rPr>
        <w:t>toilet</w:t>
      </w:r>
    </w:p>
    <w:p>
      <w:pPr>
        <w:pStyle w:val="5"/>
        <w:spacing w:before="6"/>
        <w:rPr>
          <w:rFonts w:ascii="仿宋"/>
          <w:sz w:val="15"/>
        </w:rPr>
      </w:pPr>
    </w:p>
    <w:p>
      <w:pPr>
        <w:pStyle w:val="5"/>
        <w:spacing w:before="1"/>
        <w:ind w:left="212"/>
      </w:pPr>
      <w:r>
        <w:t>方便行动障碍者使用的带安全抓杆的坐便器。</w:t>
      </w:r>
    </w:p>
    <w:p>
      <w:pPr>
        <w:pStyle w:val="5"/>
        <w:spacing w:before="6"/>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pacing w:val="-8"/>
          <w:sz w:val="21"/>
        </w:rPr>
        <w:t xml:space="preserve">无障碍小便器 </w:t>
      </w:r>
      <w:r>
        <w:rPr>
          <w:rFonts w:hint="eastAsia" w:ascii="仿宋" w:eastAsia="仿宋"/>
          <w:sz w:val="21"/>
        </w:rPr>
        <w:t>accessible</w:t>
      </w:r>
      <w:r>
        <w:rPr>
          <w:rFonts w:hint="eastAsia" w:ascii="仿宋" w:eastAsia="仿宋"/>
          <w:spacing w:val="-1"/>
          <w:sz w:val="21"/>
        </w:rPr>
        <w:t xml:space="preserve"> </w:t>
      </w:r>
      <w:r>
        <w:rPr>
          <w:rFonts w:hint="eastAsia" w:ascii="仿宋" w:eastAsia="仿宋"/>
          <w:sz w:val="21"/>
        </w:rPr>
        <w:t>urinal</w:t>
      </w:r>
    </w:p>
    <w:p>
      <w:pPr>
        <w:pStyle w:val="5"/>
        <w:spacing w:before="7"/>
        <w:rPr>
          <w:rFonts w:ascii="仿宋"/>
          <w:sz w:val="15"/>
        </w:rPr>
      </w:pPr>
    </w:p>
    <w:p>
      <w:pPr>
        <w:pStyle w:val="5"/>
        <w:ind w:left="212"/>
      </w:pPr>
      <w:r>
        <w:t>方便行动障碍者使用的带安全抓杆的小便器。</w:t>
      </w:r>
    </w:p>
    <w:p>
      <w:pPr>
        <w:pStyle w:val="5"/>
        <w:spacing w:before="7"/>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z w:val="21"/>
        </w:rPr>
        <w:t>无障碍洗手</w:t>
      </w:r>
      <w:r>
        <w:rPr>
          <w:rFonts w:ascii="Calibri" w:eastAsia="Calibri"/>
          <w:sz w:val="21"/>
        </w:rPr>
        <w:t>/</w:t>
      </w:r>
      <w:r>
        <w:rPr>
          <w:spacing w:val="-18"/>
          <w:sz w:val="21"/>
        </w:rPr>
        <w:t xml:space="preserve">面盆 </w:t>
      </w:r>
      <w:r>
        <w:rPr>
          <w:rFonts w:hint="eastAsia" w:ascii="仿宋" w:eastAsia="仿宋"/>
          <w:sz w:val="21"/>
        </w:rPr>
        <w:t>accessible</w:t>
      </w:r>
      <w:r>
        <w:rPr>
          <w:rFonts w:hint="eastAsia" w:ascii="仿宋" w:eastAsia="仿宋"/>
          <w:spacing w:val="1"/>
          <w:sz w:val="21"/>
        </w:rPr>
        <w:t xml:space="preserve"> </w:t>
      </w:r>
      <w:r>
        <w:rPr>
          <w:rFonts w:hint="eastAsia" w:ascii="仿宋" w:eastAsia="仿宋"/>
          <w:sz w:val="21"/>
        </w:rPr>
        <w:t>wash</w:t>
      </w:r>
      <w:r>
        <w:rPr>
          <w:rFonts w:hint="eastAsia" w:ascii="仿宋" w:eastAsia="仿宋"/>
          <w:spacing w:val="-1"/>
          <w:sz w:val="21"/>
        </w:rPr>
        <w:t xml:space="preserve"> </w:t>
      </w:r>
      <w:r>
        <w:rPr>
          <w:rFonts w:hint="eastAsia" w:ascii="仿宋" w:eastAsia="仿宋"/>
          <w:sz w:val="21"/>
        </w:rPr>
        <w:t>basin</w:t>
      </w:r>
    </w:p>
    <w:p>
      <w:pPr>
        <w:pStyle w:val="5"/>
        <w:spacing w:before="6"/>
        <w:rPr>
          <w:rFonts w:ascii="仿宋"/>
          <w:sz w:val="15"/>
        </w:rPr>
      </w:pPr>
    </w:p>
    <w:p>
      <w:pPr>
        <w:pStyle w:val="5"/>
        <w:spacing w:before="1"/>
        <w:ind w:left="212"/>
      </w:pPr>
      <w:r>
        <w:t>方便行动障碍者使用的带安全抓杆的洗手</w:t>
      </w:r>
      <w:r>
        <w:rPr>
          <w:rFonts w:ascii="Calibri" w:eastAsia="Calibri"/>
        </w:rPr>
        <w:t>/</w:t>
      </w:r>
      <w:r>
        <w:t>面盆。</w:t>
      </w:r>
    </w:p>
    <w:p>
      <w:pPr>
        <w:pStyle w:val="5"/>
        <w:spacing w:before="6"/>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pacing w:val="-8"/>
          <w:sz w:val="21"/>
        </w:rPr>
        <w:t xml:space="preserve">无障碍盆浴间 </w:t>
      </w:r>
      <w:r>
        <w:rPr>
          <w:rFonts w:hint="eastAsia" w:ascii="仿宋" w:eastAsia="仿宋"/>
          <w:sz w:val="21"/>
        </w:rPr>
        <w:t>accessible</w:t>
      </w:r>
      <w:r>
        <w:rPr>
          <w:rFonts w:hint="eastAsia" w:ascii="仿宋" w:eastAsia="仿宋"/>
          <w:spacing w:val="-1"/>
          <w:sz w:val="21"/>
        </w:rPr>
        <w:t xml:space="preserve"> </w:t>
      </w:r>
      <w:r>
        <w:rPr>
          <w:rFonts w:hint="eastAsia" w:ascii="仿宋" w:eastAsia="仿宋"/>
          <w:sz w:val="21"/>
        </w:rPr>
        <w:t>bathtub</w:t>
      </w:r>
    </w:p>
    <w:p>
      <w:pPr>
        <w:pStyle w:val="5"/>
        <w:spacing w:before="7"/>
        <w:rPr>
          <w:rFonts w:ascii="仿宋"/>
          <w:sz w:val="15"/>
        </w:rPr>
      </w:pPr>
    </w:p>
    <w:p>
      <w:pPr>
        <w:pStyle w:val="5"/>
        <w:ind w:left="212"/>
      </w:pPr>
      <w:r>
        <w:t>无障碍设施齐全的盆浴间。</w:t>
      </w:r>
    </w:p>
    <w:p>
      <w:pPr>
        <w:pStyle w:val="5"/>
        <w:spacing w:before="7"/>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pacing w:val="-8"/>
          <w:sz w:val="21"/>
        </w:rPr>
        <w:t xml:space="preserve">无障碍淋浴间 </w:t>
      </w:r>
      <w:r>
        <w:rPr>
          <w:rFonts w:hint="eastAsia" w:ascii="仿宋" w:eastAsia="仿宋"/>
          <w:sz w:val="21"/>
        </w:rPr>
        <w:t>accessible</w:t>
      </w:r>
      <w:r>
        <w:rPr>
          <w:rFonts w:hint="eastAsia" w:ascii="仿宋" w:eastAsia="仿宋"/>
          <w:spacing w:val="-1"/>
          <w:sz w:val="21"/>
        </w:rPr>
        <w:t xml:space="preserve"> </w:t>
      </w:r>
      <w:r>
        <w:rPr>
          <w:rFonts w:hint="eastAsia" w:ascii="仿宋" w:eastAsia="仿宋"/>
          <w:sz w:val="21"/>
        </w:rPr>
        <w:t>shower</w:t>
      </w:r>
      <w:r>
        <w:rPr>
          <w:rFonts w:hint="eastAsia" w:ascii="仿宋" w:eastAsia="仿宋"/>
          <w:spacing w:val="1"/>
          <w:sz w:val="21"/>
        </w:rPr>
        <w:t xml:space="preserve"> </w:t>
      </w:r>
      <w:r>
        <w:rPr>
          <w:rFonts w:hint="eastAsia" w:ascii="仿宋" w:eastAsia="仿宋"/>
          <w:sz w:val="21"/>
        </w:rPr>
        <w:t>stall</w:t>
      </w:r>
    </w:p>
    <w:p>
      <w:pPr>
        <w:pStyle w:val="5"/>
        <w:spacing w:before="6"/>
        <w:rPr>
          <w:rFonts w:ascii="仿宋"/>
          <w:sz w:val="15"/>
        </w:rPr>
      </w:pPr>
    </w:p>
    <w:p>
      <w:pPr>
        <w:pStyle w:val="5"/>
        <w:spacing w:before="1"/>
        <w:ind w:left="212"/>
      </w:pPr>
      <w:r>
        <w:t>无障碍设施齐全的淋浴间。</w:t>
      </w:r>
    </w:p>
    <w:p>
      <w:pPr>
        <w:pStyle w:val="5"/>
        <w:spacing w:before="6"/>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pacing w:val="-11"/>
          <w:sz w:val="21"/>
        </w:rPr>
        <w:t xml:space="preserve">浴间坐台 </w:t>
      </w:r>
      <w:r>
        <w:rPr>
          <w:rFonts w:hint="eastAsia" w:ascii="仿宋" w:eastAsia="仿宋"/>
          <w:sz w:val="21"/>
        </w:rPr>
        <w:t>shower</w:t>
      </w:r>
      <w:r>
        <w:rPr>
          <w:rFonts w:hint="eastAsia" w:ascii="仿宋" w:eastAsia="仿宋"/>
          <w:spacing w:val="-1"/>
          <w:sz w:val="21"/>
        </w:rPr>
        <w:t xml:space="preserve"> </w:t>
      </w:r>
      <w:r>
        <w:rPr>
          <w:rFonts w:hint="eastAsia" w:ascii="仿宋" w:eastAsia="仿宋"/>
          <w:sz w:val="21"/>
        </w:rPr>
        <w:t>seat</w:t>
      </w:r>
    </w:p>
    <w:p>
      <w:pPr>
        <w:pStyle w:val="5"/>
        <w:spacing w:before="7"/>
        <w:rPr>
          <w:rFonts w:ascii="仿宋"/>
          <w:sz w:val="15"/>
        </w:rPr>
      </w:pPr>
    </w:p>
    <w:p>
      <w:pPr>
        <w:pStyle w:val="5"/>
        <w:ind w:left="212"/>
      </w:pPr>
      <w:r>
        <w:t>洗浴时使用的固定坐台或活动座凳、椅子。</w:t>
      </w:r>
    </w:p>
    <w:p>
      <w:pPr>
        <w:pStyle w:val="5"/>
        <w:spacing w:before="7"/>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pacing w:val="-9"/>
          <w:sz w:val="21"/>
        </w:rPr>
        <w:t xml:space="preserve">无障碍厨房 </w:t>
      </w:r>
      <w:r>
        <w:rPr>
          <w:rFonts w:hint="eastAsia" w:ascii="仿宋" w:eastAsia="仿宋"/>
          <w:sz w:val="21"/>
        </w:rPr>
        <w:t>accessible</w:t>
      </w:r>
      <w:r>
        <w:rPr>
          <w:rFonts w:hint="eastAsia" w:ascii="仿宋" w:eastAsia="仿宋"/>
          <w:spacing w:val="-1"/>
          <w:sz w:val="21"/>
        </w:rPr>
        <w:t xml:space="preserve"> </w:t>
      </w:r>
      <w:r>
        <w:rPr>
          <w:rFonts w:hint="eastAsia" w:ascii="仿宋" w:eastAsia="仿宋"/>
          <w:sz w:val="21"/>
        </w:rPr>
        <w:t>kitchen</w:t>
      </w:r>
    </w:p>
    <w:p>
      <w:pPr>
        <w:spacing w:after="0" w:line="240" w:lineRule="auto"/>
        <w:jc w:val="left"/>
        <w:rPr>
          <w:rFonts w:hint="eastAsia" w:ascii="仿宋" w:eastAsia="仿宋"/>
          <w:sz w:val="21"/>
        </w:rPr>
        <w:sectPr>
          <w:pgSz w:w="11910" w:h="16840"/>
          <w:pgMar w:top="1580" w:right="820" w:bottom="1280" w:left="920" w:header="0" w:footer="1095" w:gutter="0"/>
          <w:cols w:space="720" w:num="1"/>
        </w:sectPr>
      </w:pPr>
    </w:p>
    <w:p>
      <w:pPr>
        <w:pStyle w:val="5"/>
        <w:spacing w:before="60"/>
        <w:ind w:left="212"/>
      </w:pPr>
      <w:r>
        <w:t>方便行动障碍者使用的厨房。</w:t>
      </w:r>
    </w:p>
    <w:p>
      <w:pPr>
        <w:pStyle w:val="5"/>
        <w:spacing w:before="6"/>
        <w:rPr>
          <w:sz w:val="15"/>
        </w:rPr>
      </w:pPr>
    </w:p>
    <w:p>
      <w:pPr>
        <w:pStyle w:val="12"/>
        <w:numPr>
          <w:ilvl w:val="2"/>
          <w:numId w:val="4"/>
        </w:numPr>
        <w:tabs>
          <w:tab w:val="left" w:pos="1052"/>
          <w:tab w:val="left" w:pos="1053"/>
        </w:tabs>
        <w:spacing w:before="1" w:after="0" w:line="240" w:lineRule="auto"/>
        <w:ind w:left="1052" w:right="0" w:hanging="841"/>
        <w:jc w:val="left"/>
        <w:rPr>
          <w:rFonts w:hint="eastAsia" w:ascii="仿宋" w:eastAsia="仿宋"/>
          <w:sz w:val="21"/>
        </w:rPr>
      </w:pPr>
      <w:r>
        <w:rPr>
          <w:spacing w:val="-9"/>
          <w:sz w:val="21"/>
        </w:rPr>
        <w:t xml:space="preserve">无障碍客房 </w:t>
      </w:r>
      <w:r>
        <w:rPr>
          <w:rFonts w:hint="eastAsia" w:ascii="仿宋" w:eastAsia="仿宋"/>
          <w:sz w:val="21"/>
        </w:rPr>
        <w:t>accessible</w:t>
      </w:r>
      <w:r>
        <w:rPr>
          <w:rFonts w:hint="eastAsia" w:ascii="仿宋" w:eastAsia="仿宋"/>
          <w:spacing w:val="-1"/>
          <w:sz w:val="21"/>
        </w:rPr>
        <w:t xml:space="preserve"> </w:t>
      </w:r>
      <w:r>
        <w:rPr>
          <w:rFonts w:hint="eastAsia" w:ascii="仿宋" w:eastAsia="仿宋"/>
          <w:sz w:val="21"/>
        </w:rPr>
        <w:t>guest</w:t>
      </w:r>
      <w:r>
        <w:rPr>
          <w:rFonts w:hint="eastAsia" w:ascii="仿宋" w:eastAsia="仿宋"/>
          <w:spacing w:val="-1"/>
          <w:sz w:val="21"/>
        </w:rPr>
        <w:t xml:space="preserve"> </w:t>
      </w:r>
      <w:r>
        <w:rPr>
          <w:rFonts w:hint="eastAsia" w:ascii="仿宋" w:eastAsia="仿宋"/>
          <w:sz w:val="21"/>
        </w:rPr>
        <w:t>room</w:t>
      </w:r>
    </w:p>
    <w:p>
      <w:pPr>
        <w:pStyle w:val="5"/>
        <w:spacing w:before="6"/>
        <w:rPr>
          <w:rFonts w:ascii="仿宋"/>
          <w:sz w:val="15"/>
        </w:rPr>
      </w:pPr>
    </w:p>
    <w:p>
      <w:pPr>
        <w:pStyle w:val="5"/>
        <w:spacing w:line="417" w:lineRule="auto"/>
        <w:ind w:left="212" w:right="268"/>
      </w:pPr>
      <w:r>
        <w:rPr>
          <w:w w:val="95"/>
        </w:rPr>
        <w:t xml:space="preserve">出入口、通道、通讯、家具和卫生间等均设有无障碍设施，房间的空间尺度方便行动障碍者安全活动的客   </w:t>
      </w:r>
      <w:r>
        <w:t>房。</w:t>
      </w:r>
    </w:p>
    <w:p>
      <w:pPr>
        <w:pStyle w:val="12"/>
        <w:numPr>
          <w:ilvl w:val="2"/>
          <w:numId w:val="4"/>
        </w:numPr>
        <w:tabs>
          <w:tab w:val="left" w:pos="1052"/>
          <w:tab w:val="left" w:pos="1053"/>
        </w:tabs>
        <w:spacing w:before="0" w:after="0" w:line="269" w:lineRule="exact"/>
        <w:ind w:left="1052" w:right="0" w:hanging="841"/>
        <w:jc w:val="left"/>
        <w:rPr>
          <w:rFonts w:hint="eastAsia" w:ascii="仿宋" w:eastAsia="仿宋"/>
          <w:sz w:val="21"/>
        </w:rPr>
      </w:pPr>
      <w:r>
        <w:rPr>
          <w:sz w:val="21"/>
        </w:rPr>
        <w:t>无障碍住房</w:t>
      </w:r>
      <w:r>
        <w:rPr>
          <w:rFonts w:ascii="Calibri" w:eastAsia="Calibri"/>
          <w:sz w:val="21"/>
        </w:rPr>
        <w:t>/</w:t>
      </w:r>
      <w:r>
        <w:rPr>
          <w:spacing w:val="-18"/>
          <w:sz w:val="21"/>
        </w:rPr>
        <w:t xml:space="preserve">宿舍 </w:t>
      </w:r>
      <w:r>
        <w:rPr>
          <w:rFonts w:hint="eastAsia" w:ascii="仿宋" w:eastAsia="仿宋"/>
          <w:sz w:val="21"/>
        </w:rPr>
        <w:t>accessible</w:t>
      </w:r>
      <w:r>
        <w:rPr>
          <w:rFonts w:hint="eastAsia" w:ascii="仿宋" w:eastAsia="仿宋"/>
          <w:spacing w:val="1"/>
          <w:sz w:val="21"/>
        </w:rPr>
        <w:t xml:space="preserve"> </w:t>
      </w:r>
      <w:r>
        <w:rPr>
          <w:rFonts w:hint="eastAsia" w:ascii="仿宋" w:eastAsia="仿宋"/>
          <w:sz w:val="21"/>
        </w:rPr>
        <w:t>housing</w:t>
      </w:r>
    </w:p>
    <w:p>
      <w:pPr>
        <w:pStyle w:val="5"/>
        <w:spacing w:before="7"/>
        <w:rPr>
          <w:rFonts w:ascii="仿宋"/>
          <w:sz w:val="15"/>
        </w:rPr>
      </w:pPr>
    </w:p>
    <w:p>
      <w:pPr>
        <w:pStyle w:val="5"/>
        <w:spacing w:line="417" w:lineRule="auto"/>
        <w:ind w:left="212" w:right="268"/>
      </w:pPr>
      <w:r>
        <w:rPr>
          <w:w w:val="95"/>
        </w:rPr>
        <w:t xml:space="preserve">出入口、通道、通讯、家具、厨房和卫生间等均设有无障碍设施，房间的空间尺度方便行动障碍者安全活   </w:t>
      </w:r>
      <w:r>
        <w:t>动的住房。</w:t>
      </w:r>
    </w:p>
    <w:p>
      <w:pPr>
        <w:pStyle w:val="12"/>
        <w:numPr>
          <w:ilvl w:val="2"/>
          <w:numId w:val="4"/>
        </w:numPr>
        <w:tabs>
          <w:tab w:val="left" w:pos="1052"/>
          <w:tab w:val="left" w:pos="1053"/>
        </w:tabs>
        <w:spacing w:before="0" w:after="0" w:line="269" w:lineRule="exact"/>
        <w:ind w:left="1052" w:right="0" w:hanging="841"/>
        <w:jc w:val="left"/>
        <w:rPr>
          <w:rFonts w:hint="eastAsia" w:ascii="仿宋" w:eastAsia="仿宋"/>
          <w:sz w:val="21"/>
        </w:rPr>
      </w:pPr>
      <w:r>
        <w:rPr>
          <w:spacing w:val="-11"/>
          <w:sz w:val="21"/>
        </w:rPr>
        <w:t xml:space="preserve">轮椅席位 </w:t>
      </w:r>
      <w:r>
        <w:rPr>
          <w:rFonts w:hint="eastAsia" w:ascii="仿宋" w:eastAsia="仿宋"/>
          <w:sz w:val="21"/>
        </w:rPr>
        <w:t>wheelchair</w:t>
      </w:r>
      <w:r>
        <w:rPr>
          <w:rFonts w:hint="eastAsia" w:ascii="仿宋" w:eastAsia="仿宋"/>
          <w:spacing w:val="-1"/>
          <w:sz w:val="21"/>
        </w:rPr>
        <w:t xml:space="preserve"> </w:t>
      </w:r>
      <w:r>
        <w:rPr>
          <w:rFonts w:hint="eastAsia" w:ascii="仿宋" w:eastAsia="仿宋"/>
          <w:sz w:val="21"/>
        </w:rPr>
        <w:t>accessible</w:t>
      </w:r>
      <w:r>
        <w:rPr>
          <w:rFonts w:hint="eastAsia" w:ascii="仿宋" w:eastAsia="仿宋"/>
          <w:spacing w:val="1"/>
          <w:sz w:val="21"/>
        </w:rPr>
        <w:t xml:space="preserve"> </w:t>
      </w:r>
      <w:r>
        <w:rPr>
          <w:rFonts w:hint="eastAsia" w:ascii="仿宋" w:eastAsia="仿宋"/>
          <w:sz w:val="21"/>
        </w:rPr>
        <w:t>seat</w:t>
      </w:r>
    </w:p>
    <w:p>
      <w:pPr>
        <w:pStyle w:val="5"/>
        <w:spacing w:before="7"/>
        <w:rPr>
          <w:rFonts w:ascii="仿宋"/>
          <w:sz w:val="15"/>
        </w:rPr>
      </w:pPr>
    </w:p>
    <w:p>
      <w:pPr>
        <w:pStyle w:val="5"/>
        <w:ind w:left="212"/>
      </w:pPr>
      <w:r>
        <w:t>在观众厅、报告厅、阅览室及教室等设有固定席位的场所内，供乘轮椅者使用的位置。</w:t>
      </w:r>
    </w:p>
    <w:p>
      <w:pPr>
        <w:pStyle w:val="5"/>
        <w:spacing w:before="6"/>
        <w:rPr>
          <w:sz w:val="15"/>
        </w:rPr>
      </w:pPr>
    </w:p>
    <w:p>
      <w:pPr>
        <w:pStyle w:val="12"/>
        <w:numPr>
          <w:ilvl w:val="2"/>
          <w:numId w:val="4"/>
        </w:numPr>
        <w:tabs>
          <w:tab w:val="left" w:pos="1052"/>
          <w:tab w:val="left" w:pos="1053"/>
        </w:tabs>
        <w:spacing w:before="1" w:after="0" w:line="240" w:lineRule="auto"/>
        <w:ind w:left="1052" w:right="0" w:hanging="841"/>
        <w:jc w:val="left"/>
        <w:rPr>
          <w:rFonts w:hint="eastAsia" w:ascii="仿宋" w:eastAsia="仿宋"/>
          <w:sz w:val="21"/>
        </w:rPr>
      </w:pPr>
      <w:r>
        <w:rPr>
          <w:sz w:val="21"/>
        </w:rPr>
        <w:t xml:space="preserve">陪护席位 </w:t>
      </w:r>
      <w:r>
        <w:rPr>
          <w:rFonts w:hint="eastAsia" w:ascii="仿宋" w:eastAsia="仿宋"/>
          <w:sz w:val="21"/>
        </w:rPr>
        <w:t>seats</w:t>
      </w:r>
      <w:r>
        <w:rPr>
          <w:rFonts w:hint="eastAsia" w:ascii="仿宋" w:eastAsia="仿宋"/>
          <w:spacing w:val="1"/>
          <w:sz w:val="21"/>
        </w:rPr>
        <w:t xml:space="preserve"> </w:t>
      </w:r>
      <w:r>
        <w:rPr>
          <w:rFonts w:hint="eastAsia" w:ascii="仿宋" w:eastAsia="仿宋"/>
          <w:sz w:val="21"/>
        </w:rPr>
        <w:t>for</w:t>
      </w:r>
      <w:r>
        <w:rPr>
          <w:rFonts w:hint="eastAsia" w:ascii="仿宋" w:eastAsia="仿宋"/>
          <w:spacing w:val="-1"/>
          <w:sz w:val="21"/>
        </w:rPr>
        <w:t xml:space="preserve"> </w:t>
      </w:r>
      <w:r>
        <w:rPr>
          <w:rFonts w:hint="eastAsia" w:ascii="仿宋" w:eastAsia="仿宋"/>
          <w:sz w:val="21"/>
        </w:rPr>
        <w:t>accompanying</w:t>
      </w:r>
      <w:r>
        <w:rPr>
          <w:rFonts w:hint="eastAsia" w:ascii="仿宋" w:eastAsia="仿宋"/>
          <w:spacing w:val="-1"/>
          <w:sz w:val="21"/>
        </w:rPr>
        <w:t xml:space="preserve"> </w:t>
      </w:r>
      <w:r>
        <w:rPr>
          <w:rFonts w:hint="eastAsia" w:ascii="仿宋" w:eastAsia="仿宋"/>
          <w:sz w:val="21"/>
        </w:rPr>
        <w:t>persons</w:t>
      </w:r>
    </w:p>
    <w:p>
      <w:pPr>
        <w:pStyle w:val="5"/>
        <w:spacing w:before="6"/>
        <w:rPr>
          <w:rFonts w:ascii="仿宋"/>
          <w:sz w:val="15"/>
        </w:rPr>
      </w:pPr>
    </w:p>
    <w:p>
      <w:pPr>
        <w:pStyle w:val="5"/>
        <w:ind w:left="212"/>
      </w:pPr>
      <w:r>
        <w:t>设置于轮椅席位附近，方便陪伴者照顾乘轮椅者使用的席位。</w:t>
      </w:r>
    </w:p>
    <w:p>
      <w:pPr>
        <w:pStyle w:val="5"/>
        <w:spacing w:before="7"/>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pacing w:val="-8"/>
          <w:sz w:val="21"/>
        </w:rPr>
        <w:t xml:space="preserve">低位服务设施 </w:t>
      </w:r>
      <w:r>
        <w:rPr>
          <w:rFonts w:hint="eastAsia" w:ascii="仿宋" w:eastAsia="仿宋"/>
          <w:sz w:val="21"/>
        </w:rPr>
        <w:t>low</w:t>
      </w:r>
      <w:r>
        <w:rPr>
          <w:rFonts w:hint="eastAsia" w:ascii="仿宋" w:eastAsia="仿宋"/>
          <w:spacing w:val="-1"/>
          <w:sz w:val="21"/>
        </w:rPr>
        <w:t xml:space="preserve"> </w:t>
      </w:r>
      <w:r>
        <w:rPr>
          <w:rFonts w:hint="eastAsia" w:ascii="仿宋" w:eastAsia="仿宋"/>
          <w:sz w:val="21"/>
        </w:rPr>
        <w:t>height</w:t>
      </w:r>
      <w:r>
        <w:rPr>
          <w:rFonts w:hint="eastAsia" w:ascii="仿宋" w:eastAsia="仿宋"/>
          <w:spacing w:val="-1"/>
          <w:sz w:val="21"/>
        </w:rPr>
        <w:t xml:space="preserve"> </w:t>
      </w:r>
      <w:r>
        <w:rPr>
          <w:rFonts w:hint="eastAsia" w:ascii="仿宋" w:eastAsia="仿宋"/>
          <w:sz w:val="21"/>
        </w:rPr>
        <w:t>service</w:t>
      </w:r>
      <w:r>
        <w:rPr>
          <w:rFonts w:hint="eastAsia" w:ascii="仿宋" w:eastAsia="仿宋"/>
          <w:spacing w:val="-1"/>
          <w:sz w:val="21"/>
        </w:rPr>
        <w:t xml:space="preserve"> </w:t>
      </w:r>
      <w:r>
        <w:rPr>
          <w:rFonts w:hint="eastAsia" w:ascii="仿宋" w:eastAsia="仿宋"/>
          <w:sz w:val="21"/>
        </w:rPr>
        <w:t>facilities</w:t>
      </w:r>
    </w:p>
    <w:p>
      <w:pPr>
        <w:pStyle w:val="5"/>
        <w:spacing w:before="7"/>
        <w:rPr>
          <w:rFonts w:ascii="仿宋"/>
          <w:sz w:val="15"/>
        </w:rPr>
      </w:pPr>
    </w:p>
    <w:p>
      <w:pPr>
        <w:pStyle w:val="5"/>
        <w:ind w:left="212"/>
      </w:pPr>
      <w:r>
        <w:t>方便行动障碍者使用的高度适当的服务设施。</w:t>
      </w:r>
    </w:p>
    <w:p>
      <w:pPr>
        <w:pStyle w:val="5"/>
        <w:spacing w:before="6"/>
        <w:rPr>
          <w:sz w:val="15"/>
        </w:rPr>
      </w:pPr>
    </w:p>
    <w:p>
      <w:pPr>
        <w:pStyle w:val="12"/>
        <w:numPr>
          <w:ilvl w:val="2"/>
          <w:numId w:val="4"/>
        </w:numPr>
        <w:tabs>
          <w:tab w:val="left" w:pos="1052"/>
          <w:tab w:val="left" w:pos="1053"/>
        </w:tabs>
        <w:spacing w:before="1" w:after="0" w:line="240" w:lineRule="auto"/>
        <w:ind w:left="1052" w:right="0" w:hanging="841"/>
        <w:jc w:val="left"/>
        <w:rPr>
          <w:rFonts w:hint="eastAsia" w:ascii="仿宋" w:eastAsia="仿宋"/>
          <w:sz w:val="21"/>
        </w:rPr>
      </w:pPr>
      <w:r>
        <w:rPr>
          <w:sz w:val="21"/>
        </w:rPr>
        <w:t xml:space="preserve">轮椅回转空间 </w:t>
      </w:r>
      <w:r>
        <w:rPr>
          <w:rFonts w:hint="eastAsia" w:ascii="仿宋" w:eastAsia="仿宋"/>
          <w:sz w:val="21"/>
        </w:rPr>
        <w:t>wheelchair</w:t>
      </w:r>
      <w:r>
        <w:rPr>
          <w:rFonts w:hint="eastAsia" w:ascii="仿宋" w:eastAsia="仿宋"/>
          <w:spacing w:val="-59"/>
          <w:sz w:val="21"/>
        </w:rPr>
        <w:t xml:space="preserve"> </w:t>
      </w:r>
      <w:r>
        <w:rPr>
          <w:rFonts w:hint="eastAsia" w:ascii="仿宋" w:eastAsia="仿宋"/>
          <w:sz w:val="21"/>
        </w:rPr>
        <w:t>turning</w:t>
      </w:r>
      <w:r>
        <w:rPr>
          <w:rFonts w:hint="eastAsia" w:ascii="仿宋" w:eastAsia="仿宋"/>
          <w:spacing w:val="-59"/>
          <w:sz w:val="21"/>
        </w:rPr>
        <w:t xml:space="preserve"> </w:t>
      </w:r>
      <w:r>
        <w:rPr>
          <w:rFonts w:hint="eastAsia" w:ascii="仿宋" w:eastAsia="仿宋"/>
          <w:sz w:val="21"/>
        </w:rPr>
        <w:t>space</w:t>
      </w:r>
    </w:p>
    <w:p>
      <w:pPr>
        <w:pStyle w:val="5"/>
        <w:spacing w:before="6"/>
        <w:rPr>
          <w:rFonts w:ascii="仿宋"/>
          <w:sz w:val="15"/>
        </w:rPr>
      </w:pPr>
    </w:p>
    <w:p>
      <w:pPr>
        <w:pStyle w:val="5"/>
        <w:ind w:left="212"/>
      </w:pPr>
      <w:r>
        <w:rPr>
          <w:spacing w:val="-3"/>
        </w:rPr>
        <w:t xml:space="preserve">为方便乘轮椅者旋转以改变方向而设置的，直径不小于 </w:t>
      </w:r>
      <w:r>
        <w:rPr>
          <w:rFonts w:ascii="Calibri" w:eastAsia="Calibri"/>
        </w:rPr>
        <w:t>1.50</w:t>
      </w:r>
      <w:r>
        <w:rPr>
          <w:rFonts w:hint="eastAsia" w:ascii="仿宋" w:eastAsia="仿宋"/>
        </w:rPr>
        <w:t>m</w:t>
      </w:r>
      <w:r>
        <w:rPr>
          <w:rFonts w:hint="eastAsia" w:ascii="仿宋" w:eastAsia="仿宋"/>
          <w:spacing w:val="-52"/>
        </w:rPr>
        <w:t xml:space="preserve"> </w:t>
      </w:r>
      <w:r>
        <w:t>的空间。</w:t>
      </w:r>
    </w:p>
    <w:p>
      <w:pPr>
        <w:pStyle w:val="5"/>
        <w:spacing w:before="7"/>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pacing w:val="-8"/>
          <w:sz w:val="21"/>
        </w:rPr>
        <w:t xml:space="preserve">容膝容脚空间 </w:t>
      </w:r>
      <w:r>
        <w:rPr>
          <w:rFonts w:hint="eastAsia" w:ascii="仿宋" w:eastAsia="仿宋"/>
          <w:sz w:val="21"/>
        </w:rPr>
        <w:t>knee</w:t>
      </w:r>
      <w:r>
        <w:rPr>
          <w:rFonts w:hint="eastAsia" w:ascii="仿宋" w:eastAsia="仿宋"/>
          <w:spacing w:val="-1"/>
          <w:sz w:val="21"/>
        </w:rPr>
        <w:t xml:space="preserve"> </w:t>
      </w:r>
      <w:r>
        <w:rPr>
          <w:rFonts w:hint="eastAsia" w:ascii="仿宋" w:eastAsia="仿宋"/>
          <w:sz w:val="21"/>
        </w:rPr>
        <w:t>and</w:t>
      </w:r>
      <w:r>
        <w:rPr>
          <w:rFonts w:hint="eastAsia" w:ascii="仿宋" w:eastAsia="仿宋"/>
          <w:spacing w:val="-1"/>
          <w:sz w:val="21"/>
        </w:rPr>
        <w:t xml:space="preserve"> </w:t>
      </w:r>
      <w:r>
        <w:rPr>
          <w:rFonts w:hint="eastAsia" w:ascii="仿宋" w:eastAsia="仿宋"/>
          <w:sz w:val="21"/>
        </w:rPr>
        <w:t>toe</w:t>
      </w:r>
      <w:r>
        <w:rPr>
          <w:rFonts w:hint="eastAsia" w:ascii="仿宋" w:eastAsia="仿宋"/>
          <w:spacing w:val="-1"/>
          <w:sz w:val="21"/>
        </w:rPr>
        <w:t xml:space="preserve"> </w:t>
      </w:r>
      <w:r>
        <w:rPr>
          <w:rFonts w:hint="eastAsia" w:ascii="仿宋" w:eastAsia="仿宋"/>
          <w:sz w:val="21"/>
        </w:rPr>
        <w:t>clearance</w:t>
      </w:r>
    </w:p>
    <w:p>
      <w:pPr>
        <w:pStyle w:val="5"/>
        <w:spacing w:before="7"/>
        <w:rPr>
          <w:rFonts w:ascii="仿宋"/>
          <w:sz w:val="15"/>
        </w:rPr>
      </w:pPr>
    </w:p>
    <w:p>
      <w:pPr>
        <w:pStyle w:val="5"/>
        <w:spacing w:line="417" w:lineRule="auto"/>
        <w:ind w:left="212" w:right="343"/>
      </w:pPr>
      <w:r>
        <w:rPr>
          <w:spacing w:val="-2"/>
        </w:rPr>
        <w:t xml:space="preserve">位于台面下部，容纳乘轮椅者腿部和足部并满足其移动需求的空间，空间宽度不小于 </w:t>
      </w:r>
      <w:r>
        <w:t>750</w:t>
      </w:r>
      <w:r>
        <w:rPr>
          <w:rFonts w:hint="eastAsia" w:ascii="仿宋" w:eastAsia="仿宋"/>
        </w:rPr>
        <w:t>mm</w:t>
      </w:r>
      <w:r>
        <w:t>，高度不小于650</w:t>
      </w:r>
      <w:r>
        <w:rPr>
          <w:rFonts w:hint="eastAsia" w:ascii="仿宋" w:eastAsia="仿宋"/>
        </w:rPr>
        <w:t>mm</w:t>
      </w:r>
      <w:r>
        <w:rPr>
          <w:spacing w:val="-8"/>
        </w:rPr>
        <w:t xml:space="preserve">，距地面高度 </w:t>
      </w:r>
      <w:r>
        <w:t>250</w:t>
      </w:r>
      <w:r>
        <w:rPr>
          <w:rFonts w:hint="eastAsia" w:ascii="仿宋" w:eastAsia="仿宋"/>
        </w:rPr>
        <w:t>mm</w:t>
      </w:r>
      <w:r>
        <w:rPr>
          <w:rFonts w:hint="eastAsia" w:ascii="仿宋" w:eastAsia="仿宋"/>
          <w:spacing w:val="-52"/>
        </w:rPr>
        <w:t xml:space="preserve"> </w:t>
      </w:r>
      <w:r>
        <w:rPr>
          <w:spacing w:val="-9"/>
        </w:rPr>
        <w:t xml:space="preserve">部分深度为 </w:t>
      </w:r>
      <w:r>
        <w:t>450</w:t>
      </w:r>
      <w:r>
        <w:rPr>
          <w:rFonts w:hint="eastAsia" w:ascii="仿宋" w:eastAsia="仿宋"/>
        </w:rPr>
        <w:t>mm</w:t>
      </w:r>
      <w:r>
        <w:rPr>
          <w:spacing w:val="-6"/>
        </w:rPr>
        <w:t xml:space="preserve">，其他部分深度为 </w:t>
      </w:r>
      <w:r>
        <w:t>250</w:t>
      </w:r>
      <w:r>
        <w:rPr>
          <w:rFonts w:hint="eastAsia" w:ascii="仿宋" w:eastAsia="仿宋"/>
        </w:rPr>
        <w:t>mm</w:t>
      </w:r>
      <w:r>
        <w:t>。</w:t>
      </w:r>
    </w:p>
    <w:p>
      <w:pPr>
        <w:pStyle w:val="12"/>
        <w:numPr>
          <w:ilvl w:val="2"/>
          <w:numId w:val="4"/>
        </w:numPr>
        <w:tabs>
          <w:tab w:val="left" w:pos="1052"/>
          <w:tab w:val="left" w:pos="1053"/>
        </w:tabs>
        <w:spacing w:before="0" w:after="0" w:line="269" w:lineRule="exact"/>
        <w:ind w:left="1052" w:right="0" w:hanging="841"/>
        <w:jc w:val="left"/>
        <w:rPr>
          <w:rFonts w:hint="eastAsia" w:ascii="仿宋" w:eastAsia="仿宋"/>
          <w:sz w:val="21"/>
        </w:rPr>
      </w:pPr>
      <w:r>
        <w:rPr>
          <w:sz w:val="21"/>
        </w:rPr>
        <w:t xml:space="preserve">标识设施 </w:t>
      </w:r>
      <w:r>
        <w:rPr>
          <w:rFonts w:hint="eastAsia" w:ascii="仿宋" w:eastAsia="仿宋"/>
          <w:sz w:val="21"/>
        </w:rPr>
        <w:t>signage</w:t>
      </w:r>
      <w:r>
        <w:rPr>
          <w:rFonts w:hint="eastAsia" w:ascii="仿宋" w:eastAsia="仿宋"/>
          <w:spacing w:val="-1"/>
          <w:sz w:val="21"/>
        </w:rPr>
        <w:t xml:space="preserve"> </w:t>
      </w:r>
      <w:r>
        <w:rPr>
          <w:rFonts w:hint="eastAsia" w:ascii="仿宋" w:eastAsia="仿宋"/>
          <w:sz w:val="21"/>
        </w:rPr>
        <w:t>facilities</w:t>
      </w:r>
    </w:p>
    <w:p>
      <w:pPr>
        <w:pStyle w:val="5"/>
        <w:spacing w:before="6"/>
        <w:rPr>
          <w:rFonts w:ascii="仿宋"/>
          <w:sz w:val="15"/>
        </w:rPr>
      </w:pPr>
    </w:p>
    <w:p>
      <w:pPr>
        <w:pStyle w:val="5"/>
        <w:spacing w:before="1"/>
        <w:ind w:left="212"/>
      </w:pPr>
      <w:r>
        <w:t>通过视觉、触觉、听觉等感官刺激，帮助人们获取城市环境中地理位置和目标方向等信息的设施。</w:t>
      </w:r>
    </w:p>
    <w:p>
      <w:pPr>
        <w:pStyle w:val="5"/>
        <w:spacing w:before="6"/>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z w:val="21"/>
        </w:rPr>
        <w:t xml:space="preserve">盲文设施 </w:t>
      </w:r>
      <w:r>
        <w:rPr>
          <w:rFonts w:hint="eastAsia" w:ascii="仿宋" w:eastAsia="仿宋"/>
          <w:sz w:val="21"/>
        </w:rPr>
        <w:t>braille</w:t>
      </w:r>
      <w:r>
        <w:rPr>
          <w:rFonts w:hint="eastAsia" w:ascii="仿宋" w:eastAsia="仿宋"/>
          <w:spacing w:val="-1"/>
          <w:sz w:val="21"/>
        </w:rPr>
        <w:t xml:space="preserve"> </w:t>
      </w:r>
      <w:r>
        <w:rPr>
          <w:rFonts w:hint="eastAsia" w:ascii="仿宋" w:eastAsia="仿宋"/>
          <w:sz w:val="21"/>
        </w:rPr>
        <w:t>facilities</w:t>
      </w:r>
    </w:p>
    <w:p>
      <w:pPr>
        <w:pStyle w:val="5"/>
        <w:spacing w:before="7"/>
        <w:rPr>
          <w:rFonts w:ascii="仿宋"/>
          <w:sz w:val="15"/>
        </w:rPr>
      </w:pPr>
    </w:p>
    <w:p>
      <w:pPr>
        <w:pStyle w:val="5"/>
        <w:ind w:left="212"/>
      </w:pPr>
      <w:r>
        <w:t>通过可触摸的图形和盲文，帮助视觉障碍者获取信息的设施。</w:t>
      </w:r>
    </w:p>
    <w:p>
      <w:pPr>
        <w:pStyle w:val="5"/>
        <w:spacing w:before="7"/>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z w:val="21"/>
        </w:rPr>
        <w:t xml:space="preserve">盲文地图 </w:t>
      </w:r>
      <w:r>
        <w:rPr>
          <w:rFonts w:hint="eastAsia" w:ascii="仿宋" w:eastAsia="仿宋"/>
          <w:sz w:val="21"/>
        </w:rPr>
        <w:t>braille</w:t>
      </w:r>
      <w:r>
        <w:rPr>
          <w:rFonts w:hint="eastAsia" w:ascii="仿宋" w:eastAsia="仿宋"/>
          <w:spacing w:val="-1"/>
          <w:sz w:val="21"/>
        </w:rPr>
        <w:t xml:space="preserve"> </w:t>
      </w:r>
      <w:r>
        <w:rPr>
          <w:rFonts w:hint="eastAsia" w:ascii="仿宋" w:eastAsia="仿宋"/>
          <w:sz w:val="21"/>
        </w:rPr>
        <w:t>map</w:t>
      </w:r>
    </w:p>
    <w:p>
      <w:pPr>
        <w:pStyle w:val="5"/>
        <w:spacing w:before="6"/>
        <w:rPr>
          <w:rFonts w:ascii="仿宋"/>
          <w:sz w:val="15"/>
        </w:rPr>
      </w:pPr>
    </w:p>
    <w:p>
      <w:pPr>
        <w:pStyle w:val="5"/>
        <w:spacing w:before="1"/>
        <w:ind w:left="212"/>
      </w:pPr>
      <w:r>
        <w:t>供视觉障碍者用手触摸的有立体感的位置图或平面图及盲文说明。</w:t>
      </w:r>
    </w:p>
    <w:p>
      <w:pPr>
        <w:pStyle w:val="5"/>
        <w:spacing w:before="6"/>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pacing w:val="-11"/>
          <w:sz w:val="21"/>
        </w:rPr>
        <w:t xml:space="preserve">盲文站牌 </w:t>
      </w:r>
      <w:r>
        <w:rPr>
          <w:rFonts w:hint="eastAsia" w:ascii="仿宋" w:eastAsia="仿宋"/>
          <w:sz w:val="21"/>
        </w:rPr>
        <w:t>braille</w:t>
      </w:r>
      <w:r>
        <w:rPr>
          <w:rFonts w:hint="eastAsia" w:ascii="仿宋" w:eastAsia="仿宋"/>
          <w:spacing w:val="-1"/>
          <w:sz w:val="21"/>
        </w:rPr>
        <w:t xml:space="preserve"> </w:t>
      </w:r>
      <w:r>
        <w:rPr>
          <w:rFonts w:hint="eastAsia" w:ascii="仿宋" w:eastAsia="仿宋"/>
          <w:sz w:val="21"/>
        </w:rPr>
        <w:t>station</w:t>
      </w:r>
      <w:r>
        <w:rPr>
          <w:rFonts w:hint="eastAsia" w:ascii="仿宋" w:eastAsia="仿宋"/>
          <w:spacing w:val="-1"/>
          <w:sz w:val="21"/>
        </w:rPr>
        <w:t xml:space="preserve"> </w:t>
      </w:r>
      <w:r>
        <w:rPr>
          <w:rFonts w:hint="eastAsia" w:ascii="仿宋" w:eastAsia="仿宋"/>
          <w:sz w:val="21"/>
        </w:rPr>
        <w:t>board</w:t>
      </w:r>
    </w:p>
    <w:p>
      <w:pPr>
        <w:pStyle w:val="5"/>
        <w:spacing w:before="7"/>
        <w:rPr>
          <w:rFonts w:ascii="仿宋"/>
          <w:sz w:val="15"/>
        </w:rPr>
      </w:pPr>
    </w:p>
    <w:p>
      <w:pPr>
        <w:pStyle w:val="5"/>
        <w:ind w:left="212"/>
      </w:pPr>
      <w:r>
        <w:t>采用盲文，告知视觉障碍者车站的站名、公共交通线路和终点站名等的公交、地铁车站站牌。</w:t>
      </w:r>
    </w:p>
    <w:p>
      <w:pPr>
        <w:pStyle w:val="5"/>
        <w:spacing w:before="7"/>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z w:val="21"/>
        </w:rPr>
        <w:t xml:space="preserve">盲文铭牌 </w:t>
      </w:r>
      <w:r>
        <w:rPr>
          <w:rFonts w:hint="eastAsia" w:ascii="仿宋" w:eastAsia="仿宋"/>
          <w:sz w:val="21"/>
        </w:rPr>
        <w:t>braille</w:t>
      </w:r>
      <w:r>
        <w:rPr>
          <w:rFonts w:hint="eastAsia" w:ascii="仿宋" w:eastAsia="仿宋"/>
          <w:spacing w:val="-1"/>
          <w:sz w:val="21"/>
        </w:rPr>
        <w:t xml:space="preserve"> </w:t>
      </w:r>
      <w:r>
        <w:rPr>
          <w:rFonts w:hint="eastAsia" w:ascii="仿宋" w:eastAsia="仿宋"/>
          <w:sz w:val="21"/>
        </w:rPr>
        <w:t>signboard</w:t>
      </w:r>
    </w:p>
    <w:p>
      <w:pPr>
        <w:pStyle w:val="5"/>
        <w:spacing w:before="6"/>
        <w:rPr>
          <w:rFonts w:ascii="仿宋"/>
          <w:sz w:val="15"/>
        </w:rPr>
      </w:pPr>
    </w:p>
    <w:p>
      <w:pPr>
        <w:pStyle w:val="5"/>
        <w:spacing w:before="1"/>
        <w:ind w:left="212"/>
      </w:pPr>
      <w:r>
        <w:t>安装在无障碍设施上或设施附近固定部位上，采用盲文以告知信息的铭牌。</w:t>
      </w:r>
    </w:p>
    <w:p>
      <w:pPr>
        <w:pStyle w:val="5"/>
        <w:spacing w:before="6"/>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z w:val="21"/>
        </w:rPr>
        <w:t xml:space="preserve">盲文门牌 </w:t>
      </w:r>
      <w:r>
        <w:rPr>
          <w:rFonts w:hint="eastAsia" w:ascii="仿宋" w:eastAsia="仿宋"/>
          <w:sz w:val="21"/>
        </w:rPr>
        <w:t>braille</w:t>
      </w:r>
      <w:r>
        <w:rPr>
          <w:rFonts w:hint="eastAsia" w:ascii="仿宋" w:eastAsia="仿宋"/>
          <w:spacing w:val="-1"/>
          <w:sz w:val="21"/>
        </w:rPr>
        <w:t xml:space="preserve"> </w:t>
      </w:r>
      <w:r>
        <w:rPr>
          <w:rFonts w:hint="eastAsia" w:ascii="仿宋" w:eastAsia="仿宋"/>
          <w:sz w:val="21"/>
        </w:rPr>
        <w:t>doorplate</w:t>
      </w:r>
    </w:p>
    <w:p>
      <w:pPr>
        <w:spacing w:after="0" w:line="240" w:lineRule="auto"/>
        <w:jc w:val="left"/>
        <w:rPr>
          <w:rFonts w:hint="eastAsia" w:ascii="仿宋" w:eastAsia="仿宋"/>
          <w:sz w:val="21"/>
        </w:rPr>
        <w:sectPr>
          <w:pgSz w:w="11910" w:h="16840"/>
          <w:pgMar w:top="1580" w:right="820" w:bottom="1280" w:left="920" w:header="0" w:footer="1095" w:gutter="0"/>
          <w:cols w:space="720" w:num="1"/>
        </w:sectPr>
      </w:pPr>
    </w:p>
    <w:p>
      <w:pPr>
        <w:pStyle w:val="5"/>
        <w:spacing w:before="60"/>
        <w:ind w:left="212"/>
      </w:pPr>
      <w:r>
        <w:t>设置于无障碍客房、无障碍住房/宿舍户门外墙面，方便视觉障碍者定位房间、住户的带盲文的门牌。</w:t>
      </w:r>
    </w:p>
    <w:p>
      <w:pPr>
        <w:pStyle w:val="5"/>
        <w:spacing w:before="6"/>
        <w:rPr>
          <w:sz w:val="15"/>
        </w:rPr>
      </w:pPr>
    </w:p>
    <w:p>
      <w:pPr>
        <w:pStyle w:val="12"/>
        <w:numPr>
          <w:ilvl w:val="2"/>
          <w:numId w:val="4"/>
        </w:numPr>
        <w:tabs>
          <w:tab w:val="left" w:pos="1052"/>
          <w:tab w:val="left" w:pos="1053"/>
        </w:tabs>
        <w:spacing w:before="1" w:after="0" w:line="240" w:lineRule="auto"/>
        <w:ind w:left="1052" w:right="0" w:hanging="841"/>
        <w:jc w:val="left"/>
        <w:rPr>
          <w:rFonts w:hint="eastAsia" w:ascii="仿宋" w:eastAsia="仿宋"/>
          <w:sz w:val="21"/>
        </w:rPr>
      </w:pPr>
      <w:r>
        <w:rPr>
          <w:sz w:val="21"/>
        </w:rPr>
        <w:t xml:space="preserve">盲文按钮 </w:t>
      </w:r>
      <w:r>
        <w:rPr>
          <w:rFonts w:hint="eastAsia" w:ascii="仿宋" w:eastAsia="仿宋"/>
          <w:sz w:val="21"/>
        </w:rPr>
        <w:t>braille</w:t>
      </w:r>
      <w:r>
        <w:rPr>
          <w:rFonts w:hint="eastAsia" w:ascii="仿宋" w:eastAsia="仿宋"/>
          <w:spacing w:val="-1"/>
          <w:sz w:val="21"/>
        </w:rPr>
        <w:t xml:space="preserve"> </w:t>
      </w:r>
      <w:r>
        <w:rPr>
          <w:rFonts w:hint="eastAsia" w:ascii="仿宋" w:eastAsia="仿宋"/>
          <w:sz w:val="21"/>
        </w:rPr>
        <w:t>button</w:t>
      </w:r>
    </w:p>
    <w:p>
      <w:pPr>
        <w:pStyle w:val="5"/>
        <w:spacing w:before="6"/>
        <w:rPr>
          <w:rFonts w:ascii="仿宋"/>
          <w:sz w:val="15"/>
        </w:rPr>
      </w:pPr>
    </w:p>
    <w:p>
      <w:pPr>
        <w:pStyle w:val="5"/>
        <w:ind w:left="212"/>
      </w:pPr>
      <w:r>
        <w:t>设置在无障碍电梯、交互设备等无障碍设施上带盲文的按钮。</w:t>
      </w:r>
    </w:p>
    <w:p>
      <w:pPr>
        <w:pStyle w:val="5"/>
        <w:spacing w:before="7"/>
        <w:rPr>
          <w:sz w:val="15"/>
        </w:rPr>
      </w:pPr>
    </w:p>
    <w:p>
      <w:pPr>
        <w:pStyle w:val="12"/>
        <w:numPr>
          <w:ilvl w:val="2"/>
          <w:numId w:val="4"/>
        </w:numPr>
        <w:tabs>
          <w:tab w:val="left" w:pos="1052"/>
          <w:tab w:val="left" w:pos="1053"/>
        </w:tabs>
        <w:spacing w:before="0" w:after="0" w:line="240" w:lineRule="auto"/>
        <w:ind w:left="1052" w:right="0" w:hanging="841"/>
        <w:jc w:val="left"/>
        <w:rPr>
          <w:rFonts w:hint="eastAsia" w:ascii="仿宋" w:eastAsia="仿宋"/>
          <w:sz w:val="21"/>
        </w:rPr>
      </w:pPr>
      <w:r>
        <w:rPr>
          <w:sz w:val="21"/>
        </w:rPr>
        <w:t xml:space="preserve">交互设备 </w:t>
      </w:r>
      <w:r>
        <w:rPr>
          <w:rFonts w:hint="eastAsia" w:ascii="仿宋" w:eastAsia="仿宋"/>
          <w:sz w:val="21"/>
        </w:rPr>
        <w:t>interactive</w:t>
      </w:r>
      <w:r>
        <w:rPr>
          <w:rFonts w:hint="eastAsia" w:ascii="仿宋" w:eastAsia="仿宋"/>
          <w:spacing w:val="-1"/>
          <w:sz w:val="21"/>
        </w:rPr>
        <w:t xml:space="preserve"> </w:t>
      </w:r>
      <w:r>
        <w:rPr>
          <w:rFonts w:hint="eastAsia" w:ascii="仿宋" w:eastAsia="仿宋"/>
          <w:sz w:val="21"/>
        </w:rPr>
        <w:t>device</w:t>
      </w:r>
    </w:p>
    <w:p>
      <w:pPr>
        <w:pStyle w:val="5"/>
        <w:spacing w:before="7"/>
        <w:rPr>
          <w:rFonts w:ascii="仿宋"/>
          <w:sz w:val="15"/>
        </w:rPr>
      </w:pPr>
    </w:p>
    <w:p>
      <w:pPr>
        <w:pStyle w:val="5"/>
        <w:ind w:left="212"/>
      </w:pPr>
      <w:r>
        <w:t>依托信息通讯技术，以一定的交互方式，帮助使用者便捷获取信息的设备。</w:t>
      </w:r>
    </w:p>
    <w:p>
      <w:pPr>
        <w:pStyle w:val="5"/>
        <w:spacing w:before="6"/>
        <w:rPr>
          <w:sz w:val="15"/>
        </w:rPr>
      </w:pPr>
    </w:p>
    <w:p>
      <w:pPr>
        <w:pStyle w:val="12"/>
        <w:numPr>
          <w:ilvl w:val="2"/>
          <w:numId w:val="4"/>
        </w:numPr>
        <w:tabs>
          <w:tab w:val="left" w:pos="1052"/>
          <w:tab w:val="left" w:pos="1053"/>
        </w:tabs>
        <w:spacing w:before="1" w:after="0" w:line="240" w:lineRule="auto"/>
        <w:ind w:left="1052" w:right="0" w:hanging="841"/>
        <w:jc w:val="left"/>
        <w:rPr>
          <w:rFonts w:hint="eastAsia" w:ascii="仿宋" w:eastAsia="仿宋"/>
          <w:sz w:val="21"/>
        </w:rPr>
      </w:pPr>
      <w:r>
        <w:rPr>
          <w:spacing w:val="-6"/>
          <w:sz w:val="21"/>
        </w:rPr>
        <w:t xml:space="preserve">过街音响提示装置 </w:t>
      </w:r>
      <w:r>
        <w:rPr>
          <w:rFonts w:hint="eastAsia" w:ascii="仿宋" w:eastAsia="仿宋"/>
          <w:sz w:val="21"/>
        </w:rPr>
        <w:t>audible</w:t>
      </w:r>
      <w:r>
        <w:rPr>
          <w:rFonts w:hint="eastAsia" w:ascii="仿宋" w:eastAsia="仿宋"/>
          <w:spacing w:val="-1"/>
          <w:sz w:val="21"/>
        </w:rPr>
        <w:t xml:space="preserve"> </w:t>
      </w:r>
      <w:r>
        <w:rPr>
          <w:rFonts w:hint="eastAsia" w:ascii="仿宋" w:eastAsia="仿宋"/>
          <w:sz w:val="21"/>
        </w:rPr>
        <w:t>pedestrian</w:t>
      </w:r>
      <w:r>
        <w:rPr>
          <w:rFonts w:hint="eastAsia" w:ascii="仿宋" w:eastAsia="仿宋"/>
          <w:spacing w:val="-2"/>
          <w:sz w:val="21"/>
        </w:rPr>
        <w:t xml:space="preserve"> </w:t>
      </w:r>
      <w:r>
        <w:rPr>
          <w:rFonts w:hint="eastAsia" w:ascii="仿宋" w:eastAsia="仿宋"/>
          <w:sz w:val="21"/>
        </w:rPr>
        <w:t>signals</w:t>
      </w:r>
      <w:r>
        <w:rPr>
          <w:rFonts w:hint="eastAsia" w:ascii="仿宋" w:eastAsia="仿宋"/>
          <w:spacing w:val="-1"/>
          <w:sz w:val="21"/>
        </w:rPr>
        <w:t xml:space="preserve"> </w:t>
      </w:r>
      <w:r>
        <w:rPr>
          <w:rFonts w:hint="eastAsia" w:ascii="仿宋" w:eastAsia="仿宋"/>
          <w:sz w:val="21"/>
        </w:rPr>
        <w:t>for</w:t>
      </w:r>
      <w:r>
        <w:rPr>
          <w:rFonts w:hint="eastAsia" w:ascii="仿宋" w:eastAsia="仿宋"/>
          <w:spacing w:val="-1"/>
          <w:sz w:val="21"/>
        </w:rPr>
        <w:t xml:space="preserve"> </w:t>
      </w:r>
      <w:r>
        <w:rPr>
          <w:rFonts w:hint="eastAsia" w:ascii="仿宋" w:eastAsia="仿宋"/>
          <w:sz w:val="21"/>
        </w:rPr>
        <w:t>street crossing</w:t>
      </w:r>
    </w:p>
    <w:p>
      <w:pPr>
        <w:pStyle w:val="5"/>
        <w:spacing w:before="6"/>
        <w:rPr>
          <w:rFonts w:ascii="仿宋"/>
          <w:sz w:val="15"/>
        </w:rPr>
      </w:pPr>
    </w:p>
    <w:p>
      <w:pPr>
        <w:pStyle w:val="5"/>
        <w:ind w:left="212"/>
      </w:pPr>
      <w:r>
        <w:t>通过语音提示系统引导视觉障碍者安全通行的音响装置。</w:t>
      </w:r>
    </w:p>
    <w:p>
      <w:pPr>
        <w:pStyle w:val="12"/>
        <w:numPr>
          <w:ilvl w:val="2"/>
          <w:numId w:val="4"/>
        </w:numPr>
        <w:tabs>
          <w:tab w:val="left" w:pos="1052"/>
          <w:tab w:val="left" w:pos="1053"/>
        </w:tabs>
        <w:spacing w:before="120" w:after="0" w:line="240" w:lineRule="auto"/>
        <w:ind w:left="1052" w:right="0" w:hanging="841"/>
        <w:jc w:val="left"/>
        <w:rPr>
          <w:rFonts w:hint="eastAsia" w:ascii="仿宋" w:eastAsia="仿宋"/>
          <w:sz w:val="21"/>
        </w:rPr>
      </w:pPr>
      <w:r>
        <w:rPr>
          <w:sz w:val="21"/>
        </w:rPr>
        <w:t xml:space="preserve">无障碍休息区 </w:t>
      </w:r>
      <w:r>
        <w:rPr>
          <w:rFonts w:hint="eastAsia" w:ascii="仿宋" w:eastAsia="仿宋"/>
          <w:sz w:val="21"/>
        </w:rPr>
        <w:t>accessible</w:t>
      </w:r>
      <w:r>
        <w:rPr>
          <w:rFonts w:hint="eastAsia" w:ascii="仿宋" w:eastAsia="仿宋"/>
          <w:spacing w:val="-1"/>
          <w:sz w:val="21"/>
        </w:rPr>
        <w:t xml:space="preserve"> </w:t>
      </w:r>
      <w:r>
        <w:rPr>
          <w:rFonts w:hint="eastAsia" w:ascii="仿宋" w:eastAsia="仿宋"/>
          <w:sz w:val="21"/>
        </w:rPr>
        <w:t>rest</w:t>
      </w:r>
      <w:r>
        <w:rPr>
          <w:rFonts w:hint="eastAsia" w:ascii="仿宋" w:eastAsia="仿宋"/>
          <w:spacing w:val="-1"/>
          <w:sz w:val="21"/>
        </w:rPr>
        <w:t xml:space="preserve"> </w:t>
      </w:r>
      <w:r>
        <w:rPr>
          <w:rFonts w:hint="eastAsia" w:ascii="仿宋" w:eastAsia="仿宋"/>
          <w:sz w:val="21"/>
        </w:rPr>
        <w:t>area</w:t>
      </w:r>
    </w:p>
    <w:p>
      <w:pPr>
        <w:pStyle w:val="5"/>
        <w:spacing w:before="122"/>
        <w:ind w:left="212"/>
      </w:pPr>
      <w:r>
        <w:t>设置轮椅停驻位及带靠背和扶手的座椅的休息区。</w:t>
      </w:r>
    </w:p>
    <w:p>
      <w:pPr>
        <w:spacing w:after="0"/>
        <w:sectPr>
          <w:footerReference r:id="rId6" w:type="default"/>
          <w:pgSz w:w="11910" w:h="16840"/>
          <w:pgMar w:top="1580" w:right="820" w:bottom="1280" w:left="920" w:header="0" w:footer="1095" w:gutter="0"/>
          <w:pgNumType w:start="10"/>
          <w:cols w:space="720" w:num="1"/>
        </w:sectPr>
      </w:pPr>
    </w:p>
    <w:p>
      <w:pPr>
        <w:pStyle w:val="2"/>
        <w:numPr>
          <w:ilvl w:val="2"/>
          <w:numId w:val="2"/>
        </w:numPr>
        <w:tabs>
          <w:tab w:val="left" w:pos="4599"/>
          <w:tab w:val="left" w:pos="4600"/>
        </w:tabs>
        <w:spacing w:before="68" w:after="0" w:line="240" w:lineRule="auto"/>
        <w:ind w:left="4600" w:right="0" w:hanging="420"/>
        <w:jc w:val="left"/>
      </w:pPr>
      <w:bookmarkStart w:id="4" w:name="3基本规定"/>
      <w:bookmarkEnd w:id="4"/>
      <w:bookmarkStart w:id="5" w:name="_bookmark2"/>
      <w:bookmarkEnd w:id="5"/>
      <w:r>
        <w:t>基本规定</w:t>
      </w:r>
    </w:p>
    <w:p>
      <w:pPr>
        <w:pStyle w:val="12"/>
        <w:numPr>
          <w:ilvl w:val="2"/>
          <w:numId w:val="5"/>
        </w:numPr>
        <w:tabs>
          <w:tab w:val="left" w:pos="1052"/>
          <w:tab w:val="left" w:pos="1053"/>
        </w:tabs>
        <w:spacing w:before="206" w:after="0" w:line="417" w:lineRule="auto"/>
        <w:ind w:left="212" w:right="312" w:firstLine="0"/>
        <w:jc w:val="left"/>
        <w:rPr>
          <w:sz w:val="21"/>
        </w:rPr>
      </w:pPr>
      <w:r>
        <w:rPr>
          <w:spacing w:val="-3"/>
          <w:w w:val="95"/>
          <w:sz w:val="21"/>
        </w:rPr>
        <w:t xml:space="preserve">无障碍设计应符合城市规划和有关专项规划，并应与地域气候、人口特征、发展进程和城市景观   </w:t>
      </w:r>
      <w:r>
        <w:rPr>
          <w:spacing w:val="-3"/>
          <w:sz w:val="21"/>
        </w:rPr>
        <w:t>相协调。</w:t>
      </w:r>
    </w:p>
    <w:p>
      <w:pPr>
        <w:pStyle w:val="12"/>
        <w:numPr>
          <w:ilvl w:val="2"/>
          <w:numId w:val="5"/>
        </w:numPr>
        <w:tabs>
          <w:tab w:val="left" w:pos="1052"/>
          <w:tab w:val="left" w:pos="1053"/>
        </w:tabs>
        <w:spacing w:before="0" w:after="0" w:line="269" w:lineRule="exact"/>
        <w:ind w:left="1052" w:right="0" w:hanging="841"/>
        <w:jc w:val="left"/>
        <w:rPr>
          <w:sz w:val="21"/>
        </w:rPr>
      </w:pPr>
      <w:r>
        <w:rPr>
          <w:sz w:val="21"/>
        </w:rPr>
        <w:t>无障碍设施应与城市道路、城市广场、</w:t>
      </w:r>
      <w:bookmarkStart w:id="1028" w:name="_GoBack"/>
      <w:bookmarkEnd w:id="1028"/>
      <w:r>
        <w:rPr>
          <w:sz w:val="21"/>
        </w:rPr>
        <w:t>城市绿地、城市建筑等主体工程同步设计、同步建设。</w:t>
      </w:r>
    </w:p>
    <w:p>
      <w:pPr>
        <w:pStyle w:val="5"/>
        <w:spacing w:before="6"/>
        <w:rPr>
          <w:sz w:val="15"/>
        </w:rPr>
      </w:pPr>
    </w:p>
    <w:p>
      <w:pPr>
        <w:pStyle w:val="12"/>
        <w:numPr>
          <w:ilvl w:val="2"/>
          <w:numId w:val="5"/>
        </w:numPr>
        <w:tabs>
          <w:tab w:val="left" w:pos="1052"/>
          <w:tab w:val="left" w:pos="1053"/>
        </w:tabs>
        <w:spacing w:before="1" w:after="0" w:line="240" w:lineRule="auto"/>
        <w:ind w:left="1052" w:right="0" w:hanging="841"/>
        <w:jc w:val="left"/>
        <w:rPr>
          <w:sz w:val="21"/>
        </w:rPr>
      </w:pPr>
      <w:r>
        <w:rPr>
          <w:sz w:val="21"/>
        </w:rPr>
        <w:t>新建无障碍设施应与周边环境的既有无障碍设施有效衔接。</w:t>
      </w:r>
    </w:p>
    <w:p>
      <w:pPr>
        <w:pStyle w:val="5"/>
        <w:spacing w:before="6"/>
        <w:rPr>
          <w:sz w:val="15"/>
        </w:rPr>
      </w:pPr>
    </w:p>
    <w:p>
      <w:pPr>
        <w:pStyle w:val="12"/>
        <w:numPr>
          <w:ilvl w:val="2"/>
          <w:numId w:val="5"/>
        </w:numPr>
        <w:tabs>
          <w:tab w:val="left" w:pos="1052"/>
          <w:tab w:val="left" w:pos="1053"/>
        </w:tabs>
        <w:spacing w:before="0" w:after="0" w:line="240" w:lineRule="auto"/>
        <w:ind w:left="1052" w:right="0" w:hanging="841"/>
        <w:jc w:val="left"/>
        <w:rPr>
          <w:sz w:val="21"/>
        </w:rPr>
      </w:pPr>
      <w:r>
        <w:rPr>
          <w:sz w:val="21"/>
        </w:rPr>
        <w:t>无障碍通行设施和无障碍服务设施处应设置标识设施。</w:t>
      </w:r>
    </w:p>
    <w:p>
      <w:pPr>
        <w:pStyle w:val="5"/>
        <w:spacing w:before="7"/>
        <w:rPr>
          <w:sz w:val="15"/>
        </w:rPr>
      </w:pPr>
    </w:p>
    <w:p>
      <w:pPr>
        <w:pStyle w:val="12"/>
        <w:numPr>
          <w:ilvl w:val="2"/>
          <w:numId w:val="5"/>
        </w:numPr>
        <w:tabs>
          <w:tab w:val="left" w:pos="1052"/>
          <w:tab w:val="left" w:pos="1053"/>
        </w:tabs>
        <w:spacing w:before="0" w:after="0" w:line="240" w:lineRule="auto"/>
        <w:ind w:left="1052" w:right="0" w:hanging="841"/>
        <w:jc w:val="left"/>
        <w:rPr>
          <w:sz w:val="21"/>
        </w:rPr>
      </w:pPr>
      <w:r>
        <w:rPr>
          <w:sz w:val="21"/>
        </w:rPr>
        <w:t>空间场所类无障碍设施的地面应平整、防滑。</w:t>
      </w:r>
    </w:p>
    <w:p>
      <w:pPr>
        <w:pStyle w:val="5"/>
        <w:spacing w:before="7"/>
        <w:rPr>
          <w:sz w:val="15"/>
        </w:rPr>
      </w:pPr>
    </w:p>
    <w:p>
      <w:pPr>
        <w:pStyle w:val="12"/>
        <w:numPr>
          <w:ilvl w:val="2"/>
          <w:numId w:val="5"/>
        </w:numPr>
        <w:tabs>
          <w:tab w:val="left" w:pos="1052"/>
          <w:tab w:val="left" w:pos="1053"/>
        </w:tabs>
        <w:spacing w:before="0" w:after="0" w:line="240" w:lineRule="auto"/>
        <w:ind w:left="1052" w:right="0" w:hanging="841"/>
        <w:jc w:val="left"/>
        <w:rPr>
          <w:sz w:val="21"/>
        </w:rPr>
      </w:pPr>
      <w:r>
        <w:rPr>
          <w:sz w:val="21"/>
        </w:rPr>
        <w:t>人体容易触及的无障碍设施应避免尖角、锐利边缘及过于粗糙的表面。</w:t>
      </w:r>
    </w:p>
    <w:p>
      <w:pPr>
        <w:pStyle w:val="5"/>
        <w:spacing w:before="6"/>
        <w:rPr>
          <w:sz w:val="15"/>
        </w:rPr>
      </w:pPr>
    </w:p>
    <w:p>
      <w:pPr>
        <w:pStyle w:val="12"/>
        <w:numPr>
          <w:ilvl w:val="2"/>
          <w:numId w:val="5"/>
        </w:numPr>
        <w:tabs>
          <w:tab w:val="left" w:pos="1052"/>
          <w:tab w:val="left" w:pos="1053"/>
        </w:tabs>
        <w:spacing w:before="1" w:after="0" w:line="240" w:lineRule="auto"/>
        <w:ind w:left="1052" w:right="0" w:hanging="841"/>
        <w:jc w:val="left"/>
        <w:rPr>
          <w:sz w:val="21"/>
        </w:rPr>
      </w:pPr>
      <w:r>
        <w:rPr>
          <w:sz w:val="21"/>
        </w:rPr>
        <w:t>室外无障碍设施宜与遮阳、蔽雨、景观等设施结合设置。</w:t>
      </w:r>
    </w:p>
    <w:p>
      <w:pPr>
        <w:spacing w:after="0" w:line="240" w:lineRule="auto"/>
        <w:jc w:val="left"/>
        <w:rPr>
          <w:sz w:val="21"/>
        </w:rPr>
        <w:sectPr>
          <w:pgSz w:w="11910" w:h="16840"/>
          <w:pgMar w:top="1580" w:right="820" w:bottom="1280" w:left="920" w:header="0" w:footer="1095" w:gutter="0"/>
          <w:cols w:space="720" w:num="1"/>
        </w:sectPr>
      </w:pPr>
    </w:p>
    <w:p>
      <w:pPr>
        <w:pStyle w:val="2"/>
        <w:numPr>
          <w:ilvl w:val="2"/>
          <w:numId w:val="2"/>
        </w:numPr>
        <w:tabs>
          <w:tab w:val="left" w:pos="3637"/>
          <w:tab w:val="left" w:pos="3638"/>
        </w:tabs>
        <w:spacing w:before="68" w:after="0" w:line="240" w:lineRule="auto"/>
        <w:ind w:left="3637" w:right="0" w:hanging="421"/>
        <w:jc w:val="left"/>
      </w:pPr>
      <w:bookmarkStart w:id="6" w:name="_bookmark3"/>
      <w:bookmarkEnd w:id="6"/>
      <w:bookmarkStart w:id="7" w:name="4无障碍设施的设计要求"/>
      <w:bookmarkEnd w:id="7"/>
      <w:r>
        <w:t>无障碍设施的设计要求</w:t>
      </w:r>
    </w:p>
    <w:p>
      <w:pPr>
        <w:pStyle w:val="12"/>
        <w:numPr>
          <w:ilvl w:val="3"/>
          <w:numId w:val="2"/>
        </w:numPr>
        <w:tabs>
          <w:tab w:val="left" w:pos="4509"/>
        </w:tabs>
        <w:spacing w:before="206" w:after="0" w:line="417" w:lineRule="auto"/>
        <w:ind w:left="4532" w:right="4188" w:hanging="444"/>
        <w:jc w:val="left"/>
        <w:rPr>
          <w:rFonts w:hint="eastAsia" w:ascii="黑体" w:eastAsia="黑体"/>
          <w:sz w:val="21"/>
        </w:rPr>
      </w:pPr>
      <w:bookmarkStart w:id="8" w:name="_bookmark4"/>
      <w:bookmarkEnd w:id="8"/>
      <w:bookmarkStart w:id="9" w:name="_bookmark4"/>
      <w:bookmarkEnd w:id="9"/>
      <w:bookmarkStart w:id="10" w:name="4.1无障碍通行设施"/>
      <w:bookmarkEnd w:id="10"/>
      <w:r>
        <w:rPr>
          <w:rFonts w:hint="eastAsia" w:ascii="黑体" w:eastAsia="黑体"/>
          <w:spacing w:val="-2"/>
          <w:sz w:val="21"/>
        </w:rPr>
        <w:t>无障碍通行设施</w:t>
      </w:r>
      <w:bookmarkStart w:id="11" w:name="I一般规定"/>
      <w:bookmarkEnd w:id="11"/>
      <w:r>
        <w:rPr>
          <w:rFonts w:hint="eastAsia" w:ascii="黑体" w:eastAsia="黑体"/>
          <w:sz w:val="21"/>
        </w:rPr>
        <w:t>I</w:t>
      </w:r>
      <w:r>
        <w:rPr>
          <w:rFonts w:hint="eastAsia" w:ascii="黑体" w:eastAsia="黑体"/>
          <w:spacing w:val="-12"/>
          <w:sz w:val="21"/>
        </w:rPr>
        <w:t xml:space="preserve"> 一般规定</w:t>
      </w:r>
    </w:p>
    <w:p>
      <w:pPr>
        <w:pStyle w:val="12"/>
        <w:numPr>
          <w:ilvl w:val="2"/>
          <w:numId w:val="6"/>
        </w:numPr>
        <w:tabs>
          <w:tab w:val="left" w:pos="1053"/>
        </w:tabs>
        <w:spacing w:before="0" w:after="0" w:line="417" w:lineRule="auto"/>
        <w:ind w:left="212" w:right="208" w:firstLine="0"/>
        <w:jc w:val="both"/>
        <w:rPr>
          <w:sz w:val="21"/>
        </w:rPr>
      </w:pPr>
      <w:bookmarkStart w:id="12" w:name="4.1.1无障碍通行设施可包括无障碍机动车停车位及上/落客区、缘石坡道、盲道、无"/>
      <w:bookmarkEnd w:id="12"/>
      <w:bookmarkStart w:id="13" w:name="4.1.1无障碍通行设施可包括无障碍机动车停车位及上/落客区、缘石坡道、盲道、无"/>
      <w:bookmarkEnd w:id="13"/>
      <w:r>
        <w:rPr>
          <w:sz w:val="21"/>
        </w:rPr>
        <w:t>无障碍通行设施可包括无障碍机动车停车位及上</w:t>
      </w:r>
      <w:r>
        <w:rPr>
          <w:spacing w:val="3"/>
          <w:sz w:val="21"/>
        </w:rPr>
        <w:t>/</w:t>
      </w:r>
      <w:r>
        <w:rPr>
          <w:sz w:val="21"/>
        </w:rPr>
        <w:t>落客区、缘石坡道、盲道、无障碍通道、轮椅</w:t>
      </w:r>
      <w:r>
        <w:rPr>
          <w:spacing w:val="-12"/>
          <w:w w:val="95"/>
          <w:sz w:val="21"/>
        </w:rPr>
        <w:t>坡道、无障碍出入口、门、无障碍电梯与升降平台、无障碍楼梯与台阶、自动扶梯与自动人行道、扶手等。</w:t>
      </w:r>
    </w:p>
    <w:p>
      <w:pPr>
        <w:pStyle w:val="12"/>
        <w:numPr>
          <w:ilvl w:val="2"/>
          <w:numId w:val="6"/>
        </w:numPr>
        <w:tabs>
          <w:tab w:val="left" w:pos="1053"/>
        </w:tabs>
        <w:spacing w:before="0" w:after="0" w:line="269" w:lineRule="exact"/>
        <w:ind w:left="1052" w:right="0" w:hanging="841"/>
        <w:jc w:val="both"/>
        <w:rPr>
          <w:sz w:val="21"/>
        </w:rPr>
      </w:pPr>
      <w:bookmarkStart w:id="14" w:name="4.1.2相关建设工程内部及彼此之间，应提供连贯的无障碍通行路线。"/>
      <w:bookmarkEnd w:id="14"/>
      <w:bookmarkStart w:id="15" w:name="4.1.2相关建设工程内部及彼此之间，应提供连贯的无障碍通行路线。"/>
      <w:bookmarkEnd w:id="15"/>
      <w:r>
        <w:rPr>
          <w:sz w:val="21"/>
        </w:rPr>
        <w:t>相关建设工程内部及彼此之间，应提供连贯的无障碍通行路线。</w:t>
      </w:r>
    </w:p>
    <w:p>
      <w:pPr>
        <w:pStyle w:val="5"/>
        <w:spacing w:before="6"/>
        <w:rPr>
          <w:sz w:val="15"/>
        </w:rPr>
      </w:pPr>
    </w:p>
    <w:p>
      <w:pPr>
        <w:pStyle w:val="12"/>
        <w:numPr>
          <w:ilvl w:val="2"/>
          <w:numId w:val="6"/>
        </w:numPr>
        <w:tabs>
          <w:tab w:val="left" w:pos="1053"/>
        </w:tabs>
        <w:spacing w:before="0" w:after="0" w:line="417" w:lineRule="auto"/>
        <w:ind w:left="212" w:right="310" w:firstLine="0"/>
        <w:jc w:val="both"/>
        <w:rPr>
          <w:sz w:val="21"/>
        </w:rPr>
      </w:pPr>
      <w:bookmarkStart w:id="16" w:name="4.1.3标识物、垃圾桶、座椅、灯柱、报纸架等公共场所设施，均不应妨碍行动障碍者"/>
      <w:bookmarkEnd w:id="16"/>
      <w:bookmarkStart w:id="17" w:name="4.1.3标识物、垃圾桶、座椅、灯柱、报纸架等公共场所设施，均不应妨碍行动障碍者"/>
      <w:bookmarkEnd w:id="17"/>
      <w:r>
        <w:rPr>
          <w:spacing w:val="-3"/>
          <w:w w:val="95"/>
          <w:sz w:val="21"/>
        </w:rPr>
        <w:t xml:space="preserve">标识物、垃圾桶、座椅、灯柱、报纸架等公共场所设施，均不应妨碍行动障碍者的独立通行。固   </w:t>
      </w:r>
      <w:r>
        <w:rPr>
          <w:spacing w:val="-4"/>
          <w:sz w:val="21"/>
        </w:rPr>
        <w:t xml:space="preserve">定在无障碍通道、轮椅坡道、无障碍楼梯的墙或柱面上的物体，其底面距地面的高度不宜小于 </w:t>
      </w:r>
      <w:r>
        <w:rPr>
          <w:sz w:val="21"/>
        </w:rPr>
        <w:t>2.00</w:t>
      </w:r>
      <w:r>
        <w:rPr>
          <w:rFonts w:hint="eastAsia" w:ascii="仿宋" w:eastAsia="仿宋"/>
          <w:sz w:val="21"/>
        </w:rPr>
        <w:t>m</w:t>
      </w:r>
      <w:r>
        <w:rPr>
          <w:sz w:val="21"/>
        </w:rPr>
        <w:t>；如</w:t>
      </w:r>
      <w:r>
        <w:rPr>
          <w:spacing w:val="-17"/>
          <w:sz w:val="21"/>
        </w:rPr>
        <w:t xml:space="preserve">介于 </w:t>
      </w:r>
      <w:r>
        <w:rPr>
          <w:sz w:val="21"/>
        </w:rPr>
        <w:t>0.60</w:t>
      </w:r>
      <w:r>
        <w:rPr>
          <w:rFonts w:hint="eastAsia" w:ascii="仿宋" w:eastAsia="仿宋"/>
          <w:sz w:val="21"/>
        </w:rPr>
        <w:t>m</w:t>
      </w:r>
      <w:r>
        <w:rPr>
          <w:sz w:val="21"/>
        </w:rPr>
        <w:t>～2.00</w:t>
      </w:r>
      <w:r>
        <w:rPr>
          <w:rFonts w:hint="eastAsia" w:ascii="仿宋" w:eastAsia="仿宋"/>
          <w:sz w:val="21"/>
        </w:rPr>
        <w:t>m</w:t>
      </w:r>
      <w:r>
        <w:rPr>
          <w:rFonts w:hint="eastAsia" w:ascii="仿宋" w:eastAsia="仿宋"/>
          <w:spacing w:val="-52"/>
          <w:sz w:val="21"/>
        </w:rPr>
        <w:t xml:space="preserve"> </w:t>
      </w:r>
      <w:r>
        <w:rPr>
          <w:spacing w:val="-3"/>
          <w:sz w:val="21"/>
        </w:rPr>
        <w:t xml:space="preserve">之间时，其突出部分的尺寸不应大于 </w:t>
      </w:r>
      <w:r>
        <w:rPr>
          <w:sz w:val="21"/>
        </w:rPr>
        <w:t>100</w:t>
      </w:r>
      <w:r>
        <w:rPr>
          <w:rFonts w:hint="eastAsia" w:ascii="仿宋" w:eastAsia="仿宋"/>
          <w:sz w:val="21"/>
        </w:rPr>
        <w:t>mm</w:t>
      </w:r>
      <w:r>
        <w:rPr>
          <w:sz w:val="21"/>
        </w:rPr>
        <w:t>。</w:t>
      </w:r>
    </w:p>
    <w:p>
      <w:pPr>
        <w:pStyle w:val="12"/>
        <w:numPr>
          <w:ilvl w:val="2"/>
          <w:numId w:val="6"/>
        </w:numPr>
        <w:tabs>
          <w:tab w:val="left" w:pos="1053"/>
        </w:tabs>
        <w:spacing w:before="0" w:after="0" w:line="269" w:lineRule="exact"/>
        <w:ind w:left="1052" w:right="0" w:hanging="841"/>
        <w:jc w:val="both"/>
        <w:rPr>
          <w:sz w:val="21"/>
        </w:rPr>
      </w:pPr>
      <w:bookmarkStart w:id="18" w:name="4.1.4在地形险要地段的通行部位应设置安全防护设施和安全警示线。"/>
      <w:bookmarkEnd w:id="18"/>
      <w:bookmarkStart w:id="19" w:name="4.1.4在地形险要地段的通行部位应设置安全防护设施和安全警示线。"/>
      <w:bookmarkEnd w:id="19"/>
      <w:r>
        <w:rPr>
          <w:sz w:val="21"/>
        </w:rPr>
        <w:t>在地形险要地段的通行部位应设置安全防护设施和安全警示线。</w:t>
      </w:r>
    </w:p>
    <w:p>
      <w:pPr>
        <w:pStyle w:val="5"/>
        <w:spacing w:before="7"/>
        <w:rPr>
          <w:sz w:val="15"/>
        </w:rPr>
      </w:pPr>
    </w:p>
    <w:p>
      <w:pPr>
        <w:pStyle w:val="5"/>
        <w:ind w:right="99"/>
        <w:jc w:val="center"/>
        <w:rPr>
          <w:rFonts w:hint="eastAsia" w:ascii="黑体" w:eastAsia="黑体"/>
        </w:rPr>
      </w:pPr>
      <w:bookmarkStart w:id="20" w:name="II无障碍机动车停车位及上/落客区"/>
      <w:bookmarkEnd w:id="20"/>
      <w:r>
        <w:rPr>
          <w:rFonts w:hint="eastAsia" w:ascii="黑体" w:eastAsia="黑体"/>
        </w:rPr>
        <w:t>II 无障碍机动车停车位及上/落客区</w:t>
      </w:r>
    </w:p>
    <w:p>
      <w:pPr>
        <w:pStyle w:val="5"/>
        <w:spacing w:before="7"/>
        <w:rPr>
          <w:rFonts w:ascii="黑体"/>
          <w:sz w:val="15"/>
        </w:rPr>
      </w:pPr>
    </w:p>
    <w:p>
      <w:pPr>
        <w:pStyle w:val="12"/>
        <w:numPr>
          <w:ilvl w:val="2"/>
          <w:numId w:val="6"/>
        </w:numPr>
        <w:tabs>
          <w:tab w:val="left" w:pos="1053"/>
        </w:tabs>
        <w:spacing w:before="0" w:after="0" w:line="240" w:lineRule="auto"/>
        <w:ind w:left="1052" w:right="0" w:hanging="841"/>
        <w:jc w:val="both"/>
        <w:rPr>
          <w:sz w:val="21"/>
        </w:rPr>
      </w:pPr>
      <w:bookmarkStart w:id="21" w:name="4.1.5无障碍机动车停车位应符合下列规定："/>
      <w:bookmarkEnd w:id="21"/>
      <w:bookmarkStart w:id="22" w:name="4.1.5无障碍机动车停车位应符合下列规定："/>
      <w:bookmarkEnd w:id="22"/>
      <w:r>
        <w:rPr>
          <w:sz w:val="21"/>
        </w:rPr>
        <w:t>无障碍机动车停车位应符合下列规定：</w:t>
      </w:r>
    </w:p>
    <w:p>
      <w:pPr>
        <w:pStyle w:val="5"/>
        <w:spacing w:before="6"/>
        <w:rPr>
          <w:sz w:val="15"/>
        </w:rPr>
      </w:pPr>
    </w:p>
    <w:p>
      <w:pPr>
        <w:pStyle w:val="12"/>
        <w:numPr>
          <w:ilvl w:val="0"/>
          <w:numId w:val="7"/>
        </w:numPr>
        <w:tabs>
          <w:tab w:val="left" w:pos="1053"/>
        </w:tabs>
        <w:spacing w:before="1" w:after="0" w:line="240" w:lineRule="auto"/>
        <w:ind w:left="1052" w:right="0" w:hanging="416"/>
        <w:jc w:val="both"/>
        <w:rPr>
          <w:sz w:val="21"/>
        </w:rPr>
      </w:pPr>
      <w:r>
        <w:rPr>
          <w:sz w:val="21"/>
        </w:rPr>
        <w:t>应将通行方便、路线短的停车位设为无障碍机动车停车位；</w:t>
      </w:r>
    </w:p>
    <w:p>
      <w:pPr>
        <w:pStyle w:val="5"/>
        <w:spacing w:before="6"/>
        <w:rPr>
          <w:sz w:val="15"/>
        </w:rPr>
      </w:pPr>
    </w:p>
    <w:p>
      <w:pPr>
        <w:pStyle w:val="12"/>
        <w:numPr>
          <w:ilvl w:val="0"/>
          <w:numId w:val="7"/>
        </w:numPr>
        <w:tabs>
          <w:tab w:val="left" w:pos="1053"/>
        </w:tabs>
        <w:spacing w:before="0" w:after="0" w:line="417" w:lineRule="auto"/>
        <w:ind w:left="212" w:right="310" w:firstLine="424"/>
        <w:jc w:val="both"/>
        <w:rPr>
          <w:sz w:val="21"/>
        </w:rPr>
      </w:pPr>
      <w:r>
        <w:rPr>
          <w:spacing w:val="-4"/>
          <w:sz w:val="21"/>
        </w:rPr>
        <w:t xml:space="preserve">无障碍机动车停车位一侧，应设置宽度不小于 </w:t>
      </w:r>
      <w:r>
        <w:rPr>
          <w:sz w:val="21"/>
        </w:rPr>
        <w:t>1.20</w:t>
      </w:r>
      <w:r>
        <w:rPr>
          <w:rFonts w:hint="eastAsia" w:ascii="仿宋" w:eastAsia="仿宋"/>
          <w:sz w:val="21"/>
        </w:rPr>
        <w:t>m</w:t>
      </w:r>
      <w:r>
        <w:rPr>
          <w:rFonts w:hint="eastAsia" w:ascii="仿宋" w:eastAsia="仿宋"/>
          <w:spacing w:val="-61"/>
          <w:sz w:val="21"/>
        </w:rPr>
        <w:t xml:space="preserve"> </w:t>
      </w:r>
      <w:r>
        <w:rPr>
          <w:spacing w:val="-2"/>
          <w:sz w:val="21"/>
        </w:rPr>
        <w:t>的轮椅通道，供乘轮椅者直接进入人行道和</w:t>
      </w:r>
      <w:r>
        <w:rPr>
          <w:spacing w:val="-5"/>
          <w:w w:val="95"/>
          <w:sz w:val="21"/>
        </w:rPr>
        <w:t xml:space="preserve">到达无障碍出入口。轮椅通道与其服务的停车位，不应存在高差；轮椅通道与人行通道存在高差处，应至   </w:t>
      </w:r>
      <w:r>
        <w:rPr>
          <w:spacing w:val="-17"/>
          <w:sz w:val="21"/>
        </w:rPr>
        <w:t xml:space="preserve">少设置 </w:t>
      </w:r>
      <w:r>
        <w:rPr>
          <w:sz w:val="21"/>
        </w:rPr>
        <w:t>1</w:t>
      </w:r>
      <w:r>
        <w:rPr>
          <w:spacing w:val="-8"/>
          <w:sz w:val="21"/>
        </w:rPr>
        <w:t xml:space="preserve"> 个缘石坡道，且应与无障碍通道衔接；</w:t>
      </w:r>
    </w:p>
    <w:p>
      <w:pPr>
        <w:pStyle w:val="12"/>
        <w:numPr>
          <w:ilvl w:val="0"/>
          <w:numId w:val="7"/>
        </w:numPr>
        <w:tabs>
          <w:tab w:val="left" w:pos="1053"/>
        </w:tabs>
        <w:spacing w:before="0" w:after="0" w:line="269" w:lineRule="exact"/>
        <w:ind w:left="1052" w:right="0" w:hanging="416"/>
        <w:jc w:val="both"/>
        <w:rPr>
          <w:sz w:val="21"/>
        </w:rPr>
      </w:pPr>
      <w:r>
        <w:rPr>
          <w:spacing w:val="-3"/>
          <w:sz w:val="21"/>
        </w:rPr>
        <w:t xml:space="preserve">地面应平整、防滑，地面坡度不应大于 </w:t>
      </w:r>
      <w:r>
        <w:rPr>
          <w:sz w:val="21"/>
        </w:rPr>
        <w:t>1:50；</w:t>
      </w:r>
    </w:p>
    <w:p>
      <w:pPr>
        <w:pStyle w:val="5"/>
        <w:spacing w:before="7"/>
        <w:rPr>
          <w:sz w:val="15"/>
        </w:rPr>
      </w:pPr>
    </w:p>
    <w:p>
      <w:pPr>
        <w:pStyle w:val="12"/>
        <w:numPr>
          <w:ilvl w:val="0"/>
          <w:numId w:val="7"/>
        </w:numPr>
        <w:tabs>
          <w:tab w:val="left" w:pos="1053"/>
        </w:tabs>
        <w:spacing w:before="0" w:after="0" w:line="240" w:lineRule="auto"/>
        <w:ind w:left="1052" w:right="0" w:hanging="416"/>
        <w:jc w:val="both"/>
        <w:rPr>
          <w:sz w:val="21"/>
        </w:rPr>
      </w:pPr>
      <w:r>
        <w:rPr>
          <w:sz w:val="21"/>
        </w:rPr>
        <w:t>地面应设置停车线、轮椅通道线和标识设施，并应设置引导标识指引到达；</w:t>
      </w:r>
    </w:p>
    <w:p>
      <w:pPr>
        <w:pStyle w:val="5"/>
        <w:spacing w:before="7"/>
        <w:rPr>
          <w:sz w:val="15"/>
        </w:rPr>
      </w:pPr>
    </w:p>
    <w:p>
      <w:pPr>
        <w:pStyle w:val="12"/>
        <w:numPr>
          <w:ilvl w:val="0"/>
          <w:numId w:val="7"/>
        </w:numPr>
        <w:tabs>
          <w:tab w:val="left" w:pos="1052"/>
          <w:tab w:val="left" w:pos="1053"/>
        </w:tabs>
        <w:spacing w:before="0" w:after="0" w:line="240" w:lineRule="auto"/>
        <w:ind w:left="1052" w:right="0" w:hanging="416"/>
        <w:jc w:val="left"/>
        <w:rPr>
          <w:sz w:val="21"/>
        </w:rPr>
      </w:pPr>
      <w:r>
        <w:rPr>
          <w:sz w:val="21"/>
        </w:rPr>
        <w:t>电动机动车停车位的充电设施不应影响无障碍通道的有效宽度。</w:t>
      </w:r>
    </w:p>
    <w:p>
      <w:pPr>
        <w:pStyle w:val="5"/>
        <w:spacing w:before="6"/>
        <w:rPr>
          <w:sz w:val="15"/>
        </w:rPr>
      </w:pPr>
    </w:p>
    <w:p>
      <w:pPr>
        <w:pStyle w:val="12"/>
        <w:numPr>
          <w:ilvl w:val="2"/>
          <w:numId w:val="6"/>
        </w:numPr>
        <w:tabs>
          <w:tab w:val="left" w:pos="1052"/>
          <w:tab w:val="left" w:pos="1053"/>
        </w:tabs>
        <w:spacing w:before="1" w:after="0" w:line="417" w:lineRule="auto"/>
        <w:ind w:left="637" w:right="5225" w:hanging="425"/>
        <w:jc w:val="left"/>
        <w:rPr>
          <w:sz w:val="21"/>
        </w:rPr>
      </w:pPr>
      <w:bookmarkStart w:id="23" w:name="4.1.6无障碍小汽车上/落客区应符合下列规定："/>
      <w:bookmarkEnd w:id="23"/>
      <w:bookmarkStart w:id="24" w:name="4.1.6无障碍小汽车上/落客区应符合下列规定："/>
      <w:bookmarkEnd w:id="24"/>
      <w:r>
        <w:rPr>
          <w:sz w:val="21"/>
        </w:rPr>
        <w:t xml:space="preserve">无障碍小汽车上/落客区应符合下列规定： </w:t>
      </w:r>
      <w:r>
        <w:rPr>
          <w:b/>
          <w:sz w:val="21"/>
        </w:rPr>
        <w:t>1</w:t>
      </w:r>
      <w:r>
        <w:rPr>
          <w:b/>
          <w:sz w:val="21"/>
        </w:rPr>
        <w:tab/>
      </w:r>
      <w:r>
        <w:rPr>
          <w:sz w:val="21"/>
        </w:rPr>
        <w:t>尺寸不应小于</w:t>
      </w:r>
      <w:r>
        <w:rPr>
          <w:spacing w:val="-51"/>
          <w:sz w:val="21"/>
        </w:rPr>
        <w:t xml:space="preserve"> </w:t>
      </w:r>
      <w:r>
        <w:rPr>
          <w:sz w:val="21"/>
        </w:rPr>
        <w:t>2.40</w:t>
      </w:r>
      <w:r>
        <w:rPr>
          <w:rFonts w:hint="eastAsia" w:ascii="仿宋" w:hAnsi="仿宋" w:eastAsia="仿宋"/>
          <w:sz w:val="21"/>
        </w:rPr>
        <w:t>m</w:t>
      </w:r>
      <w:r>
        <w:rPr>
          <w:sz w:val="21"/>
        </w:rPr>
        <w:t>×7.00</w:t>
      </w:r>
      <w:r>
        <w:rPr>
          <w:rFonts w:hint="eastAsia" w:ascii="仿宋" w:hAnsi="仿宋" w:eastAsia="仿宋"/>
          <w:sz w:val="21"/>
        </w:rPr>
        <w:t>m</w:t>
      </w:r>
      <w:r>
        <w:rPr>
          <w:sz w:val="21"/>
        </w:rPr>
        <w:t>；</w:t>
      </w:r>
    </w:p>
    <w:p>
      <w:pPr>
        <w:pStyle w:val="5"/>
        <w:tabs>
          <w:tab w:val="left" w:pos="1052"/>
        </w:tabs>
        <w:spacing w:line="269" w:lineRule="exact"/>
        <w:ind w:left="637"/>
      </w:pPr>
      <w:r>
        <w:rPr>
          <w:b/>
        </w:rPr>
        <w:t>2</w:t>
      </w:r>
      <w:r>
        <w:rPr>
          <w:b/>
        </w:rPr>
        <w:tab/>
      </w:r>
      <w:r>
        <w:rPr>
          <w:spacing w:val="-3"/>
        </w:rPr>
        <w:t xml:space="preserve">与人行通道存在高差处，应至少设置 </w:t>
      </w:r>
      <w:r>
        <w:t>1</w:t>
      </w:r>
      <w:r>
        <w:rPr>
          <w:spacing w:val="-8"/>
        </w:rPr>
        <w:t xml:space="preserve"> 个缘石坡道，且应与无障碍通道衔接。</w:t>
      </w:r>
    </w:p>
    <w:p>
      <w:pPr>
        <w:pStyle w:val="5"/>
        <w:spacing w:before="6"/>
        <w:rPr>
          <w:sz w:val="15"/>
        </w:rPr>
      </w:pPr>
    </w:p>
    <w:p>
      <w:pPr>
        <w:pStyle w:val="5"/>
        <w:ind w:right="99"/>
        <w:jc w:val="center"/>
        <w:rPr>
          <w:rFonts w:hint="eastAsia" w:ascii="黑体" w:eastAsia="黑体"/>
        </w:rPr>
      </w:pPr>
      <w:bookmarkStart w:id="25" w:name="III缘石坡道"/>
      <w:bookmarkEnd w:id="25"/>
      <w:r>
        <w:rPr>
          <w:rFonts w:hint="eastAsia" w:ascii="黑体" w:eastAsia="黑体"/>
        </w:rPr>
        <w:t>III 缘石坡道</w:t>
      </w:r>
    </w:p>
    <w:p>
      <w:pPr>
        <w:pStyle w:val="5"/>
        <w:spacing w:before="7"/>
        <w:rPr>
          <w:rFonts w:ascii="黑体"/>
          <w:sz w:val="15"/>
        </w:rPr>
      </w:pPr>
    </w:p>
    <w:p>
      <w:pPr>
        <w:pStyle w:val="12"/>
        <w:numPr>
          <w:ilvl w:val="2"/>
          <w:numId w:val="6"/>
        </w:numPr>
        <w:tabs>
          <w:tab w:val="left" w:pos="1053"/>
        </w:tabs>
        <w:spacing w:before="0" w:after="0" w:line="240" w:lineRule="auto"/>
        <w:ind w:left="1052" w:right="0" w:hanging="841"/>
        <w:jc w:val="both"/>
        <w:rPr>
          <w:sz w:val="21"/>
        </w:rPr>
      </w:pPr>
      <w:bookmarkStart w:id="26" w:name="4.1.7缘石坡道应符合下列规定："/>
      <w:bookmarkEnd w:id="26"/>
      <w:bookmarkStart w:id="27" w:name="4.1.7缘石坡道应符合下列规定："/>
      <w:bookmarkEnd w:id="27"/>
      <w:r>
        <w:rPr>
          <w:sz w:val="21"/>
        </w:rPr>
        <w:t>缘石坡道应符合下列规定：</w:t>
      </w:r>
    </w:p>
    <w:p>
      <w:pPr>
        <w:pStyle w:val="5"/>
        <w:spacing w:before="7"/>
        <w:rPr>
          <w:sz w:val="15"/>
        </w:rPr>
      </w:pPr>
    </w:p>
    <w:p>
      <w:pPr>
        <w:pStyle w:val="12"/>
        <w:numPr>
          <w:ilvl w:val="0"/>
          <w:numId w:val="8"/>
        </w:numPr>
        <w:tabs>
          <w:tab w:val="left" w:pos="1052"/>
          <w:tab w:val="left" w:pos="1053"/>
        </w:tabs>
        <w:spacing w:before="0" w:after="0" w:line="240" w:lineRule="auto"/>
        <w:ind w:left="1052" w:right="0" w:hanging="416"/>
        <w:jc w:val="left"/>
        <w:rPr>
          <w:sz w:val="21"/>
        </w:rPr>
      </w:pPr>
      <w:r>
        <w:rPr>
          <w:sz w:val="21"/>
        </w:rPr>
        <w:t>坡面应平整、防滑；</w:t>
      </w:r>
    </w:p>
    <w:p>
      <w:pPr>
        <w:pStyle w:val="5"/>
        <w:spacing w:before="6"/>
        <w:rPr>
          <w:sz w:val="15"/>
        </w:rPr>
      </w:pPr>
    </w:p>
    <w:p>
      <w:pPr>
        <w:pStyle w:val="12"/>
        <w:numPr>
          <w:ilvl w:val="0"/>
          <w:numId w:val="8"/>
        </w:numPr>
        <w:tabs>
          <w:tab w:val="left" w:pos="1052"/>
          <w:tab w:val="left" w:pos="1053"/>
        </w:tabs>
        <w:spacing w:before="1" w:after="0" w:line="240" w:lineRule="auto"/>
        <w:ind w:left="1052" w:right="0" w:hanging="416"/>
        <w:jc w:val="left"/>
        <w:rPr>
          <w:sz w:val="21"/>
        </w:rPr>
      </w:pPr>
      <w:r>
        <w:rPr>
          <w:sz w:val="21"/>
        </w:rPr>
        <w:t>坡口与车行道之间应无高差；</w:t>
      </w:r>
    </w:p>
    <w:p>
      <w:pPr>
        <w:pStyle w:val="5"/>
        <w:spacing w:before="6"/>
        <w:rPr>
          <w:sz w:val="15"/>
        </w:rPr>
      </w:pPr>
    </w:p>
    <w:p>
      <w:pPr>
        <w:pStyle w:val="12"/>
        <w:numPr>
          <w:ilvl w:val="0"/>
          <w:numId w:val="8"/>
        </w:numPr>
        <w:tabs>
          <w:tab w:val="left" w:pos="1052"/>
          <w:tab w:val="left" w:pos="1053"/>
        </w:tabs>
        <w:spacing w:before="0" w:after="0" w:line="240" w:lineRule="auto"/>
        <w:ind w:left="1052" w:right="0" w:hanging="416"/>
        <w:jc w:val="left"/>
        <w:rPr>
          <w:sz w:val="21"/>
        </w:rPr>
      </w:pPr>
      <w:r>
        <w:rPr>
          <w:spacing w:val="-6"/>
          <w:sz w:val="21"/>
        </w:rPr>
        <w:t xml:space="preserve">距车行道上口边缘 </w:t>
      </w:r>
      <w:r>
        <w:rPr>
          <w:sz w:val="21"/>
        </w:rPr>
        <w:t>250</w:t>
      </w:r>
      <w:r>
        <w:rPr>
          <w:rFonts w:hint="eastAsia" w:ascii="仿宋" w:eastAsia="仿宋"/>
          <w:sz w:val="21"/>
        </w:rPr>
        <w:t>mm</w:t>
      </w:r>
      <w:r>
        <w:rPr>
          <w:sz w:val="21"/>
        </w:rPr>
        <w:t>～500</w:t>
      </w:r>
      <w:r>
        <w:rPr>
          <w:rFonts w:hint="eastAsia" w:ascii="仿宋" w:eastAsia="仿宋"/>
          <w:sz w:val="21"/>
        </w:rPr>
        <w:t>mm</w:t>
      </w:r>
      <w:r>
        <w:rPr>
          <w:rFonts w:hint="eastAsia" w:ascii="仿宋" w:eastAsia="仿宋"/>
          <w:spacing w:val="-52"/>
          <w:sz w:val="21"/>
        </w:rPr>
        <w:t xml:space="preserve"> </w:t>
      </w:r>
      <w:r>
        <w:rPr>
          <w:sz w:val="21"/>
        </w:rPr>
        <w:t>处应设置提示盲道，提示盲道的长度应与缘石坡道的宽度相对</w:t>
      </w:r>
    </w:p>
    <w:p>
      <w:pPr>
        <w:pStyle w:val="5"/>
        <w:spacing w:before="7"/>
        <w:rPr>
          <w:sz w:val="15"/>
        </w:rPr>
      </w:pPr>
    </w:p>
    <w:p>
      <w:pPr>
        <w:pStyle w:val="5"/>
        <w:ind w:left="212"/>
      </w:pPr>
      <w:r>
        <w:t>应；</w:t>
      </w:r>
    </w:p>
    <w:p>
      <w:pPr>
        <w:pStyle w:val="5"/>
        <w:spacing w:before="7"/>
        <w:rPr>
          <w:sz w:val="15"/>
        </w:rPr>
      </w:pPr>
    </w:p>
    <w:p>
      <w:pPr>
        <w:pStyle w:val="12"/>
        <w:numPr>
          <w:ilvl w:val="0"/>
          <w:numId w:val="8"/>
        </w:numPr>
        <w:tabs>
          <w:tab w:val="left" w:pos="1052"/>
          <w:tab w:val="left" w:pos="1053"/>
        </w:tabs>
        <w:spacing w:before="0" w:after="0" w:line="240" w:lineRule="auto"/>
        <w:ind w:left="1052" w:right="0" w:hanging="416"/>
        <w:jc w:val="left"/>
        <w:rPr>
          <w:sz w:val="21"/>
        </w:rPr>
      </w:pPr>
      <w:r>
        <w:rPr>
          <w:spacing w:val="-2"/>
          <w:sz w:val="21"/>
        </w:rPr>
        <w:t xml:space="preserve">顶端处应留有过渡空间，过渡空间沿坡口一边不应小于坡口宽度，另一边长度不应小于 </w:t>
      </w:r>
      <w:r>
        <w:rPr>
          <w:sz w:val="21"/>
        </w:rPr>
        <w:t>900</w:t>
      </w:r>
      <w:r>
        <w:rPr>
          <w:rFonts w:hint="eastAsia" w:ascii="仿宋" w:eastAsia="仿宋"/>
          <w:sz w:val="21"/>
        </w:rPr>
        <w:t>mm</w:t>
      </w:r>
      <w:r>
        <w:rPr>
          <w:sz w:val="21"/>
        </w:rPr>
        <w:t>；</w:t>
      </w:r>
    </w:p>
    <w:p>
      <w:pPr>
        <w:spacing w:after="0" w:line="240" w:lineRule="auto"/>
        <w:jc w:val="left"/>
        <w:rPr>
          <w:sz w:val="21"/>
        </w:rPr>
        <w:sectPr>
          <w:pgSz w:w="11910" w:h="16840"/>
          <w:pgMar w:top="1580" w:right="820" w:bottom="1280" w:left="920" w:header="0" w:footer="1095" w:gutter="0"/>
          <w:cols w:space="720" w:num="1"/>
        </w:sectPr>
      </w:pPr>
    </w:p>
    <w:p>
      <w:pPr>
        <w:pStyle w:val="12"/>
        <w:numPr>
          <w:ilvl w:val="0"/>
          <w:numId w:val="8"/>
        </w:numPr>
        <w:tabs>
          <w:tab w:val="left" w:pos="1052"/>
          <w:tab w:val="left" w:pos="1053"/>
        </w:tabs>
        <w:spacing w:before="60" w:after="0" w:line="240" w:lineRule="auto"/>
        <w:ind w:left="1052" w:right="0" w:hanging="416"/>
        <w:jc w:val="left"/>
        <w:rPr>
          <w:sz w:val="21"/>
        </w:rPr>
      </w:pPr>
      <w:r>
        <w:rPr>
          <w:spacing w:val="-14"/>
          <w:w w:val="99"/>
          <w:sz w:val="21"/>
        </w:rPr>
        <w:t>上下坡处不应设置滤水箅子；设置阻车桩时，阻车桩的净间距不应小于</w:t>
      </w:r>
      <w:r>
        <w:rPr>
          <w:spacing w:val="-62"/>
          <w:sz w:val="21"/>
        </w:rPr>
        <w:t xml:space="preserve"> </w:t>
      </w:r>
      <w:r>
        <w:rPr>
          <w:spacing w:val="1"/>
          <w:w w:val="99"/>
          <w:sz w:val="21"/>
        </w:rPr>
        <w:t>90</w:t>
      </w:r>
      <w:r>
        <w:rPr>
          <w:spacing w:val="-2"/>
          <w:w w:val="99"/>
          <w:sz w:val="21"/>
        </w:rPr>
        <w:t>0</w:t>
      </w:r>
      <w:r>
        <w:rPr>
          <w:rFonts w:hint="eastAsia" w:ascii="仿宋" w:eastAsia="仿宋"/>
          <w:spacing w:val="1"/>
          <w:w w:val="99"/>
          <w:sz w:val="21"/>
        </w:rPr>
        <w:t>m</w:t>
      </w:r>
      <w:r>
        <w:rPr>
          <w:rFonts w:hint="eastAsia" w:ascii="仿宋" w:eastAsia="仿宋"/>
          <w:spacing w:val="-2"/>
          <w:w w:val="99"/>
          <w:sz w:val="21"/>
        </w:rPr>
        <w:t>m</w:t>
      </w:r>
      <w:r>
        <w:rPr>
          <w:spacing w:val="-34"/>
          <w:w w:val="99"/>
          <w:sz w:val="21"/>
        </w:rPr>
        <w:t>，宜为</w:t>
      </w:r>
      <w:r>
        <w:rPr>
          <w:spacing w:val="-62"/>
          <w:sz w:val="21"/>
        </w:rPr>
        <w:t xml:space="preserve"> </w:t>
      </w:r>
      <w:r>
        <w:rPr>
          <w:rFonts w:hint="eastAsia" w:ascii="仿宋" w:eastAsia="仿宋"/>
          <w:spacing w:val="1"/>
          <w:w w:val="99"/>
          <w:sz w:val="21"/>
        </w:rPr>
        <w:t>1.</w:t>
      </w:r>
      <w:r>
        <w:rPr>
          <w:rFonts w:hint="eastAsia" w:ascii="仿宋" w:eastAsia="仿宋"/>
          <w:spacing w:val="-2"/>
          <w:w w:val="99"/>
          <w:sz w:val="21"/>
        </w:rPr>
        <w:t>2</w:t>
      </w:r>
      <w:r>
        <w:rPr>
          <w:rFonts w:hint="eastAsia" w:ascii="仿宋" w:eastAsia="仿宋"/>
          <w:spacing w:val="1"/>
          <w:w w:val="99"/>
          <w:sz w:val="21"/>
        </w:rPr>
        <w:t>0</w:t>
      </w:r>
      <w:r>
        <w:rPr>
          <w:rFonts w:hint="eastAsia" w:ascii="仿宋" w:eastAsia="仿宋"/>
          <w:spacing w:val="-2"/>
          <w:w w:val="99"/>
          <w:sz w:val="21"/>
        </w:rPr>
        <w:t>m</w:t>
      </w:r>
      <w:r>
        <w:rPr>
          <w:spacing w:val="2"/>
          <w:w w:val="99"/>
          <w:sz w:val="21"/>
        </w:rPr>
        <w:t>～</w:t>
      </w:r>
      <w:r>
        <w:rPr>
          <w:rFonts w:hint="eastAsia" w:ascii="仿宋" w:eastAsia="仿宋"/>
          <w:spacing w:val="1"/>
          <w:w w:val="99"/>
          <w:sz w:val="21"/>
        </w:rPr>
        <w:t>1.</w:t>
      </w:r>
      <w:r>
        <w:rPr>
          <w:rFonts w:hint="eastAsia" w:ascii="仿宋" w:eastAsia="仿宋"/>
          <w:spacing w:val="-2"/>
          <w:w w:val="99"/>
          <w:sz w:val="21"/>
        </w:rPr>
        <w:t>5</w:t>
      </w:r>
      <w:r>
        <w:rPr>
          <w:rFonts w:hint="eastAsia" w:ascii="仿宋" w:eastAsia="仿宋"/>
          <w:spacing w:val="1"/>
          <w:w w:val="99"/>
          <w:sz w:val="21"/>
        </w:rPr>
        <w:t>0m</w:t>
      </w:r>
      <w:r>
        <w:rPr>
          <w:w w:val="99"/>
          <w:sz w:val="21"/>
        </w:rPr>
        <w:t>。</w:t>
      </w:r>
    </w:p>
    <w:p>
      <w:pPr>
        <w:pStyle w:val="5"/>
        <w:spacing w:before="6"/>
        <w:rPr>
          <w:sz w:val="15"/>
        </w:rPr>
      </w:pPr>
    </w:p>
    <w:p>
      <w:pPr>
        <w:pStyle w:val="12"/>
        <w:numPr>
          <w:ilvl w:val="2"/>
          <w:numId w:val="6"/>
        </w:numPr>
        <w:tabs>
          <w:tab w:val="left" w:pos="1053"/>
        </w:tabs>
        <w:spacing w:before="1" w:after="0" w:line="240" w:lineRule="auto"/>
        <w:ind w:left="1052" w:right="0" w:hanging="841"/>
        <w:jc w:val="both"/>
        <w:rPr>
          <w:sz w:val="21"/>
        </w:rPr>
      </w:pPr>
      <w:bookmarkStart w:id="28" w:name="4.1.8缘石坡道的坡度不应大于1:20。"/>
      <w:bookmarkEnd w:id="28"/>
      <w:bookmarkStart w:id="29" w:name="4.1.8缘石坡道的坡度不应大于1:20。"/>
      <w:bookmarkEnd w:id="29"/>
      <w:r>
        <w:rPr>
          <w:spacing w:val="-5"/>
          <w:sz w:val="21"/>
        </w:rPr>
        <w:t xml:space="preserve">缘石坡道的坡度不应大于 </w:t>
      </w:r>
      <w:r>
        <w:rPr>
          <w:sz w:val="21"/>
        </w:rPr>
        <w:t>1:20。</w:t>
      </w:r>
    </w:p>
    <w:p>
      <w:pPr>
        <w:pStyle w:val="5"/>
        <w:spacing w:before="6"/>
        <w:rPr>
          <w:sz w:val="15"/>
        </w:rPr>
      </w:pPr>
    </w:p>
    <w:p>
      <w:pPr>
        <w:pStyle w:val="12"/>
        <w:numPr>
          <w:ilvl w:val="2"/>
          <w:numId w:val="6"/>
        </w:numPr>
        <w:tabs>
          <w:tab w:val="left" w:pos="1053"/>
        </w:tabs>
        <w:spacing w:before="0" w:after="0" w:line="240" w:lineRule="auto"/>
        <w:ind w:left="1052" w:right="0" w:hanging="841"/>
        <w:jc w:val="both"/>
        <w:rPr>
          <w:sz w:val="21"/>
        </w:rPr>
      </w:pPr>
      <w:bookmarkStart w:id="30" w:name="4.1.9缘石坡道的宽度应符合下列规定："/>
      <w:bookmarkEnd w:id="30"/>
      <w:bookmarkStart w:id="31" w:name="4.1.9缘石坡道的宽度应符合下列规定："/>
      <w:bookmarkEnd w:id="31"/>
      <w:r>
        <w:rPr>
          <w:sz w:val="21"/>
        </w:rPr>
        <w:t>缘石坡道的宽度应符合下列规定：</w:t>
      </w:r>
    </w:p>
    <w:p>
      <w:pPr>
        <w:pStyle w:val="5"/>
        <w:spacing w:before="7"/>
        <w:rPr>
          <w:sz w:val="15"/>
        </w:rPr>
      </w:pPr>
    </w:p>
    <w:p>
      <w:pPr>
        <w:pStyle w:val="12"/>
        <w:numPr>
          <w:ilvl w:val="0"/>
          <w:numId w:val="9"/>
        </w:numPr>
        <w:tabs>
          <w:tab w:val="left" w:pos="1052"/>
          <w:tab w:val="left" w:pos="1053"/>
        </w:tabs>
        <w:spacing w:before="0" w:after="0" w:line="240" w:lineRule="auto"/>
        <w:ind w:left="1052" w:right="0" w:hanging="416"/>
        <w:jc w:val="left"/>
        <w:rPr>
          <w:sz w:val="21"/>
        </w:rPr>
      </w:pPr>
      <w:r>
        <w:rPr>
          <w:sz w:val="21"/>
        </w:rPr>
        <w:t>全宽式单面坡缘石坡道的坡道宽度应与人行道宽度相同；</w:t>
      </w:r>
    </w:p>
    <w:p>
      <w:pPr>
        <w:pStyle w:val="5"/>
        <w:spacing w:before="7"/>
        <w:rPr>
          <w:sz w:val="15"/>
        </w:rPr>
      </w:pPr>
    </w:p>
    <w:p>
      <w:pPr>
        <w:pStyle w:val="12"/>
        <w:numPr>
          <w:ilvl w:val="0"/>
          <w:numId w:val="9"/>
        </w:numPr>
        <w:tabs>
          <w:tab w:val="left" w:pos="1052"/>
          <w:tab w:val="left" w:pos="1053"/>
        </w:tabs>
        <w:spacing w:before="0" w:after="0" w:line="240" w:lineRule="auto"/>
        <w:ind w:left="1052" w:right="0" w:hanging="416"/>
        <w:jc w:val="left"/>
        <w:rPr>
          <w:sz w:val="21"/>
        </w:rPr>
      </w:pPr>
      <w:r>
        <w:rPr>
          <w:spacing w:val="-3"/>
          <w:sz w:val="21"/>
        </w:rPr>
        <w:t xml:space="preserve">三面坡缘石坡道的正面坡道宽度不应小于 </w:t>
      </w:r>
      <w:r>
        <w:rPr>
          <w:sz w:val="21"/>
        </w:rPr>
        <w:t>1.20</w:t>
      </w:r>
      <w:r>
        <w:rPr>
          <w:rFonts w:hint="eastAsia" w:ascii="仿宋" w:eastAsia="仿宋"/>
          <w:sz w:val="21"/>
        </w:rPr>
        <w:t>m</w:t>
      </w:r>
      <w:r>
        <w:rPr>
          <w:sz w:val="21"/>
        </w:rPr>
        <w:t>；</w:t>
      </w:r>
    </w:p>
    <w:p>
      <w:pPr>
        <w:pStyle w:val="5"/>
        <w:spacing w:before="6"/>
        <w:rPr>
          <w:sz w:val="15"/>
        </w:rPr>
      </w:pPr>
    </w:p>
    <w:p>
      <w:pPr>
        <w:pStyle w:val="12"/>
        <w:numPr>
          <w:ilvl w:val="0"/>
          <w:numId w:val="9"/>
        </w:numPr>
        <w:tabs>
          <w:tab w:val="left" w:pos="1052"/>
          <w:tab w:val="left" w:pos="1053"/>
        </w:tabs>
        <w:spacing w:before="1" w:after="0" w:line="240" w:lineRule="auto"/>
        <w:ind w:left="1052" w:right="0" w:hanging="416"/>
        <w:jc w:val="left"/>
        <w:rPr>
          <w:sz w:val="21"/>
        </w:rPr>
      </w:pPr>
      <w:r>
        <w:rPr>
          <w:spacing w:val="-3"/>
          <w:sz w:val="21"/>
        </w:rPr>
        <w:t xml:space="preserve">其他形式的缘石坡道的坡口宽度均不应小于 </w:t>
      </w:r>
      <w:r>
        <w:rPr>
          <w:sz w:val="21"/>
        </w:rPr>
        <w:t>1.50</w:t>
      </w:r>
      <w:r>
        <w:rPr>
          <w:rFonts w:hint="eastAsia" w:ascii="仿宋" w:eastAsia="仿宋"/>
          <w:sz w:val="21"/>
        </w:rPr>
        <w:t>m</w:t>
      </w:r>
      <w:r>
        <w:rPr>
          <w:sz w:val="21"/>
        </w:rPr>
        <w:t>。</w:t>
      </w:r>
    </w:p>
    <w:p>
      <w:pPr>
        <w:pStyle w:val="5"/>
        <w:spacing w:before="6"/>
        <w:rPr>
          <w:sz w:val="15"/>
        </w:rPr>
      </w:pPr>
    </w:p>
    <w:p>
      <w:pPr>
        <w:pStyle w:val="5"/>
        <w:ind w:right="102"/>
        <w:jc w:val="center"/>
        <w:rPr>
          <w:rFonts w:hint="eastAsia" w:ascii="黑体" w:eastAsia="黑体"/>
        </w:rPr>
      </w:pPr>
      <w:bookmarkStart w:id="32" w:name="IV盲道"/>
      <w:bookmarkEnd w:id="32"/>
      <w:r>
        <w:rPr>
          <w:rFonts w:hint="eastAsia" w:ascii="黑体" w:eastAsia="黑体"/>
        </w:rPr>
        <w:t>IV 盲道</w:t>
      </w:r>
    </w:p>
    <w:p>
      <w:pPr>
        <w:pStyle w:val="5"/>
        <w:spacing w:before="7"/>
        <w:rPr>
          <w:rFonts w:ascii="黑体"/>
          <w:sz w:val="15"/>
        </w:rPr>
      </w:pPr>
    </w:p>
    <w:p>
      <w:pPr>
        <w:pStyle w:val="12"/>
        <w:numPr>
          <w:ilvl w:val="2"/>
          <w:numId w:val="6"/>
        </w:numPr>
        <w:tabs>
          <w:tab w:val="left" w:pos="1053"/>
        </w:tabs>
        <w:spacing w:before="0" w:after="0" w:line="240" w:lineRule="auto"/>
        <w:ind w:left="1052" w:right="0" w:hanging="841"/>
        <w:jc w:val="both"/>
        <w:rPr>
          <w:sz w:val="21"/>
        </w:rPr>
      </w:pPr>
      <w:bookmarkStart w:id="33" w:name="4.1.10盲道应符合下列规定："/>
      <w:bookmarkEnd w:id="33"/>
      <w:bookmarkStart w:id="34" w:name="4.1.10盲道应符合下列规定："/>
      <w:bookmarkEnd w:id="34"/>
      <w:r>
        <w:rPr>
          <w:sz w:val="21"/>
        </w:rPr>
        <w:t>盲道应符合下列规定：</w:t>
      </w:r>
    </w:p>
    <w:p>
      <w:pPr>
        <w:pStyle w:val="5"/>
        <w:spacing w:before="7"/>
        <w:rPr>
          <w:sz w:val="15"/>
        </w:rPr>
      </w:pPr>
    </w:p>
    <w:p>
      <w:pPr>
        <w:pStyle w:val="12"/>
        <w:numPr>
          <w:ilvl w:val="3"/>
          <w:numId w:val="6"/>
        </w:numPr>
        <w:tabs>
          <w:tab w:val="left" w:pos="1052"/>
          <w:tab w:val="left" w:pos="1053"/>
        </w:tabs>
        <w:spacing w:before="0" w:after="0" w:line="240" w:lineRule="auto"/>
        <w:ind w:left="1052" w:right="0" w:hanging="416"/>
        <w:jc w:val="left"/>
        <w:rPr>
          <w:sz w:val="21"/>
        </w:rPr>
      </w:pPr>
      <w:r>
        <w:rPr>
          <w:sz w:val="21"/>
        </w:rPr>
        <w:t>按使用功能可分为行进盲道和提示盲道；</w:t>
      </w:r>
    </w:p>
    <w:p>
      <w:pPr>
        <w:pStyle w:val="5"/>
        <w:spacing w:before="6"/>
        <w:rPr>
          <w:sz w:val="15"/>
        </w:rPr>
      </w:pPr>
    </w:p>
    <w:p>
      <w:pPr>
        <w:pStyle w:val="12"/>
        <w:numPr>
          <w:ilvl w:val="3"/>
          <w:numId w:val="6"/>
        </w:numPr>
        <w:tabs>
          <w:tab w:val="left" w:pos="1052"/>
          <w:tab w:val="left" w:pos="1053"/>
        </w:tabs>
        <w:spacing w:before="1" w:after="0" w:line="240" w:lineRule="auto"/>
        <w:ind w:left="1052" w:right="0" w:hanging="416"/>
        <w:jc w:val="left"/>
        <w:rPr>
          <w:sz w:val="21"/>
        </w:rPr>
      </w:pPr>
      <w:r>
        <w:rPr>
          <w:spacing w:val="-7"/>
          <w:sz w:val="21"/>
        </w:rPr>
        <w:t xml:space="preserve">纹路应凸出路面 </w:t>
      </w:r>
      <w:r>
        <w:rPr>
          <w:sz w:val="21"/>
        </w:rPr>
        <w:t>4</w:t>
      </w:r>
      <w:r>
        <w:rPr>
          <w:rFonts w:hint="eastAsia" w:ascii="仿宋" w:eastAsia="仿宋"/>
          <w:sz w:val="21"/>
        </w:rPr>
        <w:t>mm</w:t>
      </w:r>
      <w:r>
        <w:rPr>
          <w:rFonts w:hint="eastAsia" w:ascii="仿宋" w:eastAsia="仿宋"/>
          <w:spacing w:val="-52"/>
          <w:sz w:val="21"/>
        </w:rPr>
        <w:t xml:space="preserve"> </w:t>
      </w:r>
      <w:r>
        <w:rPr>
          <w:sz w:val="21"/>
        </w:rPr>
        <w:t>高；</w:t>
      </w:r>
    </w:p>
    <w:p>
      <w:pPr>
        <w:pStyle w:val="5"/>
        <w:spacing w:before="6"/>
        <w:rPr>
          <w:sz w:val="15"/>
        </w:rPr>
      </w:pPr>
    </w:p>
    <w:p>
      <w:pPr>
        <w:pStyle w:val="12"/>
        <w:numPr>
          <w:ilvl w:val="3"/>
          <w:numId w:val="6"/>
        </w:numPr>
        <w:tabs>
          <w:tab w:val="left" w:pos="1052"/>
          <w:tab w:val="left" w:pos="1053"/>
        </w:tabs>
        <w:spacing w:before="0" w:after="0" w:line="240" w:lineRule="auto"/>
        <w:ind w:left="1052" w:right="0" w:hanging="416"/>
        <w:jc w:val="left"/>
        <w:rPr>
          <w:sz w:val="21"/>
        </w:rPr>
      </w:pPr>
      <w:r>
        <w:rPr>
          <w:sz w:val="21"/>
        </w:rPr>
        <w:t>应避开障碍物，其他设施不得占用盲道；</w:t>
      </w:r>
    </w:p>
    <w:p>
      <w:pPr>
        <w:pStyle w:val="5"/>
        <w:spacing w:before="7"/>
        <w:rPr>
          <w:sz w:val="15"/>
        </w:rPr>
      </w:pPr>
    </w:p>
    <w:p>
      <w:pPr>
        <w:pStyle w:val="12"/>
        <w:numPr>
          <w:ilvl w:val="3"/>
          <w:numId w:val="6"/>
        </w:numPr>
        <w:tabs>
          <w:tab w:val="left" w:pos="1052"/>
          <w:tab w:val="left" w:pos="1053"/>
        </w:tabs>
        <w:spacing w:before="0" w:after="0" w:line="240" w:lineRule="auto"/>
        <w:ind w:left="1052" w:right="0" w:hanging="416"/>
        <w:jc w:val="left"/>
        <w:rPr>
          <w:sz w:val="21"/>
        </w:rPr>
      </w:pPr>
      <w:r>
        <w:rPr>
          <w:sz w:val="21"/>
        </w:rPr>
        <w:t>应与相邻的人行道铺面的颜色或材质形成差异,并与周围景观相协调；</w:t>
      </w:r>
    </w:p>
    <w:p>
      <w:pPr>
        <w:pStyle w:val="5"/>
        <w:spacing w:before="7"/>
        <w:rPr>
          <w:sz w:val="15"/>
        </w:rPr>
      </w:pPr>
    </w:p>
    <w:p>
      <w:pPr>
        <w:pStyle w:val="12"/>
        <w:numPr>
          <w:ilvl w:val="3"/>
          <w:numId w:val="6"/>
        </w:numPr>
        <w:tabs>
          <w:tab w:val="left" w:pos="1052"/>
          <w:tab w:val="left" w:pos="1053"/>
        </w:tabs>
        <w:spacing w:before="0" w:after="0" w:line="240" w:lineRule="auto"/>
        <w:ind w:left="1052" w:right="0" w:hanging="416"/>
        <w:jc w:val="left"/>
        <w:rPr>
          <w:sz w:val="21"/>
        </w:rPr>
      </w:pPr>
      <w:r>
        <w:rPr>
          <w:w w:val="95"/>
          <w:sz w:val="21"/>
        </w:rPr>
        <w:t>型材表面应防滑。</w:t>
      </w:r>
    </w:p>
    <w:p>
      <w:pPr>
        <w:pStyle w:val="5"/>
        <w:spacing w:before="6"/>
        <w:rPr>
          <w:sz w:val="15"/>
        </w:rPr>
      </w:pPr>
    </w:p>
    <w:p>
      <w:pPr>
        <w:pStyle w:val="12"/>
        <w:numPr>
          <w:ilvl w:val="2"/>
          <w:numId w:val="6"/>
        </w:numPr>
        <w:tabs>
          <w:tab w:val="left" w:pos="1053"/>
        </w:tabs>
        <w:spacing w:before="1" w:after="0" w:line="240" w:lineRule="auto"/>
        <w:ind w:left="1052" w:right="0" w:hanging="841"/>
        <w:jc w:val="both"/>
        <w:rPr>
          <w:sz w:val="21"/>
        </w:rPr>
      </w:pPr>
      <w:bookmarkStart w:id="35" w:name="4.1.11行进盲道应符合下列规定："/>
      <w:bookmarkEnd w:id="35"/>
      <w:bookmarkStart w:id="36" w:name="4.1.11行进盲道应符合下列规定："/>
      <w:bookmarkEnd w:id="36"/>
      <w:r>
        <w:rPr>
          <w:w w:val="95"/>
          <w:sz w:val="21"/>
        </w:rPr>
        <w:t>行进盲道应符合下列规定：</w:t>
      </w:r>
    </w:p>
    <w:p>
      <w:pPr>
        <w:pStyle w:val="5"/>
        <w:spacing w:before="6"/>
        <w:rPr>
          <w:sz w:val="15"/>
        </w:rPr>
      </w:pPr>
    </w:p>
    <w:p>
      <w:pPr>
        <w:pStyle w:val="5"/>
        <w:spacing w:line="417" w:lineRule="auto"/>
        <w:ind w:left="637" w:right="4282"/>
        <w:jc w:val="both"/>
      </w:pPr>
      <w:r>
        <w:rPr>
          <w:b/>
        </w:rPr>
        <w:t>1</w:t>
      </w:r>
      <w:r>
        <w:rPr>
          <w:b/>
          <w:spacing w:val="86"/>
        </w:rPr>
        <w:t xml:space="preserve"> </w:t>
      </w:r>
      <w:r>
        <w:t xml:space="preserve">应沿人行道走向连续铺设，宜顺直短捷、减少迂回； </w:t>
      </w:r>
      <w:r>
        <w:rPr>
          <w:b/>
        </w:rPr>
        <w:t>2</w:t>
      </w:r>
      <w:r>
        <w:rPr>
          <w:b/>
          <w:spacing w:val="98"/>
        </w:rPr>
        <w:t xml:space="preserve"> </w:t>
      </w:r>
      <w:r>
        <w:rPr>
          <w:spacing w:val="-11"/>
        </w:rPr>
        <w:t xml:space="preserve">宽度宜为 </w:t>
      </w:r>
      <w:r>
        <w:t>250</w:t>
      </w:r>
      <w:r>
        <w:rPr>
          <w:rFonts w:hint="eastAsia" w:ascii="仿宋" w:eastAsia="仿宋"/>
        </w:rPr>
        <w:t>mm</w:t>
      </w:r>
      <w:r>
        <w:t>～500</w:t>
      </w:r>
      <w:r>
        <w:rPr>
          <w:rFonts w:hint="eastAsia" w:ascii="仿宋" w:eastAsia="仿宋"/>
        </w:rPr>
        <w:t>mm</w:t>
      </w:r>
      <w:r>
        <w:t>；</w:t>
      </w:r>
    </w:p>
    <w:p>
      <w:pPr>
        <w:pStyle w:val="12"/>
        <w:numPr>
          <w:ilvl w:val="0"/>
          <w:numId w:val="10"/>
        </w:numPr>
        <w:tabs>
          <w:tab w:val="left" w:pos="1053"/>
        </w:tabs>
        <w:spacing w:before="0" w:after="0" w:line="269" w:lineRule="exact"/>
        <w:ind w:left="1052" w:right="0" w:hanging="416"/>
        <w:jc w:val="both"/>
        <w:rPr>
          <w:sz w:val="21"/>
        </w:rPr>
      </w:pPr>
      <w:r>
        <w:rPr>
          <w:spacing w:val="-4"/>
          <w:sz w:val="21"/>
        </w:rPr>
        <w:t xml:space="preserve">宜在距围墙、花台、绿化带 </w:t>
      </w:r>
      <w:r>
        <w:rPr>
          <w:sz w:val="21"/>
        </w:rPr>
        <w:t>250</w:t>
      </w:r>
      <w:r>
        <w:rPr>
          <w:rFonts w:hint="eastAsia" w:ascii="仿宋" w:eastAsia="仿宋"/>
          <w:sz w:val="21"/>
        </w:rPr>
        <w:t>mm</w:t>
      </w:r>
      <w:r>
        <w:rPr>
          <w:sz w:val="21"/>
        </w:rPr>
        <w:t>～500</w:t>
      </w:r>
      <w:r>
        <w:rPr>
          <w:rFonts w:hint="eastAsia" w:ascii="仿宋" w:eastAsia="仿宋"/>
          <w:sz w:val="21"/>
        </w:rPr>
        <w:t>mm</w:t>
      </w:r>
      <w:r>
        <w:rPr>
          <w:rFonts w:hint="eastAsia" w:ascii="仿宋" w:eastAsia="仿宋"/>
          <w:spacing w:val="-54"/>
          <w:sz w:val="21"/>
        </w:rPr>
        <w:t xml:space="preserve"> </w:t>
      </w:r>
      <w:r>
        <w:rPr>
          <w:sz w:val="21"/>
        </w:rPr>
        <w:t>处设置；</w:t>
      </w:r>
    </w:p>
    <w:p>
      <w:pPr>
        <w:pStyle w:val="5"/>
        <w:spacing w:before="7"/>
        <w:rPr>
          <w:sz w:val="15"/>
        </w:rPr>
      </w:pPr>
    </w:p>
    <w:p>
      <w:pPr>
        <w:pStyle w:val="12"/>
        <w:numPr>
          <w:ilvl w:val="0"/>
          <w:numId w:val="10"/>
        </w:numPr>
        <w:tabs>
          <w:tab w:val="left" w:pos="1053"/>
        </w:tabs>
        <w:spacing w:before="0" w:after="0" w:line="417" w:lineRule="auto"/>
        <w:ind w:left="212" w:right="312" w:firstLine="424"/>
        <w:jc w:val="both"/>
        <w:rPr>
          <w:sz w:val="21"/>
        </w:rPr>
      </w:pPr>
      <w:r>
        <w:rPr>
          <w:spacing w:val="-7"/>
          <w:sz w:val="21"/>
        </w:rPr>
        <w:t xml:space="preserve">宜在距树池边缘 </w:t>
      </w:r>
      <w:r>
        <w:rPr>
          <w:sz w:val="21"/>
        </w:rPr>
        <w:t>250</w:t>
      </w:r>
      <w:r>
        <w:rPr>
          <w:rFonts w:hint="eastAsia" w:ascii="仿宋" w:eastAsia="仿宋"/>
          <w:sz w:val="21"/>
        </w:rPr>
        <w:t>mm</w:t>
      </w:r>
      <w:r>
        <w:rPr>
          <w:sz w:val="21"/>
        </w:rPr>
        <w:t>～500</w:t>
      </w:r>
      <w:r>
        <w:rPr>
          <w:rFonts w:hint="eastAsia" w:ascii="仿宋" w:eastAsia="仿宋"/>
          <w:sz w:val="21"/>
        </w:rPr>
        <w:t>mm</w:t>
      </w:r>
      <w:r>
        <w:rPr>
          <w:rFonts w:hint="eastAsia" w:ascii="仿宋" w:eastAsia="仿宋"/>
          <w:spacing w:val="-48"/>
          <w:sz w:val="21"/>
        </w:rPr>
        <w:t xml:space="preserve"> </w:t>
      </w:r>
      <w:r>
        <w:rPr>
          <w:sz w:val="21"/>
        </w:rPr>
        <w:t>处设置；无树池时，行进盲道与路缘石上沿在同一水平面时，其</w:t>
      </w:r>
      <w:r>
        <w:rPr>
          <w:spacing w:val="-5"/>
          <w:sz w:val="21"/>
        </w:rPr>
        <w:t xml:space="preserve">距路缘石不应小于 </w:t>
      </w:r>
      <w:r>
        <w:rPr>
          <w:sz w:val="21"/>
        </w:rPr>
        <w:t>500</w:t>
      </w:r>
      <w:r>
        <w:rPr>
          <w:rFonts w:hint="eastAsia" w:ascii="仿宋" w:eastAsia="仿宋"/>
          <w:sz w:val="21"/>
        </w:rPr>
        <w:t>mm</w:t>
      </w:r>
      <w:r>
        <w:rPr>
          <w:spacing w:val="-2"/>
          <w:sz w:val="21"/>
        </w:rPr>
        <w:t xml:space="preserve">；行进盲道比路缘石上沿低时，距路缘石不应小于 </w:t>
      </w:r>
      <w:r>
        <w:rPr>
          <w:sz w:val="21"/>
        </w:rPr>
        <w:t>250</w:t>
      </w:r>
      <w:r>
        <w:rPr>
          <w:rFonts w:hint="eastAsia" w:ascii="仿宋" w:eastAsia="仿宋"/>
          <w:sz w:val="21"/>
        </w:rPr>
        <w:t>mm</w:t>
      </w:r>
      <w:r>
        <w:rPr>
          <w:sz w:val="21"/>
        </w:rPr>
        <w:t>；盲道应避开非机动车停放的位置；</w:t>
      </w:r>
    </w:p>
    <w:p>
      <w:pPr>
        <w:pStyle w:val="12"/>
        <w:numPr>
          <w:ilvl w:val="0"/>
          <w:numId w:val="10"/>
        </w:numPr>
        <w:tabs>
          <w:tab w:val="left" w:pos="1053"/>
        </w:tabs>
        <w:spacing w:before="0" w:after="0" w:line="269" w:lineRule="exact"/>
        <w:ind w:left="1052" w:right="0" w:hanging="416"/>
        <w:jc w:val="both"/>
        <w:rPr>
          <w:sz w:val="21"/>
        </w:rPr>
      </w:pPr>
      <w:r>
        <w:rPr>
          <w:spacing w:val="-4"/>
          <w:sz w:val="21"/>
        </w:rPr>
        <w:t xml:space="preserve">行进盲道的触感条规格应符合表 </w:t>
      </w:r>
      <w:r>
        <w:rPr>
          <w:sz w:val="21"/>
        </w:rPr>
        <w:t>4.2.11</w:t>
      </w:r>
      <w:r>
        <w:rPr>
          <w:spacing w:val="-12"/>
          <w:sz w:val="21"/>
        </w:rPr>
        <w:t xml:space="preserve"> 的规定。</w:t>
      </w:r>
    </w:p>
    <w:p>
      <w:pPr>
        <w:pStyle w:val="5"/>
        <w:spacing w:before="1"/>
        <w:rPr>
          <w:sz w:val="16"/>
        </w:rPr>
      </w:pPr>
    </w:p>
    <w:p>
      <w:pPr>
        <w:spacing w:before="1"/>
        <w:ind w:left="0" w:right="95" w:firstLine="0"/>
        <w:jc w:val="center"/>
        <w:rPr>
          <w:rFonts w:hint="eastAsia" w:ascii="黑体" w:eastAsia="黑体"/>
          <w:sz w:val="20"/>
        </w:rPr>
      </w:pPr>
      <w:r>
        <w:rPr>
          <w:rFonts w:hint="eastAsia" w:ascii="黑体" w:eastAsia="黑体"/>
          <w:sz w:val="20"/>
        </w:rPr>
        <w:t xml:space="preserve">表 </w:t>
      </w:r>
      <w:r>
        <w:rPr>
          <w:b/>
          <w:sz w:val="20"/>
        </w:rPr>
        <w:t xml:space="preserve">4.2.11 </w:t>
      </w:r>
      <w:r>
        <w:rPr>
          <w:rFonts w:hint="eastAsia" w:ascii="黑体" w:eastAsia="黑体"/>
          <w:sz w:val="20"/>
        </w:rPr>
        <w:t>行进盲道的触感条规格</w:t>
      </w:r>
    </w:p>
    <w:p>
      <w:pPr>
        <w:pStyle w:val="5"/>
        <w:spacing w:before="2"/>
        <w:rPr>
          <w:rFonts w:ascii="黑体"/>
          <w:sz w:val="8"/>
        </w:rPr>
      </w:pPr>
    </w:p>
    <w:tbl>
      <w:tblPr>
        <w:tblStyle w:val="9"/>
        <w:tblW w:w="0" w:type="auto"/>
        <w:tblInd w:w="2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19"/>
        <w:gridCol w:w="48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8" w:hRule="atLeast"/>
        </w:trPr>
        <w:tc>
          <w:tcPr>
            <w:tcW w:w="4819" w:type="dxa"/>
            <w:tcBorders>
              <w:bottom w:val="single" w:color="000000" w:sz="4" w:space="0"/>
              <w:right w:val="single" w:color="000000" w:sz="4" w:space="0"/>
            </w:tcBorders>
          </w:tcPr>
          <w:p>
            <w:pPr>
              <w:pStyle w:val="13"/>
              <w:spacing w:before="120"/>
              <w:ind w:left="1883" w:right="1880"/>
              <w:jc w:val="center"/>
              <w:rPr>
                <w:sz w:val="20"/>
              </w:rPr>
            </w:pPr>
            <w:r>
              <w:rPr>
                <w:sz w:val="20"/>
              </w:rPr>
              <w:t>部位</w:t>
            </w:r>
          </w:p>
        </w:tc>
        <w:tc>
          <w:tcPr>
            <w:tcW w:w="4820" w:type="dxa"/>
            <w:tcBorders>
              <w:left w:val="single" w:color="000000" w:sz="4" w:space="0"/>
              <w:bottom w:val="single" w:color="000000" w:sz="4" w:space="0"/>
            </w:tcBorders>
          </w:tcPr>
          <w:p>
            <w:pPr>
              <w:pStyle w:val="13"/>
              <w:spacing w:before="120"/>
              <w:ind w:left="1692" w:right="1668"/>
              <w:jc w:val="center"/>
              <w:rPr>
                <w:sz w:val="20"/>
              </w:rPr>
            </w:pPr>
            <w:r>
              <w:rPr>
                <w:sz w:val="20"/>
              </w:rPr>
              <w:t>尺寸要求（</w:t>
            </w:r>
            <w:r>
              <w:rPr>
                <w:rFonts w:hint="eastAsia" w:ascii="仿宋" w:eastAsia="仿宋"/>
                <w:sz w:val="20"/>
              </w:rPr>
              <w:t>mm</w:t>
            </w:r>
            <w:r>
              <w:rPr>
                <w:sz w:val="2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7" w:hRule="atLeast"/>
        </w:trPr>
        <w:tc>
          <w:tcPr>
            <w:tcW w:w="4819" w:type="dxa"/>
            <w:tcBorders>
              <w:top w:val="single" w:color="000000" w:sz="4" w:space="0"/>
              <w:bottom w:val="single" w:color="000000" w:sz="4" w:space="0"/>
              <w:right w:val="single" w:color="000000" w:sz="4" w:space="0"/>
            </w:tcBorders>
          </w:tcPr>
          <w:p>
            <w:pPr>
              <w:pStyle w:val="13"/>
              <w:spacing w:before="121"/>
              <w:ind w:left="1883" w:right="1880"/>
              <w:jc w:val="center"/>
              <w:rPr>
                <w:sz w:val="20"/>
              </w:rPr>
            </w:pPr>
            <w:r>
              <w:rPr>
                <w:sz w:val="20"/>
              </w:rPr>
              <w:t>面宽</w:t>
            </w:r>
          </w:p>
        </w:tc>
        <w:tc>
          <w:tcPr>
            <w:tcW w:w="4820" w:type="dxa"/>
            <w:tcBorders>
              <w:top w:val="single" w:color="000000" w:sz="4" w:space="0"/>
              <w:left w:val="single" w:color="000000" w:sz="4" w:space="0"/>
              <w:bottom w:val="single" w:color="000000" w:sz="4" w:space="0"/>
            </w:tcBorders>
          </w:tcPr>
          <w:p>
            <w:pPr>
              <w:pStyle w:val="13"/>
              <w:spacing w:before="121"/>
              <w:ind w:left="1692" w:right="1666"/>
              <w:jc w:val="center"/>
              <w:rPr>
                <w:sz w:val="20"/>
              </w:rPr>
            </w:pPr>
            <w:r>
              <w:rPr>
                <w:sz w:val="20"/>
              </w:rPr>
              <w:t>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8" w:hRule="atLeast"/>
        </w:trPr>
        <w:tc>
          <w:tcPr>
            <w:tcW w:w="4819" w:type="dxa"/>
            <w:tcBorders>
              <w:top w:val="single" w:color="000000" w:sz="4" w:space="0"/>
              <w:bottom w:val="single" w:color="000000" w:sz="4" w:space="0"/>
              <w:right w:val="single" w:color="000000" w:sz="4" w:space="0"/>
            </w:tcBorders>
          </w:tcPr>
          <w:p>
            <w:pPr>
              <w:pStyle w:val="13"/>
              <w:spacing w:before="122"/>
              <w:ind w:left="1883" w:right="1880"/>
              <w:jc w:val="center"/>
              <w:rPr>
                <w:sz w:val="20"/>
              </w:rPr>
            </w:pPr>
            <w:r>
              <w:rPr>
                <w:sz w:val="20"/>
              </w:rPr>
              <w:t>底宽</w:t>
            </w:r>
          </w:p>
        </w:tc>
        <w:tc>
          <w:tcPr>
            <w:tcW w:w="4820" w:type="dxa"/>
            <w:tcBorders>
              <w:top w:val="single" w:color="000000" w:sz="4" w:space="0"/>
              <w:left w:val="single" w:color="000000" w:sz="4" w:space="0"/>
              <w:bottom w:val="single" w:color="000000" w:sz="4" w:space="0"/>
            </w:tcBorders>
          </w:tcPr>
          <w:p>
            <w:pPr>
              <w:pStyle w:val="13"/>
              <w:spacing w:before="122"/>
              <w:ind w:left="1692" w:right="1666"/>
              <w:jc w:val="center"/>
              <w:rPr>
                <w:sz w:val="20"/>
              </w:rPr>
            </w:pPr>
            <w:r>
              <w:rPr>
                <w:sz w:val="20"/>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7" w:hRule="atLeast"/>
        </w:trPr>
        <w:tc>
          <w:tcPr>
            <w:tcW w:w="4819" w:type="dxa"/>
            <w:tcBorders>
              <w:top w:val="single" w:color="000000" w:sz="4" w:space="0"/>
              <w:bottom w:val="single" w:color="000000" w:sz="4" w:space="0"/>
              <w:right w:val="single" w:color="000000" w:sz="4" w:space="0"/>
            </w:tcBorders>
          </w:tcPr>
          <w:p>
            <w:pPr>
              <w:pStyle w:val="13"/>
              <w:spacing w:before="120"/>
              <w:ind w:left="1883" w:right="1880"/>
              <w:jc w:val="center"/>
              <w:rPr>
                <w:sz w:val="20"/>
              </w:rPr>
            </w:pPr>
            <w:r>
              <w:rPr>
                <w:sz w:val="20"/>
              </w:rPr>
              <w:t>高度</w:t>
            </w:r>
          </w:p>
        </w:tc>
        <w:tc>
          <w:tcPr>
            <w:tcW w:w="4820" w:type="dxa"/>
            <w:tcBorders>
              <w:top w:val="single" w:color="000000" w:sz="4" w:space="0"/>
              <w:left w:val="single" w:color="000000" w:sz="4" w:space="0"/>
              <w:bottom w:val="single" w:color="000000" w:sz="4" w:space="0"/>
            </w:tcBorders>
          </w:tcPr>
          <w:p>
            <w:pPr>
              <w:pStyle w:val="13"/>
              <w:spacing w:before="120"/>
              <w:ind w:left="21"/>
              <w:jc w:val="center"/>
              <w:rPr>
                <w:sz w:val="20"/>
              </w:rPr>
            </w:pPr>
            <w:r>
              <w:rPr>
                <w:w w:val="99"/>
                <w:sz w:val="20"/>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7" w:hRule="atLeast"/>
        </w:trPr>
        <w:tc>
          <w:tcPr>
            <w:tcW w:w="4819" w:type="dxa"/>
            <w:tcBorders>
              <w:top w:val="single" w:color="000000" w:sz="4" w:space="0"/>
              <w:right w:val="single" w:color="000000" w:sz="4" w:space="0"/>
            </w:tcBorders>
          </w:tcPr>
          <w:p>
            <w:pPr>
              <w:pStyle w:val="13"/>
              <w:spacing w:before="121"/>
              <w:ind w:left="1883" w:right="1880"/>
              <w:jc w:val="center"/>
              <w:rPr>
                <w:sz w:val="20"/>
              </w:rPr>
            </w:pPr>
            <w:r>
              <w:rPr>
                <w:sz w:val="20"/>
              </w:rPr>
              <w:t>中心距</w:t>
            </w:r>
          </w:p>
        </w:tc>
        <w:tc>
          <w:tcPr>
            <w:tcW w:w="4820" w:type="dxa"/>
            <w:tcBorders>
              <w:top w:val="single" w:color="000000" w:sz="4" w:space="0"/>
              <w:left w:val="single" w:color="000000" w:sz="4" w:space="0"/>
            </w:tcBorders>
          </w:tcPr>
          <w:p>
            <w:pPr>
              <w:pStyle w:val="13"/>
              <w:spacing w:before="121"/>
              <w:ind w:left="1692" w:right="1669"/>
              <w:jc w:val="center"/>
              <w:rPr>
                <w:sz w:val="20"/>
              </w:rPr>
            </w:pPr>
            <w:r>
              <w:rPr>
                <w:sz w:val="20"/>
              </w:rPr>
              <w:t>62～75</w:t>
            </w:r>
          </w:p>
        </w:tc>
      </w:tr>
    </w:tbl>
    <w:p>
      <w:pPr>
        <w:pStyle w:val="12"/>
        <w:numPr>
          <w:ilvl w:val="2"/>
          <w:numId w:val="6"/>
        </w:numPr>
        <w:tabs>
          <w:tab w:val="left" w:pos="1053"/>
        </w:tabs>
        <w:spacing w:before="100" w:after="0" w:line="240" w:lineRule="auto"/>
        <w:ind w:left="1052" w:right="0" w:hanging="841"/>
        <w:jc w:val="both"/>
        <w:rPr>
          <w:sz w:val="21"/>
        </w:rPr>
      </w:pPr>
      <w:bookmarkStart w:id="37" w:name="4.1.12提示盲道应符合下列规定："/>
      <w:bookmarkEnd w:id="37"/>
      <w:bookmarkStart w:id="38" w:name="4.1.12提示盲道应符合下列规定："/>
      <w:bookmarkEnd w:id="38"/>
      <w:r>
        <w:rPr>
          <w:sz w:val="21"/>
        </w:rPr>
        <w:t>提示盲道应符合下列规定：</w:t>
      </w:r>
    </w:p>
    <w:p>
      <w:pPr>
        <w:pStyle w:val="5"/>
        <w:spacing w:before="7"/>
        <w:rPr>
          <w:sz w:val="15"/>
        </w:rPr>
      </w:pPr>
    </w:p>
    <w:p>
      <w:pPr>
        <w:pStyle w:val="12"/>
        <w:numPr>
          <w:ilvl w:val="0"/>
          <w:numId w:val="11"/>
        </w:numPr>
        <w:tabs>
          <w:tab w:val="left" w:pos="1052"/>
          <w:tab w:val="left" w:pos="1053"/>
        </w:tabs>
        <w:spacing w:before="0" w:after="0" w:line="240" w:lineRule="auto"/>
        <w:ind w:left="1052" w:right="0" w:hanging="416"/>
        <w:jc w:val="left"/>
        <w:rPr>
          <w:sz w:val="21"/>
        </w:rPr>
      </w:pPr>
      <w:r>
        <w:rPr>
          <w:spacing w:val="-4"/>
          <w:sz w:val="21"/>
        </w:rPr>
        <w:t>设置行进盲道时，行进盲道在起点、终点、转弯及有需要处应设置提示盲道，当行进盲道的宽度</w:t>
      </w:r>
    </w:p>
    <w:p>
      <w:pPr>
        <w:spacing w:after="0" w:line="240" w:lineRule="auto"/>
        <w:jc w:val="left"/>
        <w:rPr>
          <w:sz w:val="21"/>
        </w:rPr>
        <w:sectPr>
          <w:pgSz w:w="11910" w:h="16840"/>
          <w:pgMar w:top="1580" w:right="820" w:bottom="1280" w:left="920" w:header="0" w:footer="1095" w:gutter="0"/>
          <w:cols w:space="720" w:num="1"/>
        </w:sectPr>
      </w:pPr>
    </w:p>
    <w:p>
      <w:pPr>
        <w:pStyle w:val="5"/>
        <w:spacing w:before="60"/>
        <w:ind w:left="212"/>
      </w:pPr>
      <w:r>
        <w:rPr>
          <w:spacing w:val="-17"/>
        </w:rPr>
        <w:t xml:space="preserve">小于 </w:t>
      </w:r>
      <w:r>
        <w:rPr>
          <w:rFonts w:ascii="Calibri" w:eastAsia="Calibri"/>
        </w:rPr>
        <w:t>300</w:t>
      </w:r>
      <w:r>
        <w:rPr>
          <w:rFonts w:hint="eastAsia" w:ascii="仿宋" w:eastAsia="仿宋"/>
        </w:rPr>
        <w:t>mm</w:t>
      </w:r>
      <w:r>
        <w:rPr>
          <w:rFonts w:hint="eastAsia" w:ascii="仿宋" w:eastAsia="仿宋"/>
          <w:spacing w:val="-52"/>
        </w:rPr>
        <w:t xml:space="preserve"> </w:t>
      </w:r>
      <w:r>
        <w:t>时，提示盲道的宽度应大于行进盲道的宽度；</w:t>
      </w:r>
    </w:p>
    <w:p>
      <w:pPr>
        <w:pStyle w:val="5"/>
        <w:spacing w:before="6"/>
        <w:rPr>
          <w:sz w:val="15"/>
        </w:rPr>
      </w:pPr>
    </w:p>
    <w:p>
      <w:pPr>
        <w:pStyle w:val="12"/>
        <w:numPr>
          <w:ilvl w:val="0"/>
          <w:numId w:val="11"/>
        </w:numPr>
        <w:tabs>
          <w:tab w:val="left" w:pos="1052"/>
          <w:tab w:val="left" w:pos="1053"/>
        </w:tabs>
        <w:spacing w:before="1" w:after="0" w:line="417" w:lineRule="auto"/>
        <w:ind w:left="212" w:right="315" w:firstLine="424"/>
        <w:jc w:val="left"/>
        <w:rPr>
          <w:sz w:val="21"/>
        </w:rPr>
      </w:pPr>
      <w:r>
        <w:rPr>
          <w:spacing w:val="-3"/>
          <w:w w:val="95"/>
          <w:sz w:val="21"/>
        </w:rPr>
        <w:t xml:space="preserve">未设置行进盲道时，行进规律发生变化处应设置提示盲道，提示盲道宽度宜与规律变化范围的宽   </w:t>
      </w:r>
      <w:r>
        <w:rPr>
          <w:spacing w:val="-3"/>
          <w:sz w:val="21"/>
        </w:rPr>
        <w:t>度相同；</w:t>
      </w:r>
    </w:p>
    <w:p>
      <w:pPr>
        <w:pStyle w:val="12"/>
        <w:numPr>
          <w:ilvl w:val="0"/>
          <w:numId w:val="11"/>
        </w:numPr>
        <w:tabs>
          <w:tab w:val="left" w:pos="1052"/>
          <w:tab w:val="left" w:pos="1053"/>
        </w:tabs>
        <w:spacing w:before="0" w:after="0" w:line="269" w:lineRule="exact"/>
        <w:ind w:left="1052" w:right="0" w:hanging="416"/>
        <w:jc w:val="left"/>
        <w:rPr>
          <w:sz w:val="21"/>
        </w:rPr>
      </w:pPr>
      <w:r>
        <w:rPr>
          <w:spacing w:val="-4"/>
          <w:sz w:val="21"/>
        </w:rPr>
        <w:t xml:space="preserve">提示盲道的触感圆点规格应符合表 </w:t>
      </w:r>
      <w:r>
        <w:rPr>
          <w:sz w:val="21"/>
        </w:rPr>
        <w:t>4.2.12</w:t>
      </w:r>
      <w:r>
        <w:rPr>
          <w:spacing w:val="-12"/>
          <w:sz w:val="21"/>
        </w:rPr>
        <w:t xml:space="preserve"> 的规定。</w:t>
      </w:r>
    </w:p>
    <w:p>
      <w:pPr>
        <w:pStyle w:val="5"/>
        <w:spacing w:before="1"/>
        <w:rPr>
          <w:sz w:val="16"/>
        </w:rPr>
      </w:pPr>
    </w:p>
    <w:p>
      <w:pPr>
        <w:spacing w:before="0"/>
        <w:ind w:left="0" w:right="95" w:firstLine="0"/>
        <w:jc w:val="center"/>
        <w:rPr>
          <w:rFonts w:hint="eastAsia" w:ascii="黑体" w:eastAsia="黑体"/>
          <w:sz w:val="20"/>
        </w:rPr>
      </w:pPr>
      <w:r>
        <w:rPr>
          <w:rFonts w:hint="eastAsia" w:ascii="黑体" w:eastAsia="黑体"/>
          <w:sz w:val="20"/>
        </w:rPr>
        <w:t xml:space="preserve">表 </w:t>
      </w:r>
      <w:r>
        <w:rPr>
          <w:b/>
          <w:sz w:val="20"/>
        </w:rPr>
        <w:t xml:space="preserve">4.2.12 </w:t>
      </w:r>
      <w:r>
        <w:rPr>
          <w:rFonts w:hint="eastAsia" w:ascii="黑体" w:eastAsia="黑体"/>
          <w:sz w:val="20"/>
        </w:rPr>
        <w:t>提示盲道的触感圆点规格</w:t>
      </w:r>
    </w:p>
    <w:p>
      <w:pPr>
        <w:pStyle w:val="5"/>
        <w:spacing w:before="2" w:after="1"/>
        <w:rPr>
          <w:rFonts w:ascii="黑体"/>
          <w:sz w:val="8"/>
        </w:rPr>
      </w:pPr>
    </w:p>
    <w:tbl>
      <w:tblPr>
        <w:tblStyle w:val="9"/>
        <w:tblW w:w="0" w:type="auto"/>
        <w:tblInd w:w="2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19"/>
        <w:gridCol w:w="48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8" w:hRule="atLeast"/>
        </w:trPr>
        <w:tc>
          <w:tcPr>
            <w:tcW w:w="4819" w:type="dxa"/>
            <w:tcBorders>
              <w:bottom w:val="single" w:color="000000" w:sz="4" w:space="0"/>
              <w:right w:val="single" w:color="000000" w:sz="4" w:space="0"/>
            </w:tcBorders>
          </w:tcPr>
          <w:p>
            <w:pPr>
              <w:pStyle w:val="13"/>
              <w:spacing w:before="121"/>
              <w:ind w:left="1884" w:right="1880"/>
              <w:jc w:val="center"/>
              <w:rPr>
                <w:sz w:val="20"/>
              </w:rPr>
            </w:pPr>
            <w:r>
              <w:rPr>
                <w:sz w:val="20"/>
              </w:rPr>
              <w:t>部位</w:t>
            </w:r>
          </w:p>
        </w:tc>
        <w:tc>
          <w:tcPr>
            <w:tcW w:w="4820" w:type="dxa"/>
            <w:tcBorders>
              <w:left w:val="single" w:color="000000" w:sz="4" w:space="0"/>
              <w:bottom w:val="single" w:color="000000" w:sz="4" w:space="0"/>
            </w:tcBorders>
          </w:tcPr>
          <w:p>
            <w:pPr>
              <w:pStyle w:val="13"/>
              <w:spacing w:before="121"/>
              <w:ind w:left="1690" w:right="1670"/>
              <w:jc w:val="center"/>
              <w:rPr>
                <w:sz w:val="20"/>
              </w:rPr>
            </w:pPr>
            <w:r>
              <w:rPr>
                <w:sz w:val="20"/>
              </w:rPr>
              <w:t>尺寸要求（</w:t>
            </w:r>
            <w:r>
              <w:rPr>
                <w:rFonts w:hint="eastAsia" w:ascii="仿宋" w:eastAsia="仿宋"/>
                <w:sz w:val="20"/>
              </w:rPr>
              <w:t>mm</w:t>
            </w:r>
            <w:r>
              <w:rPr>
                <w:sz w:val="20"/>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7" w:hRule="atLeast"/>
        </w:trPr>
        <w:tc>
          <w:tcPr>
            <w:tcW w:w="4819" w:type="dxa"/>
            <w:tcBorders>
              <w:top w:val="single" w:color="000000" w:sz="4" w:space="0"/>
              <w:bottom w:val="single" w:color="000000" w:sz="4" w:space="0"/>
              <w:right w:val="single" w:color="000000" w:sz="4" w:space="0"/>
            </w:tcBorders>
          </w:tcPr>
          <w:p>
            <w:pPr>
              <w:pStyle w:val="13"/>
              <w:spacing w:before="121"/>
              <w:ind w:left="1881" w:right="1880"/>
              <w:jc w:val="center"/>
              <w:rPr>
                <w:sz w:val="20"/>
              </w:rPr>
            </w:pPr>
            <w:r>
              <w:rPr>
                <w:sz w:val="20"/>
              </w:rPr>
              <w:t>表面直径</w:t>
            </w:r>
          </w:p>
        </w:tc>
        <w:tc>
          <w:tcPr>
            <w:tcW w:w="4820" w:type="dxa"/>
            <w:tcBorders>
              <w:top w:val="single" w:color="000000" w:sz="4" w:space="0"/>
              <w:left w:val="single" w:color="000000" w:sz="4" w:space="0"/>
              <w:bottom w:val="single" w:color="000000" w:sz="4" w:space="0"/>
            </w:tcBorders>
          </w:tcPr>
          <w:p>
            <w:pPr>
              <w:pStyle w:val="13"/>
              <w:spacing w:before="121"/>
              <w:ind w:left="1692" w:right="1670"/>
              <w:jc w:val="center"/>
              <w:rPr>
                <w:sz w:val="20"/>
              </w:rPr>
            </w:pPr>
            <w:r>
              <w:rPr>
                <w:sz w:val="20"/>
              </w:rPr>
              <w:t>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7" w:hRule="atLeast"/>
        </w:trPr>
        <w:tc>
          <w:tcPr>
            <w:tcW w:w="4819" w:type="dxa"/>
            <w:tcBorders>
              <w:top w:val="single" w:color="000000" w:sz="4" w:space="0"/>
              <w:bottom w:val="single" w:color="000000" w:sz="4" w:space="0"/>
              <w:right w:val="single" w:color="000000" w:sz="4" w:space="0"/>
            </w:tcBorders>
          </w:tcPr>
          <w:p>
            <w:pPr>
              <w:pStyle w:val="13"/>
              <w:spacing w:before="122"/>
              <w:ind w:left="1881" w:right="1880"/>
              <w:jc w:val="center"/>
              <w:rPr>
                <w:sz w:val="20"/>
              </w:rPr>
            </w:pPr>
            <w:r>
              <w:rPr>
                <w:sz w:val="20"/>
              </w:rPr>
              <w:t>底面直径</w:t>
            </w:r>
          </w:p>
        </w:tc>
        <w:tc>
          <w:tcPr>
            <w:tcW w:w="4820" w:type="dxa"/>
            <w:tcBorders>
              <w:top w:val="single" w:color="000000" w:sz="4" w:space="0"/>
              <w:left w:val="single" w:color="000000" w:sz="4" w:space="0"/>
              <w:bottom w:val="single" w:color="000000" w:sz="4" w:space="0"/>
            </w:tcBorders>
          </w:tcPr>
          <w:p>
            <w:pPr>
              <w:pStyle w:val="13"/>
              <w:spacing w:before="122"/>
              <w:ind w:left="1692" w:right="1670"/>
              <w:jc w:val="center"/>
              <w:rPr>
                <w:sz w:val="20"/>
              </w:rPr>
            </w:pPr>
            <w:r>
              <w:rPr>
                <w:sz w:val="20"/>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8" w:hRule="atLeast"/>
        </w:trPr>
        <w:tc>
          <w:tcPr>
            <w:tcW w:w="4819" w:type="dxa"/>
            <w:tcBorders>
              <w:top w:val="single" w:color="000000" w:sz="4" w:space="0"/>
              <w:bottom w:val="single" w:color="000000" w:sz="4" w:space="0"/>
              <w:right w:val="single" w:color="000000" w:sz="4" w:space="0"/>
            </w:tcBorders>
          </w:tcPr>
          <w:p>
            <w:pPr>
              <w:pStyle w:val="13"/>
              <w:spacing w:before="120"/>
              <w:ind w:left="1881" w:right="1880"/>
              <w:jc w:val="center"/>
              <w:rPr>
                <w:sz w:val="20"/>
              </w:rPr>
            </w:pPr>
            <w:r>
              <w:rPr>
                <w:sz w:val="20"/>
              </w:rPr>
              <w:t>圆点高度</w:t>
            </w:r>
          </w:p>
        </w:tc>
        <w:tc>
          <w:tcPr>
            <w:tcW w:w="4820" w:type="dxa"/>
            <w:tcBorders>
              <w:top w:val="single" w:color="000000" w:sz="4" w:space="0"/>
              <w:left w:val="single" w:color="000000" w:sz="4" w:space="0"/>
              <w:bottom w:val="single" w:color="000000" w:sz="4" w:space="0"/>
            </w:tcBorders>
          </w:tcPr>
          <w:p>
            <w:pPr>
              <w:pStyle w:val="13"/>
              <w:spacing w:before="120"/>
              <w:ind w:left="22"/>
              <w:jc w:val="center"/>
              <w:rPr>
                <w:sz w:val="20"/>
              </w:rPr>
            </w:pPr>
            <w:r>
              <w:rPr>
                <w:w w:val="99"/>
                <w:sz w:val="20"/>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7" w:hRule="atLeast"/>
        </w:trPr>
        <w:tc>
          <w:tcPr>
            <w:tcW w:w="4819" w:type="dxa"/>
            <w:tcBorders>
              <w:top w:val="single" w:color="000000" w:sz="4" w:space="0"/>
              <w:right w:val="single" w:color="000000" w:sz="4" w:space="0"/>
            </w:tcBorders>
          </w:tcPr>
          <w:p>
            <w:pPr>
              <w:pStyle w:val="13"/>
              <w:spacing w:before="121"/>
              <w:ind w:left="1884" w:right="1880"/>
              <w:jc w:val="center"/>
              <w:rPr>
                <w:sz w:val="20"/>
              </w:rPr>
            </w:pPr>
            <w:r>
              <w:rPr>
                <w:sz w:val="20"/>
              </w:rPr>
              <w:t>圆点中心距</w:t>
            </w:r>
          </w:p>
        </w:tc>
        <w:tc>
          <w:tcPr>
            <w:tcW w:w="4820" w:type="dxa"/>
            <w:tcBorders>
              <w:top w:val="single" w:color="000000" w:sz="4" w:space="0"/>
              <w:left w:val="single" w:color="000000" w:sz="4" w:space="0"/>
            </w:tcBorders>
          </w:tcPr>
          <w:p>
            <w:pPr>
              <w:pStyle w:val="13"/>
              <w:spacing w:before="121"/>
              <w:ind w:left="1692" w:right="1670"/>
              <w:jc w:val="center"/>
              <w:rPr>
                <w:sz w:val="20"/>
              </w:rPr>
            </w:pPr>
            <w:r>
              <w:rPr>
                <w:sz w:val="20"/>
              </w:rPr>
              <w:t>50</w:t>
            </w:r>
          </w:p>
        </w:tc>
      </w:tr>
    </w:tbl>
    <w:p>
      <w:pPr>
        <w:pStyle w:val="12"/>
        <w:numPr>
          <w:ilvl w:val="0"/>
          <w:numId w:val="12"/>
        </w:numPr>
        <w:tabs>
          <w:tab w:val="left" w:pos="4586"/>
        </w:tabs>
        <w:spacing w:before="100" w:after="0" w:line="240" w:lineRule="auto"/>
        <w:ind w:left="4585" w:right="99" w:hanging="4586"/>
        <w:jc w:val="left"/>
        <w:rPr>
          <w:rFonts w:hint="eastAsia" w:ascii="黑体" w:eastAsia="黑体"/>
          <w:sz w:val="21"/>
        </w:rPr>
      </w:pPr>
      <w:bookmarkStart w:id="39" w:name="V无障碍通道"/>
      <w:bookmarkEnd w:id="39"/>
      <w:bookmarkStart w:id="40" w:name="V无障碍通道"/>
      <w:bookmarkEnd w:id="40"/>
      <w:r>
        <w:rPr>
          <w:rFonts w:hint="eastAsia" w:ascii="黑体" w:eastAsia="黑体"/>
          <w:sz w:val="21"/>
        </w:rPr>
        <w:t>无障碍通道</w:t>
      </w:r>
    </w:p>
    <w:p>
      <w:pPr>
        <w:pStyle w:val="5"/>
        <w:spacing w:before="7"/>
        <w:rPr>
          <w:rFonts w:ascii="黑体"/>
          <w:sz w:val="15"/>
        </w:rPr>
      </w:pPr>
    </w:p>
    <w:p>
      <w:pPr>
        <w:pStyle w:val="12"/>
        <w:numPr>
          <w:ilvl w:val="2"/>
          <w:numId w:val="6"/>
        </w:numPr>
        <w:tabs>
          <w:tab w:val="left" w:pos="1052"/>
          <w:tab w:val="left" w:pos="1053"/>
        </w:tabs>
        <w:spacing w:before="0" w:after="0" w:line="240" w:lineRule="auto"/>
        <w:ind w:left="1052" w:right="0" w:hanging="841"/>
        <w:jc w:val="left"/>
        <w:rPr>
          <w:sz w:val="21"/>
        </w:rPr>
      </w:pPr>
      <w:bookmarkStart w:id="41" w:name="4.1.13无障碍通道的宽度应符合下列规定："/>
      <w:bookmarkEnd w:id="41"/>
      <w:bookmarkStart w:id="42" w:name="4.1.13无障碍通道的宽度应符合下列规定："/>
      <w:bookmarkEnd w:id="42"/>
      <w:r>
        <w:rPr>
          <w:sz w:val="21"/>
        </w:rPr>
        <w:t>无障碍通道的宽度应符合下列规定：</w:t>
      </w:r>
    </w:p>
    <w:p>
      <w:pPr>
        <w:pStyle w:val="5"/>
        <w:spacing w:before="6"/>
        <w:rPr>
          <w:sz w:val="15"/>
        </w:rPr>
      </w:pPr>
    </w:p>
    <w:p>
      <w:pPr>
        <w:pStyle w:val="12"/>
        <w:numPr>
          <w:ilvl w:val="0"/>
          <w:numId w:val="13"/>
        </w:numPr>
        <w:tabs>
          <w:tab w:val="left" w:pos="1052"/>
          <w:tab w:val="left" w:pos="1053"/>
        </w:tabs>
        <w:spacing w:before="1" w:after="0" w:line="417" w:lineRule="auto"/>
        <w:ind w:left="212" w:right="312" w:firstLine="424"/>
        <w:jc w:val="left"/>
        <w:rPr>
          <w:sz w:val="21"/>
        </w:rPr>
      </w:pPr>
      <w:r>
        <w:rPr>
          <w:spacing w:val="-3"/>
          <w:sz w:val="21"/>
        </w:rPr>
        <w:t xml:space="preserve">室内无障碍通道宽度不应小于 </w:t>
      </w:r>
      <w:r>
        <w:rPr>
          <w:sz w:val="21"/>
        </w:rPr>
        <w:t>1.20</w:t>
      </w:r>
      <w:r>
        <w:rPr>
          <w:rFonts w:hint="eastAsia" w:ascii="仿宋" w:eastAsia="仿宋"/>
          <w:sz w:val="21"/>
        </w:rPr>
        <w:t>m</w:t>
      </w:r>
      <w:r>
        <w:rPr>
          <w:sz w:val="21"/>
        </w:rPr>
        <w:t>，人流较多或较集中的大型公共建筑的室内无障碍通道宽度</w:t>
      </w:r>
      <w:r>
        <w:rPr>
          <w:spacing w:val="-11"/>
          <w:sz w:val="21"/>
        </w:rPr>
        <w:t xml:space="preserve">不宜小于 </w:t>
      </w:r>
      <w:r>
        <w:rPr>
          <w:sz w:val="21"/>
        </w:rPr>
        <w:t>1.80</w:t>
      </w:r>
      <w:r>
        <w:rPr>
          <w:rFonts w:hint="eastAsia" w:ascii="仿宋" w:eastAsia="仿宋"/>
          <w:sz w:val="21"/>
        </w:rPr>
        <w:t>m</w:t>
      </w:r>
      <w:r>
        <w:rPr>
          <w:sz w:val="21"/>
        </w:rPr>
        <w:t>；</w:t>
      </w:r>
    </w:p>
    <w:p>
      <w:pPr>
        <w:pStyle w:val="12"/>
        <w:numPr>
          <w:ilvl w:val="0"/>
          <w:numId w:val="13"/>
        </w:numPr>
        <w:tabs>
          <w:tab w:val="left" w:pos="1052"/>
          <w:tab w:val="left" w:pos="1053"/>
        </w:tabs>
        <w:spacing w:before="0" w:after="0" w:line="269" w:lineRule="exact"/>
        <w:ind w:left="1052" w:right="0" w:hanging="416"/>
        <w:jc w:val="left"/>
        <w:rPr>
          <w:sz w:val="21"/>
        </w:rPr>
      </w:pPr>
      <w:r>
        <w:rPr>
          <w:spacing w:val="-6"/>
          <w:sz w:val="21"/>
        </w:rPr>
        <w:t xml:space="preserve">室外通道不宜小于 </w:t>
      </w:r>
      <w:r>
        <w:rPr>
          <w:sz w:val="21"/>
        </w:rPr>
        <w:t>1.50</w:t>
      </w:r>
      <w:r>
        <w:rPr>
          <w:rFonts w:hint="eastAsia" w:ascii="仿宋" w:eastAsia="仿宋"/>
          <w:sz w:val="21"/>
        </w:rPr>
        <w:t>m</w:t>
      </w:r>
      <w:r>
        <w:rPr>
          <w:sz w:val="21"/>
        </w:rPr>
        <w:t>；</w:t>
      </w:r>
    </w:p>
    <w:p>
      <w:pPr>
        <w:pStyle w:val="5"/>
        <w:spacing w:before="6"/>
        <w:rPr>
          <w:sz w:val="15"/>
        </w:rPr>
      </w:pPr>
    </w:p>
    <w:p>
      <w:pPr>
        <w:pStyle w:val="12"/>
        <w:numPr>
          <w:ilvl w:val="0"/>
          <w:numId w:val="13"/>
        </w:numPr>
        <w:tabs>
          <w:tab w:val="left" w:pos="1052"/>
          <w:tab w:val="left" w:pos="1053"/>
        </w:tabs>
        <w:spacing w:before="0" w:after="0" w:line="240" w:lineRule="auto"/>
        <w:ind w:left="1052" w:right="0" w:hanging="416"/>
        <w:jc w:val="left"/>
        <w:rPr>
          <w:sz w:val="21"/>
        </w:rPr>
      </w:pPr>
      <w:r>
        <w:rPr>
          <w:spacing w:val="-2"/>
          <w:sz w:val="21"/>
        </w:rPr>
        <w:t xml:space="preserve">公共场所各类检票口、结算口应设轮椅通道，通行净宽不应小于 </w:t>
      </w:r>
      <w:r>
        <w:rPr>
          <w:sz w:val="21"/>
        </w:rPr>
        <w:t>900</w:t>
      </w:r>
      <w:r>
        <w:rPr>
          <w:rFonts w:hint="eastAsia" w:ascii="仿宋" w:eastAsia="仿宋"/>
          <w:sz w:val="21"/>
        </w:rPr>
        <w:t>mm</w:t>
      </w:r>
      <w:r>
        <w:rPr>
          <w:sz w:val="21"/>
        </w:rPr>
        <w:t>。</w:t>
      </w:r>
    </w:p>
    <w:p>
      <w:pPr>
        <w:pStyle w:val="5"/>
        <w:spacing w:before="7"/>
        <w:rPr>
          <w:sz w:val="15"/>
        </w:rPr>
      </w:pPr>
    </w:p>
    <w:p>
      <w:pPr>
        <w:pStyle w:val="12"/>
        <w:numPr>
          <w:ilvl w:val="2"/>
          <w:numId w:val="6"/>
        </w:numPr>
        <w:tabs>
          <w:tab w:val="left" w:pos="1052"/>
          <w:tab w:val="left" w:pos="1053"/>
        </w:tabs>
        <w:spacing w:before="0" w:after="0" w:line="240" w:lineRule="auto"/>
        <w:ind w:left="1052" w:right="0" w:hanging="841"/>
        <w:jc w:val="left"/>
        <w:rPr>
          <w:sz w:val="21"/>
        </w:rPr>
      </w:pPr>
      <w:bookmarkStart w:id="43" w:name="4.1.14无障碍通道尚应符合下列规定："/>
      <w:bookmarkEnd w:id="43"/>
      <w:bookmarkStart w:id="44" w:name="4.1.14无障碍通道尚应符合下列规定："/>
      <w:bookmarkEnd w:id="44"/>
      <w:r>
        <w:rPr>
          <w:sz w:val="21"/>
        </w:rPr>
        <w:t>无障碍通道尚应符合下列规定：</w:t>
      </w:r>
    </w:p>
    <w:p>
      <w:pPr>
        <w:pStyle w:val="5"/>
        <w:spacing w:before="7"/>
        <w:rPr>
          <w:sz w:val="15"/>
        </w:rPr>
      </w:pPr>
    </w:p>
    <w:p>
      <w:pPr>
        <w:pStyle w:val="12"/>
        <w:numPr>
          <w:ilvl w:val="0"/>
          <w:numId w:val="14"/>
        </w:numPr>
        <w:tabs>
          <w:tab w:val="left" w:pos="1052"/>
          <w:tab w:val="left" w:pos="1053"/>
        </w:tabs>
        <w:spacing w:before="0" w:after="0" w:line="240" w:lineRule="auto"/>
        <w:ind w:left="1052" w:right="0" w:hanging="416"/>
        <w:jc w:val="left"/>
        <w:rPr>
          <w:sz w:val="21"/>
        </w:rPr>
      </w:pPr>
      <w:r>
        <w:rPr>
          <w:sz w:val="21"/>
        </w:rPr>
        <w:t>无障碍通道应连续，其地面应平整、防滑、反光小或无反光，并不宜设置厚地毯；</w:t>
      </w:r>
    </w:p>
    <w:p>
      <w:pPr>
        <w:pStyle w:val="5"/>
        <w:spacing w:before="6"/>
        <w:rPr>
          <w:sz w:val="15"/>
        </w:rPr>
      </w:pPr>
    </w:p>
    <w:p>
      <w:pPr>
        <w:pStyle w:val="12"/>
        <w:numPr>
          <w:ilvl w:val="0"/>
          <w:numId w:val="14"/>
        </w:numPr>
        <w:tabs>
          <w:tab w:val="left" w:pos="1052"/>
          <w:tab w:val="left" w:pos="1053"/>
        </w:tabs>
        <w:spacing w:before="1" w:after="0" w:line="240" w:lineRule="auto"/>
        <w:ind w:left="1052" w:right="0" w:hanging="416"/>
        <w:jc w:val="left"/>
        <w:rPr>
          <w:sz w:val="21"/>
        </w:rPr>
      </w:pPr>
      <w:r>
        <w:rPr>
          <w:sz w:val="21"/>
        </w:rPr>
        <w:t>无障碍通道上存在高差时，应设置轮椅坡道；</w:t>
      </w:r>
    </w:p>
    <w:p>
      <w:pPr>
        <w:pStyle w:val="5"/>
        <w:spacing w:before="6"/>
        <w:rPr>
          <w:sz w:val="15"/>
        </w:rPr>
      </w:pPr>
    </w:p>
    <w:p>
      <w:pPr>
        <w:pStyle w:val="12"/>
        <w:numPr>
          <w:ilvl w:val="0"/>
          <w:numId w:val="14"/>
        </w:numPr>
        <w:tabs>
          <w:tab w:val="left" w:pos="1052"/>
          <w:tab w:val="left" w:pos="1053"/>
        </w:tabs>
        <w:spacing w:before="0" w:after="0" w:line="240" w:lineRule="auto"/>
        <w:ind w:left="1052" w:right="0" w:hanging="416"/>
        <w:jc w:val="left"/>
        <w:rPr>
          <w:sz w:val="21"/>
        </w:rPr>
      </w:pPr>
      <w:r>
        <w:rPr>
          <w:spacing w:val="-3"/>
          <w:sz w:val="21"/>
        </w:rPr>
        <w:t xml:space="preserve">室外无障碍通道上有滤水箅子时，孔洞宽度不宜大于 </w:t>
      </w:r>
      <w:r>
        <w:rPr>
          <w:rFonts w:ascii="Calibri" w:eastAsia="Calibri"/>
          <w:sz w:val="21"/>
        </w:rPr>
        <w:t>13</w:t>
      </w:r>
      <w:r>
        <w:rPr>
          <w:rFonts w:hint="eastAsia" w:ascii="仿宋" w:eastAsia="仿宋"/>
          <w:sz w:val="21"/>
        </w:rPr>
        <w:t>mm</w:t>
      </w:r>
      <w:r>
        <w:rPr>
          <w:sz w:val="21"/>
        </w:rPr>
        <w:t>，条状孔洞应垂直于通行方向；</w:t>
      </w:r>
    </w:p>
    <w:p>
      <w:pPr>
        <w:pStyle w:val="5"/>
        <w:spacing w:before="7"/>
        <w:rPr>
          <w:sz w:val="15"/>
        </w:rPr>
      </w:pPr>
    </w:p>
    <w:p>
      <w:pPr>
        <w:pStyle w:val="12"/>
        <w:numPr>
          <w:ilvl w:val="0"/>
          <w:numId w:val="14"/>
        </w:numPr>
        <w:tabs>
          <w:tab w:val="left" w:pos="1052"/>
          <w:tab w:val="left" w:pos="1053"/>
        </w:tabs>
        <w:spacing w:before="0" w:after="0" w:line="240" w:lineRule="auto"/>
        <w:ind w:left="1052" w:right="0" w:hanging="416"/>
        <w:jc w:val="left"/>
        <w:rPr>
          <w:sz w:val="21"/>
        </w:rPr>
      </w:pPr>
      <w:r>
        <w:rPr>
          <w:spacing w:val="-2"/>
          <w:sz w:val="21"/>
        </w:rPr>
        <w:t xml:space="preserve">自动扶梯、楼梯等下部空间可以进入时，应在净高度不大于 </w:t>
      </w:r>
      <w:r>
        <w:rPr>
          <w:sz w:val="21"/>
        </w:rPr>
        <w:t>2.00</w:t>
      </w:r>
      <w:r>
        <w:rPr>
          <w:rFonts w:hint="eastAsia" w:ascii="仿宋" w:eastAsia="仿宋"/>
          <w:sz w:val="21"/>
        </w:rPr>
        <w:t>m</w:t>
      </w:r>
      <w:r>
        <w:rPr>
          <w:rFonts w:hint="eastAsia" w:ascii="仿宋" w:eastAsia="仿宋"/>
          <w:spacing w:val="-54"/>
          <w:sz w:val="21"/>
        </w:rPr>
        <w:t xml:space="preserve"> </w:t>
      </w:r>
      <w:r>
        <w:rPr>
          <w:sz w:val="21"/>
        </w:rPr>
        <w:t>处，设置安全阻挡措设施。</w:t>
      </w:r>
    </w:p>
    <w:p>
      <w:pPr>
        <w:pStyle w:val="5"/>
        <w:spacing w:before="7"/>
        <w:rPr>
          <w:sz w:val="15"/>
        </w:rPr>
      </w:pPr>
    </w:p>
    <w:p>
      <w:pPr>
        <w:pStyle w:val="12"/>
        <w:numPr>
          <w:ilvl w:val="0"/>
          <w:numId w:val="12"/>
        </w:numPr>
        <w:tabs>
          <w:tab w:val="left" w:pos="4744"/>
        </w:tabs>
        <w:spacing w:before="0" w:after="0" w:line="240" w:lineRule="auto"/>
        <w:ind w:left="4744" w:right="99" w:hanging="4744"/>
        <w:jc w:val="left"/>
        <w:rPr>
          <w:rFonts w:hint="eastAsia" w:ascii="黑体" w:eastAsia="黑体"/>
          <w:sz w:val="21"/>
        </w:rPr>
      </w:pPr>
      <w:bookmarkStart w:id="45" w:name="VI轮椅坡道"/>
      <w:bookmarkEnd w:id="45"/>
      <w:bookmarkStart w:id="46" w:name="VI轮椅坡道"/>
      <w:bookmarkEnd w:id="46"/>
      <w:r>
        <w:rPr>
          <w:rFonts w:hint="eastAsia" w:ascii="黑体" w:eastAsia="黑体"/>
          <w:sz w:val="21"/>
        </w:rPr>
        <w:t>轮椅坡道</w:t>
      </w:r>
    </w:p>
    <w:p>
      <w:pPr>
        <w:pStyle w:val="5"/>
        <w:spacing w:before="6"/>
        <w:rPr>
          <w:rFonts w:ascii="黑体"/>
          <w:sz w:val="15"/>
        </w:rPr>
      </w:pPr>
    </w:p>
    <w:p>
      <w:pPr>
        <w:pStyle w:val="12"/>
        <w:numPr>
          <w:ilvl w:val="2"/>
          <w:numId w:val="6"/>
        </w:numPr>
        <w:tabs>
          <w:tab w:val="left" w:pos="1052"/>
          <w:tab w:val="left" w:pos="1053"/>
        </w:tabs>
        <w:spacing w:before="1" w:after="0" w:line="240" w:lineRule="auto"/>
        <w:ind w:left="1052" w:right="0" w:hanging="841"/>
        <w:jc w:val="left"/>
        <w:rPr>
          <w:sz w:val="21"/>
        </w:rPr>
      </w:pPr>
      <w:bookmarkStart w:id="47" w:name="4.1.15轮椅坡道宜设计成直线形、直角形或折返形。坡面上不宜加设防滑条，坡面不"/>
      <w:bookmarkEnd w:id="47"/>
      <w:bookmarkStart w:id="48" w:name="4.1.15轮椅坡道宜设计成直线形、直角形或折返形。坡面上不宜加设防滑条，坡面不"/>
      <w:bookmarkEnd w:id="48"/>
      <w:r>
        <w:rPr>
          <w:sz w:val="21"/>
        </w:rPr>
        <w:t>轮椅坡道宜设计成直线形、直角形或折返形。坡面上不宜加设防滑条，坡面不宜设为礓蹉形式。</w:t>
      </w:r>
    </w:p>
    <w:p>
      <w:pPr>
        <w:pStyle w:val="5"/>
        <w:spacing w:before="6"/>
        <w:rPr>
          <w:sz w:val="15"/>
        </w:rPr>
      </w:pPr>
    </w:p>
    <w:p>
      <w:pPr>
        <w:pStyle w:val="12"/>
        <w:numPr>
          <w:ilvl w:val="2"/>
          <w:numId w:val="6"/>
        </w:numPr>
        <w:tabs>
          <w:tab w:val="left" w:pos="1052"/>
          <w:tab w:val="left" w:pos="1053"/>
        </w:tabs>
        <w:spacing w:before="0" w:after="0" w:line="240" w:lineRule="auto"/>
        <w:ind w:left="1052" w:right="0" w:hanging="841"/>
        <w:jc w:val="left"/>
        <w:rPr>
          <w:sz w:val="21"/>
        </w:rPr>
      </w:pPr>
      <w:bookmarkStart w:id="49" w:name="4.1.16轮椅坡道的坡度、最大提升高度和水平长度应符合表4.1.20要求，且应"/>
      <w:bookmarkEnd w:id="49"/>
      <w:bookmarkStart w:id="50" w:name="4.1.16轮椅坡道的坡度、最大提升高度和水平长度应符合表4.1.20要求，且应"/>
      <w:bookmarkEnd w:id="50"/>
      <w:r>
        <w:rPr>
          <w:spacing w:val="-3"/>
          <w:sz w:val="21"/>
        </w:rPr>
        <w:t xml:space="preserve">轮椅坡道的坡度、最大提升高度和水平长度应符合表 </w:t>
      </w:r>
      <w:r>
        <w:rPr>
          <w:sz w:val="21"/>
        </w:rPr>
        <w:t>4.1.20</w:t>
      </w:r>
      <w:r>
        <w:rPr>
          <w:spacing w:val="-8"/>
          <w:sz w:val="21"/>
        </w:rPr>
        <w:t xml:space="preserve"> 要求，且应符合下列规定：</w:t>
      </w:r>
    </w:p>
    <w:p>
      <w:pPr>
        <w:spacing w:before="128" w:after="28"/>
        <w:ind w:left="0" w:right="100" w:firstLine="0"/>
        <w:jc w:val="center"/>
        <w:rPr>
          <w:rFonts w:hint="eastAsia" w:ascii="黑体" w:eastAsia="黑体"/>
          <w:sz w:val="20"/>
        </w:rPr>
      </w:pPr>
      <w:r>
        <w:rPr>
          <w:rFonts w:hint="eastAsia" w:ascii="黑体" w:eastAsia="黑体"/>
          <w:sz w:val="20"/>
        </w:rPr>
        <w:t>表 4.1.20 轮椅坡道的最大高度和水平长度</w:t>
      </w:r>
    </w:p>
    <w:tbl>
      <w:tblPr>
        <w:tblStyle w:val="9"/>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3"/>
        <w:gridCol w:w="1957"/>
        <w:gridCol w:w="1956"/>
        <w:gridCol w:w="1956"/>
        <w:gridCol w:w="19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03" w:type="dxa"/>
          </w:tcPr>
          <w:p>
            <w:pPr>
              <w:pStyle w:val="13"/>
              <w:spacing w:before="20"/>
              <w:ind w:left="193" w:right="189"/>
              <w:jc w:val="center"/>
              <w:rPr>
                <w:sz w:val="21"/>
              </w:rPr>
            </w:pPr>
            <w:r>
              <w:rPr>
                <w:sz w:val="21"/>
              </w:rPr>
              <w:t>坡度</w:t>
            </w:r>
          </w:p>
        </w:tc>
        <w:tc>
          <w:tcPr>
            <w:tcW w:w="1957" w:type="dxa"/>
          </w:tcPr>
          <w:p>
            <w:pPr>
              <w:pStyle w:val="13"/>
              <w:spacing w:before="20"/>
              <w:ind w:left="768"/>
              <w:rPr>
                <w:sz w:val="21"/>
              </w:rPr>
            </w:pPr>
            <w:r>
              <w:rPr>
                <w:sz w:val="21"/>
              </w:rPr>
              <w:t>1:20</w:t>
            </w:r>
          </w:p>
        </w:tc>
        <w:tc>
          <w:tcPr>
            <w:tcW w:w="1956" w:type="dxa"/>
          </w:tcPr>
          <w:p>
            <w:pPr>
              <w:pStyle w:val="13"/>
              <w:spacing w:before="20"/>
              <w:ind w:left="694" w:right="684"/>
              <w:jc w:val="center"/>
              <w:rPr>
                <w:sz w:val="21"/>
              </w:rPr>
            </w:pPr>
            <w:r>
              <w:rPr>
                <w:sz w:val="21"/>
              </w:rPr>
              <w:t>1:16</w:t>
            </w:r>
          </w:p>
        </w:tc>
        <w:tc>
          <w:tcPr>
            <w:tcW w:w="1956" w:type="dxa"/>
          </w:tcPr>
          <w:p>
            <w:pPr>
              <w:pStyle w:val="13"/>
              <w:spacing w:before="20"/>
              <w:ind w:left="694" w:right="684"/>
              <w:jc w:val="center"/>
              <w:rPr>
                <w:sz w:val="21"/>
              </w:rPr>
            </w:pPr>
            <w:r>
              <w:rPr>
                <w:sz w:val="21"/>
              </w:rPr>
              <w:t>1:12</w:t>
            </w:r>
          </w:p>
        </w:tc>
        <w:tc>
          <w:tcPr>
            <w:tcW w:w="1956" w:type="dxa"/>
          </w:tcPr>
          <w:p>
            <w:pPr>
              <w:pStyle w:val="13"/>
              <w:spacing w:before="20"/>
              <w:ind w:left="694" w:right="684"/>
              <w:jc w:val="center"/>
              <w:rPr>
                <w:sz w:val="21"/>
              </w:rPr>
            </w:pPr>
            <w:r>
              <w:rPr>
                <w:sz w:val="21"/>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03" w:type="dxa"/>
          </w:tcPr>
          <w:p>
            <w:pPr>
              <w:pStyle w:val="13"/>
              <w:spacing w:before="22"/>
              <w:ind w:left="198" w:right="189"/>
              <w:jc w:val="center"/>
              <w:rPr>
                <w:sz w:val="21"/>
              </w:rPr>
            </w:pPr>
            <w:r>
              <w:rPr>
                <w:sz w:val="21"/>
              </w:rPr>
              <w:t>最大高度（</w:t>
            </w:r>
            <w:r>
              <w:rPr>
                <w:rFonts w:hint="eastAsia" w:ascii="仿宋" w:eastAsia="仿宋"/>
                <w:sz w:val="21"/>
              </w:rPr>
              <w:t>m</w:t>
            </w:r>
            <w:r>
              <w:rPr>
                <w:sz w:val="21"/>
              </w:rPr>
              <w:t>）</w:t>
            </w:r>
          </w:p>
        </w:tc>
        <w:tc>
          <w:tcPr>
            <w:tcW w:w="1957" w:type="dxa"/>
          </w:tcPr>
          <w:p>
            <w:pPr>
              <w:pStyle w:val="13"/>
              <w:spacing w:before="22"/>
              <w:ind w:left="768"/>
              <w:rPr>
                <w:sz w:val="21"/>
              </w:rPr>
            </w:pPr>
            <w:r>
              <w:rPr>
                <w:sz w:val="21"/>
              </w:rPr>
              <w:t>0.75</w:t>
            </w:r>
          </w:p>
        </w:tc>
        <w:tc>
          <w:tcPr>
            <w:tcW w:w="1956" w:type="dxa"/>
          </w:tcPr>
          <w:p>
            <w:pPr>
              <w:pStyle w:val="13"/>
              <w:spacing w:before="22"/>
              <w:ind w:left="694" w:right="684"/>
              <w:jc w:val="center"/>
              <w:rPr>
                <w:sz w:val="21"/>
              </w:rPr>
            </w:pPr>
            <w:r>
              <w:rPr>
                <w:sz w:val="21"/>
              </w:rPr>
              <w:t>0.75</w:t>
            </w:r>
          </w:p>
        </w:tc>
        <w:tc>
          <w:tcPr>
            <w:tcW w:w="1956" w:type="dxa"/>
          </w:tcPr>
          <w:p>
            <w:pPr>
              <w:pStyle w:val="13"/>
              <w:spacing w:before="22"/>
              <w:ind w:left="694" w:right="684"/>
              <w:jc w:val="center"/>
              <w:rPr>
                <w:sz w:val="21"/>
              </w:rPr>
            </w:pPr>
            <w:r>
              <w:rPr>
                <w:sz w:val="21"/>
              </w:rPr>
              <w:t>0.75</w:t>
            </w:r>
          </w:p>
        </w:tc>
        <w:tc>
          <w:tcPr>
            <w:tcW w:w="1956" w:type="dxa"/>
          </w:tcPr>
          <w:p>
            <w:pPr>
              <w:pStyle w:val="13"/>
              <w:spacing w:before="22"/>
              <w:ind w:left="694" w:right="684"/>
              <w:jc w:val="center"/>
              <w:rPr>
                <w:sz w:val="21"/>
              </w:rPr>
            </w:pPr>
            <w:r>
              <w:rPr>
                <w:sz w:val="21"/>
              </w:rPr>
              <w:t>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03" w:type="dxa"/>
          </w:tcPr>
          <w:p>
            <w:pPr>
              <w:pStyle w:val="13"/>
              <w:spacing w:before="21"/>
              <w:ind w:left="198" w:right="189"/>
              <w:jc w:val="center"/>
              <w:rPr>
                <w:sz w:val="21"/>
              </w:rPr>
            </w:pPr>
            <w:r>
              <w:rPr>
                <w:sz w:val="21"/>
              </w:rPr>
              <w:t>水平长度（</w:t>
            </w:r>
            <w:r>
              <w:rPr>
                <w:rFonts w:hint="eastAsia" w:ascii="仿宋" w:eastAsia="仿宋"/>
                <w:sz w:val="21"/>
              </w:rPr>
              <w:t>m</w:t>
            </w:r>
            <w:r>
              <w:rPr>
                <w:sz w:val="21"/>
              </w:rPr>
              <w:t>）</w:t>
            </w:r>
          </w:p>
        </w:tc>
        <w:tc>
          <w:tcPr>
            <w:tcW w:w="1957" w:type="dxa"/>
          </w:tcPr>
          <w:p>
            <w:pPr>
              <w:pStyle w:val="13"/>
              <w:spacing w:before="21"/>
              <w:ind w:left="715"/>
              <w:rPr>
                <w:sz w:val="21"/>
              </w:rPr>
            </w:pPr>
            <w:r>
              <w:rPr>
                <w:sz w:val="21"/>
              </w:rPr>
              <w:t>15.00</w:t>
            </w:r>
          </w:p>
        </w:tc>
        <w:tc>
          <w:tcPr>
            <w:tcW w:w="1956" w:type="dxa"/>
          </w:tcPr>
          <w:p>
            <w:pPr>
              <w:pStyle w:val="13"/>
              <w:spacing w:before="21"/>
              <w:ind w:left="694" w:right="687"/>
              <w:jc w:val="center"/>
              <w:rPr>
                <w:sz w:val="21"/>
              </w:rPr>
            </w:pPr>
            <w:r>
              <w:rPr>
                <w:sz w:val="21"/>
              </w:rPr>
              <w:t>12.00</w:t>
            </w:r>
          </w:p>
        </w:tc>
        <w:tc>
          <w:tcPr>
            <w:tcW w:w="1956" w:type="dxa"/>
          </w:tcPr>
          <w:p>
            <w:pPr>
              <w:pStyle w:val="13"/>
              <w:spacing w:before="21"/>
              <w:ind w:left="694" w:right="684"/>
              <w:jc w:val="center"/>
              <w:rPr>
                <w:sz w:val="21"/>
              </w:rPr>
            </w:pPr>
            <w:r>
              <w:rPr>
                <w:sz w:val="21"/>
              </w:rPr>
              <w:t>9.00</w:t>
            </w:r>
          </w:p>
        </w:tc>
        <w:tc>
          <w:tcPr>
            <w:tcW w:w="1956" w:type="dxa"/>
          </w:tcPr>
          <w:p>
            <w:pPr>
              <w:pStyle w:val="13"/>
              <w:spacing w:before="21"/>
              <w:ind w:left="694" w:right="684"/>
              <w:jc w:val="center"/>
              <w:rPr>
                <w:sz w:val="21"/>
              </w:rPr>
            </w:pPr>
            <w:r>
              <w:rPr>
                <w:sz w:val="21"/>
              </w:rPr>
              <w:t>7.50</w:t>
            </w:r>
          </w:p>
        </w:tc>
      </w:tr>
    </w:tbl>
    <w:p>
      <w:pPr>
        <w:pStyle w:val="5"/>
        <w:spacing w:before="98"/>
        <w:ind w:left="212"/>
      </w:pPr>
      <w:r>
        <w:t>注：其他坡度可用插入法进行计算。</w:t>
      </w:r>
    </w:p>
    <w:p>
      <w:pPr>
        <w:pStyle w:val="5"/>
        <w:spacing w:before="7"/>
        <w:rPr>
          <w:sz w:val="15"/>
        </w:rPr>
      </w:pPr>
    </w:p>
    <w:p>
      <w:pPr>
        <w:pStyle w:val="12"/>
        <w:numPr>
          <w:ilvl w:val="0"/>
          <w:numId w:val="15"/>
        </w:numPr>
        <w:tabs>
          <w:tab w:val="left" w:pos="1052"/>
          <w:tab w:val="left" w:pos="1053"/>
        </w:tabs>
        <w:spacing w:before="0" w:after="0" w:line="240" w:lineRule="auto"/>
        <w:ind w:left="1052" w:right="0" w:hanging="416"/>
        <w:jc w:val="left"/>
        <w:rPr>
          <w:sz w:val="21"/>
        </w:rPr>
      </w:pPr>
      <w:r>
        <w:rPr>
          <w:spacing w:val="-6"/>
          <w:sz w:val="21"/>
        </w:rPr>
        <w:t xml:space="preserve">横向坡度不应大于 </w:t>
      </w:r>
      <w:r>
        <w:rPr>
          <w:sz w:val="21"/>
        </w:rPr>
        <w:t>1:50</w:t>
      </w:r>
      <w:r>
        <w:rPr>
          <w:spacing w:val="-5"/>
          <w:sz w:val="21"/>
        </w:rPr>
        <w:t xml:space="preserve">；纵向坡度不应大于 </w:t>
      </w:r>
      <w:r>
        <w:rPr>
          <w:sz w:val="21"/>
        </w:rPr>
        <w:t>1:12</w:t>
      </w:r>
      <w:r>
        <w:rPr>
          <w:spacing w:val="-4"/>
          <w:sz w:val="21"/>
        </w:rPr>
        <w:t xml:space="preserve">，当条件受限且高差不大于 </w:t>
      </w:r>
      <w:r>
        <w:rPr>
          <w:sz w:val="21"/>
        </w:rPr>
        <w:t>150</w:t>
      </w:r>
      <w:r>
        <w:rPr>
          <w:rFonts w:hint="eastAsia" w:ascii="仿宋" w:eastAsia="仿宋"/>
          <w:sz w:val="21"/>
        </w:rPr>
        <w:t>mm</w:t>
      </w:r>
      <w:r>
        <w:rPr>
          <w:rFonts w:hint="eastAsia" w:ascii="仿宋" w:eastAsia="仿宋"/>
          <w:spacing w:val="-52"/>
          <w:sz w:val="21"/>
        </w:rPr>
        <w:t xml:space="preserve"> </w:t>
      </w:r>
      <w:r>
        <w:rPr>
          <w:sz w:val="21"/>
        </w:rPr>
        <w:t>时，纵向坡</w:t>
      </w:r>
    </w:p>
    <w:p>
      <w:pPr>
        <w:spacing w:after="0" w:line="240" w:lineRule="auto"/>
        <w:jc w:val="left"/>
        <w:rPr>
          <w:sz w:val="21"/>
        </w:rPr>
        <w:sectPr>
          <w:pgSz w:w="11910" w:h="16840"/>
          <w:pgMar w:top="1580" w:right="820" w:bottom="1280" w:left="920" w:header="0" w:footer="1095" w:gutter="0"/>
          <w:cols w:space="720" w:num="1"/>
        </w:sectPr>
      </w:pPr>
    </w:p>
    <w:p>
      <w:pPr>
        <w:pStyle w:val="5"/>
        <w:spacing w:before="60"/>
        <w:ind w:left="212"/>
      </w:pPr>
      <w:r>
        <w:t>度不应大于 1:10；</w:t>
      </w:r>
    </w:p>
    <w:p>
      <w:pPr>
        <w:pStyle w:val="5"/>
        <w:spacing w:before="6"/>
        <w:rPr>
          <w:sz w:val="15"/>
        </w:rPr>
      </w:pPr>
    </w:p>
    <w:p>
      <w:pPr>
        <w:pStyle w:val="12"/>
        <w:numPr>
          <w:ilvl w:val="0"/>
          <w:numId w:val="15"/>
        </w:numPr>
        <w:tabs>
          <w:tab w:val="left" w:pos="1052"/>
          <w:tab w:val="left" w:pos="1053"/>
        </w:tabs>
        <w:spacing w:before="1" w:after="0" w:line="240" w:lineRule="auto"/>
        <w:ind w:left="1052" w:right="0" w:hanging="416"/>
        <w:jc w:val="left"/>
        <w:rPr>
          <w:sz w:val="21"/>
        </w:rPr>
      </w:pPr>
      <w:r>
        <w:rPr>
          <w:spacing w:val="-4"/>
          <w:sz w:val="21"/>
        </w:rPr>
        <w:t xml:space="preserve">每段坡道的提升高度不应大于 </w:t>
      </w:r>
      <w:r>
        <w:rPr>
          <w:sz w:val="21"/>
        </w:rPr>
        <w:t>750</w:t>
      </w:r>
      <w:r>
        <w:rPr>
          <w:rFonts w:hint="eastAsia" w:ascii="仿宋" w:eastAsia="仿宋"/>
          <w:sz w:val="21"/>
        </w:rPr>
        <w:t>mm</w:t>
      </w:r>
      <w:r>
        <w:rPr>
          <w:sz w:val="21"/>
        </w:rPr>
        <w:t>，否则应设置休息平台。</w:t>
      </w:r>
    </w:p>
    <w:p>
      <w:pPr>
        <w:pStyle w:val="5"/>
        <w:spacing w:before="6"/>
        <w:rPr>
          <w:sz w:val="15"/>
        </w:rPr>
      </w:pPr>
    </w:p>
    <w:p>
      <w:pPr>
        <w:pStyle w:val="12"/>
        <w:numPr>
          <w:ilvl w:val="2"/>
          <w:numId w:val="6"/>
        </w:numPr>
        <w:tabs>
          <w:tab w:val="left" w:pos="839"/>
          <w:tab w:val="left" w:pos="840"/>
        </w:tabs>
        <w:spacing w:before="0" w:after="0" w:line="240" w:lineRule="auto"/>
        <w:ind w:left="1052" w:right="6382" w:hanging="1053"/>
        <w:jc w:val="right"/>
        <w:rPr>
          <w:sz w:val="21"/>
        </w:rPr>
      </w:pPr>
      <w:bookmarkStart w:id="51" w:name="4.1.17轮椅坡道尚应符合下列规定："/>
      <w:bookmarkEnd w:id="51"/>
      <w:bookmarkStart w:id="52" w:name="4.1.17轮椅坡道尚应符合下列规定："/>
      <w:bookmarkEnd w:id="52"/>
      <w:r>
        <w:rPr>
          <w:w w:val="95"/>
          <w:sz w:val="21"/>
        </w:rPr>
        <w:t>轮椅坡道尚应符合下列规定：</w:t>
      </w:r>
    </w:p>
    <w:p>
      <w:pPr>
        <w:pStyle w:val="5"/>
        <w:spacing w:before="7"/>
        <w:rPr>
          <w:sz w:val="15"/>
        </w:rPr>
      </w:pPr>
    </w:p>
    <w:p>
      <w:pPr>
        <w:pStyle w:val="12"/>
        <w:numPr>
          <w:ilvl w:val="0"/>
          <w:numId w:val="16"/>
        </w:numPr>
        <w:tabs>
          <w:tab w:val="left" w:pos="1052"/>
          <w:tab w:val="left" w:pos="1053"/>
        </w:tabs>
        <w:spacing w:before="0" w:after="0" w:line="240" w:lineRule="auto"/>
        <w:ind w:left="1052" w:right="0" w:hanging="416"/>
        <w:jc w:val="left"/>
        <w:rPr>
          <w:sz w:val="21"/>
        </w:rPr>
      </w:pPr>
      <w:r>
        <w:rPr>
          <w:spacing w:val="-7"/>
          <w:sz w:val="21"/>
        </w:rPr>
        <w:t xml:space="preserve">净宽度不应小于 </w:t>
      </w:r>
      <w:r>
        <w:rPr>
          <w:sz w:val="21"/>
        </w:rPr>
        <w:t>1.00</w:t>
      </w:r>
      <w:r>
        <w:rPr>
          <w:rFonts w:hint="eastAsia" w:ascii="仿宋" w:eastAsia="仿宋"/>
          <w:sz w:val="21"/>
        </w:rPr>
        <w:t>m</w:t>
      </w:r>
      <w:r>
        <w:rPr>
          <w:spacing w:val="-3"/>
          <w:sz w:val="21"/>
        </w:rPr>
        <w:t xml:space="preserve">，无障碍出入口的轮椅坡道净宽度不应小于 </w:t>
      </w:r>
      <w:r>
        <w:rPr>
          <w:sz w:val="21"/>
        </w:rPr>
        <w:t>1.20</w:t>
      </w:r>
      <w:r>
        <w:rPr>
          <w:rFonts w:hint="eastAsia" w:ascii="仿宋" w:eastAsia="仿宋"/>
          <w:sz w:val="21"/>
        </w:rPr>
        <w:t>m</w:t>
      </w:r>
      <w:r>
        <w:rPr>
          <w:sz w:val="21"/>
        </w:rPr>
        <w:t>；</w:t>
      </w:r>
    </w:p>
    <w:p>
      <w:pPr>
        <w:pStyle w:val="5"/>
        <w:spacing w:before="7"/>
        <w:rPr>
          <w:sz w:val="15"/>
        </w:rPr>
      </w:pPr>
    </w:p>
    <w:p>
      <w:pPr>
        <w:pStyle w:val="12"/>
        <w:numPr>
          <w:ilvl w:val="0"/>
          <w:numId w:val="16"/>
        </w:numPr>
        <w:tabs>
          <w:tab w:val="left" w:pos="1052"/>
          <w:tab w:val="left" w:pos="1053"/>
        </w:tabs>
        <w:spacing w:before="0" w:after="0" w:line="417" w:lineRule="auto"/>
        <w:ind w:left="212" w:right="312" w:firstLine="424"/>
        <w:jc w:val="left"/>
        <w:rPr>
          <w:sz w:val="21"/>
        </w:rPr>
      </w:pPr>
      <w:r>
        <w:rPr>
          <w:spacing w:val="-2"/>
          <w:sz w:val="21"/>
        </w:rPr>
        <w:t xml:space="preserve">起终点和中间休息平台的通行净宽度不应小于坡道的通行净宽，水平长度不应小于 </w:t>
      </w:r>
      <w:r>
        <w:rPr>
          <w:sz w:val="21"/>
        </w:rPr>
        <w:t>1.50</w:t>
      </w:r>
      <w:r>
        <w:rPr>
          <w:rFonts w:hint="eastAsia" w:ascii="仿宋" w:eastAsia="仿宋"/>
          <w:sz w:val="21"/>
        </w:rPr>
        <w:t>m</w:t>
      </w:r>
      <w:r>
        <w:rPr>
          <w:sz w:val="21"/>
        </w:rPr>
        <w:t>；门扇开启及物体不应占用此范围空间；</w:t>
      </w:r>
    </w:p>
    <w:p>
      <w:pPr>
        <w:pStyle w:val="12"/>
        <w:numPr>
          <w:ilvl w:val="0"/>
          <w:numId w:val="16"/>
        </w:numPr>
        <w:tabs>
          <w:tab w:val="left" w:pos="1052"/>
          <w:tab w:val="left" w:pos="1053"/>
        </w:tabs>
        <w:spacing w:before="0" w:after="0" w:line="269" w:lineRule="exact"/>
        <w:ind w:left="1052" w:right="0" w:hanging="416"/>
        <w:jc w:val="left"/>
        <w:rPr>
          <w:sz w:val="21"/>
        </w:rPr>
      </w:pPr>
      <w:r>
        <w:rPr>
          <w:spacing w:val="-11"/>
          <w:sz w:val="21"/>
        </w:rPr>
        <w:t xml:space="preserve">高度超过 </w:t>
      </w:r>
      <w:r>
        <w:rPr>
          <w:sz w:val="21"/>
        </w:rPr>
        <w:t>300</w:t>
      </w:r>
      <w:r>
        <w:rPr>
          <w:rFonts w:hint="eastAsia" w:ascii="仿宋" w:eastAsia="仿宋"/>
          <w:sz w:val="21"/>
        </w:rPr>
        <w:t>mm</w:t>
      </w:r>
      <w:r>
        <w:rPr>
          <w:rFonts w:hint="eastAsia" w:ascii="仿宋" w:eastAsia="仿宋"/>
          <w:spacing w:val="-54"/>
          <w:sz w:val="21"/>
        </w:rPr>
        <w:t xml:space="preserve"> </w:t>
      </w:r>
      <w:r>
        <w:rPr>
          <w:spacing w:val="-10"/>
          <w:sz w:val="21"/>
        </w:rPr>
        <w:t xml:space="preserve">且坡度大于 </w:t>
      </w:r>
      <w:r>
        <w:rPr>
          <w:sz w:val="21"/>
        </w:rPr>
        <w:t>1:20</w:t>
      </w:r>
      <w:r>
        <w:rPr>
          <w:spacing w:val="-8"/>
          <w:sz w:val="21"/>
        </w:rPr>
        <w:t xml:space="preserve"> 时，应在两侧设置扶手，坡道与休息平台的扶手应保持连贯；</w:t>
      </w:r>
    </w:p>
    <w:p>
      <w:pPr>
        <w:pStyle w:val="5"/>
        <w:spacing w:before="6"/>
        <w:rPr>
          <w:sz w:val="15"/>
        </w:rPr>
      </w:pPr>
    </w:p>
    <w:p>
      <w:pPr>
        <w:pStyle w:val="12"/>
        <w:numPr>
          <w:ilvl w:val="0"/>
          <w:numId w:val="16"/>
        </w:numPr>
        <w:tabs>
          <w:tab w:val="left" w:pos="1052"/>
          <w:tab w:val="left" w:pos="1053"/>
        </w:tabs>
        <w:spacing w:before="1" w:after="0" w:line="240" w:lineRule="auto"/>
        <w:ind w:left="1052" w:right="0" w:hanging="416"/>
        <w:jc w:val="left"/>
        <w:rPr>
          <w:sz w:val="21"/>
        </w:rPr>
      </w:pPr>
      <w:r>
        <w:rPr>
          <w:sz w:val="21"/>
        </w:rPr>
        <w:t>设置扶手的轮椅坡道的临空侧应设置安全阻挡措施；</w:t>
      </w:r>
    </w:p>
    <w:p>
      <w:pPr>
        <w:pStyle w:val="5"/>
        <w:spacing w:before="6"/>
        <w:rPr>
          <w:sz w:val="15"/>
        </w:rPr>
      </w:pPr>
    </w:p>
    <w:p>
      <w:pPr>
        <w:pStyle w:val="12"/>
        <w:numPr>
          <w:ilvl w:val="0"/>
          <w:numId w:val="16"/>
        </w:numPr>
        <w:tabs>
          <w:tab w:val="left" w:pos="415"/>
          <w:tab w:val="left" w:pos="1053"/>
        </w:tabs>
        <w:spacing w:before="0" w:after="0" w:line="240" w:lineRule="auto"/>
        <w:ind w:left="1052" w:right="6382" w:hanging="1053"/>
        <w:jc w:val="right"/>
        <w:rPr>
          <w:sz w:val="21"/>
        </w:rPr>
      </w:pPr>
      <w:r>
        <w:rPr>
          <w:w w:val="95"/>
          <w:sz w:val="21"/>
        </w:rPr>
        <w:t>坡面应平整、防滑、无反光；</w:t>
      </w:r>
    </w:p>
    <w:p>
      <w:pPr>
        <w:pStyle w:val="5"/>
        <w:spacing w:before="7"/>
        <w:rPr>
          <w:sz w:val="15"/>
        </w:rPr>
      </w:pPr>
    </w:p>
    <w:p>
      <w:pPr>
        <w:pStyle w:val="12"/>
        <w:numPr>
          <w:ilvl w:val="0"/>
          <w:numId w:val="16"/>
        </w:numPr>
        <w:tabs>
          <w:tab w:val="left" w:pos="1052"/>
          <w:tab w:val="left" w:pos="1053"/>
        </w:tabs>
        <w:spacing w:before="0" w:after="0" w:line="240" w:lineRule="auto"/>
        <w:ind w:left="1052" w:right="0" w:hanging="416"/>
        <w:jc w:val="left"/>
        <w:rPr>
          <w:sz w:val="21"/>
        </w:rPr>
      </w:pPr>
      <w:r>
        <w:rPr>
          <w:w w:val="95"/>
          <w:sz w:val="21"/>
        </w:rPr>
        <w:t>应设置标识设施。</w:t>
      </w:r>
    </w:p>
    <w:p>
      <w:pPr>
        <w:pStyle w:val="5"/>
        <w:spacing w:before="7"/>
        <w:rPr>
          <w:sz w:val="15"/>
        </w:rPr>
      </w:pPr>
    </w:p>
    <w:p>
      <w:pPr>
        <w:pStyle w:val="12"/>
        <w:numPr>
          <w:ilvl w:val="0"/>
          <w:numId w:val="12"/>
        </w:numPr>
        <w:tabs>
          <w:tab w:val="left" w:pos="4586"/>
        </w:tabs>
        <w:spacing w:before="0" w:after="0" w:line="240" w:lineRule="auto"/>
        <w:ind w:left="4585" w:right="102" w:hanging="4586"/>
        <w:jc w:val="left"/>
        <w:rPr>
          <w:rFonts w:hint="eastAsia" w:ascii="黑体" w:eastAsia="黑体"/>
          <w:sz w:val="21"/>
        </w:rPr>
      </w:pPr>
      <w:bookmarkStart w:id="53" w:name="VII无障碍出入口"/>
      <w:bookmarkEnd w:id="53"/>
      <w:bookmarkStart w:id="54" w:name="VII无障碍出入口"/>
      <w:bookmarkEnd w:id="54"/>
      <w:r>
        <w:rPr>
          <w:rFonts w:hint="eastAsia" w:ascii="黑体" w:eastAsia="黑体"/>
          <w:sz w:val="21"/>
        </w:rPr>
        <w:t>无障碍出入口</w:t>
      </w:r>
    </w:p>
    <w:p>
      <w:pPr>
        <w:pStyle w:val="5"/>
        <w:spacing w:before="6"/>
        <w:rPr>
          <w:rFonts w:ascii="黑体"/>
          <w:sz w:val="15"/>
        </w:rPr>
      </w:pPr>
    </w:p>
    <w:p>
      <w:pPr>
        <w:pStyle w:val="12"/>
        <w:numPr>
          <w:ilvl w:val="2"/>
          <w:numId w:val="6"/>
        </w:numPr>
        <w:tabs>
          <w:tab w:val="left" w:pos="1052"/>
          <w:tab w:val="left" w:pos="1053"/>
        </w:tabs>
        <w:spacing w:before="1" w:after="0" w:line="240" w:lineRule="auto"/>
        <w:ind w:left="1052" w:right="0" w:hanging="841"/>
        <w:jc w:val="left"/>
        <w:rPr>
          <w:sz w:val="21"/>
        </w:rPr>
      </w:pPr>
      <w:bookmarkStart w:id="55" w:name="4.1.18无障碍出入口应为以下三种出入口之一："/>
      <w:bookmarkEnd w:id="55"/>
      <w:bookmarkStart w:id="56" w:name="4.1.18无障碍出入口应为以下三种出入口之一："/>
      <w:bookmarkEnd w:id="56"/>
      <w:r>
        <w:rPr>
          <w:sz w:val="21"/>
        </w:rPr>
        <w:t>无障碍出入口应为以下三种出入口之一：</w:t>
      </w:r>
    </w:p>
    <w:p>
      <w:pPr>
        <w:pStyle w:val="5"/>
        <w:spacing w:before="6"/>
        <w:rPr>
          <w:sz w:val="15"/>
        </w:rPr>
      </w:pPr>
    </w:p>
    <w:p>
      <w:pPr>
        <w:pStyle w:val="12"/>
        <w:numPr>
          <w:ilvl w:val="0"/>
          <w:numId w:val="17"/>
        </w:numPr>
        <w:tabs>
          <w:tab w:val="left" w:pos="1052"/>
          <w:tab w:val="left" w:pos="1053"/>
        </w:tabs>
        <w:spacing w:before="0" w:after="0" w:line="240" w:lineRule="auto"/>
        <w:ind w:left="1052" w:right="0" w:hanging="416"/>
        <w:jc w:val="left"/>
        <w:rPr>
          <w:sz w:val="21"/>
        </w:rPr>
      </w:pPr>
      <w:r>
        <w:rPr>
          <w:spacing w:val="-7"/>
          <w:sz w:val="21"/>
        </w:rPr>
        <w:t xml:space="preserve">地面坡度不大于 </w:t>
      </w:r>
      <w:r>
        <w:rPr>
          <w:sz w:val="21"/>
        </w:rPr>
        <w:t>1:20</w:t>
      </w:r>
      <w:r>
        <w:rPr>
          <w:spacing w:val="-8"/>
          <w:sz w:val="21"/>
        </w:rPr>
        <w:t xml:space="preserve"> 的平坡出入口；</w:t>
      </w:r>
    </w:p>
    <w:p>
      <w:pPr>
        <w:pStyle w:val="5"/>
        <w:spacing w:before="7"/>
        <w:rPr>
          <w:sz w:val="15"/>
        </w:rPr>
      </w:pPr>
    </w:p>
    <w:p>
      <w:pPr>
        <w:pStyle w:val="12"/>
        <w:numPr>
          <w:ilvl w:val="0"/>
          <w:numId w:val="17"/>
        </w:numPr>
        <w:tabs>
          <w:tab w:val="left" w:pos="1052"/>
          <w:tab w:val="left" w:pos="1053"/>
        </w:tabs>
        <w:spacing w:before="0" w:after="0" w:line="240" w:lineRule="auto"/>
        <w:ind w:left="1052" w:right="0" w:hanging="416"/>
        <w:jc w:val="left"/>
        <w:rPr>
          <w:sz w:val="21"/>
        </w:rPr>
      </w:pPr>
      <w:r>
        <w:rPr>
          <w:sz w:val="21"/>
        </w:rPr>
        <w:t>同时设置台阶和轮椅坡道的出入口；</w:t>
      </w:r>
    </w:p>
    <w:p>
      <w:pPr>
        <w:pStyle w:val="5"/>
        <w:spacing w:before="7"/>
        <w:rPr>
          <w:sz w:val="15"/>
        </w:rPr>
      </w:pPr>
    </w:p>
    <w:p>
      <w:pPr>
        <w:pStyle w:val="12"/>
        <w:numPr>
          <w:ilvl w:val="0"/>
          <w:numId w:val="17"/>
        </w:numPr>
        <w:tabs>
          <w:tab w:val="left" w:pos="1052"/>
          <w:tab w:val="left" w:pos="1053"/>
        </w:tabs>
        <w:spacing w:before="0" w:after="0" w:line="240" w:lineRule="auto"/>
        <w:ind w:left="1052" w:right="0" w:hanging="416"/>
        <w:jc w:val="left"/>
        <w:rPr>
          <w:sz w:val="21"/>
        </w:rPr>
      </w:pPr>
      <w:r>
        <w:rPr>
          <w:sz w:val="21"/>
        </w:rPr>
        <w:t>同时设置台阶和升降平台的出入口，宜只用于受场地限制无法改造坡道的工程。</w:t>
      </w:r>
    </w:p>
    <w:p>
      <w:pPr>
        <w:pStyle w:val="5"/>
        <w:spacing w:before="6"/>
        <w:rPr>
          <w:sz w:val="15"/>
        </w:rPr>
      </w:pPr>
    </w:p>
    <w:p>
      <w:pPr>
        <w:pStyle w:val="12"/>
        <w:numPr>
          <w:ilvl w:val="2"/>
          <w:numId w:val="6"/>
        </w:numPr>
        <w:tabs>
          <w:tab w:val="left" w:pos="1052"/>
          <w:tab w:val="left" w:pos="1053"/>
        </w:tabs>
        <w:spacing w:before="1" w:after="0" w:line="240" w:lineRule="auto"/>
        <w:ind w:left="1052" w:right="0" w:hanging="841"/>
        <w:jc w:val="left"/>
        <w:rPr>
          <w:sz w:val="21"/>
        </w:rPr>
      </w:pPr>
      <w:bookmarkStart w:id="57" w:name="4.1.19无障碍出入口应符合下列规定："/>
      <w:bookmarkEnd w:id="57"/>
      <w:bookmarkStart w:id="58" w:name="4.1.19无障碍出入口应符合下列规定："/>
      <w:bookmarkEnd w:id="58"/>
      <w:r>
        <w:rPr>
          <w:sz w:val="21"/>
        </w:rPr>
        <w:t>无障碍出入口应符合下列规定：</w:t>
      </w:r>
    </w:p>
    <w:p>
      <w:pPr>
        <w:pStyle w:val="5"/>
        <w:spacing w:before="6"/>
        <w:rPr>
          <w:sz w:val="15"/>
        </w:rPr>
      </w:pPr>
    </w:p>
    <w:p>
      <w:pPr>
        <w:pStyle w:val="12"/>
        <w:numPr>
          <w:ilvl w:val="0"/>
          <w:numId w:val="18"/>
        </w:numPr>
        <w:tabs>
          <w:tab w:val="left" w:pos="1052"/>
          <w:tab w:val="left" w:pos="1053"/>
        </w:tabs>
        <w:spacing w:before="0" w:after="0" w:line="240" w:lineRule="auto"/>
        <w:ind w:left="1052" w:right="0" w:hanging="416"/>
        <w:jc w:val="left"/>
        <w:rPr>
          <w:sz w:val="21"/>
        </w:rPr>
      </w:pPr>
      <w:r>
        <w:rPr>
          <w:sz w:val="21"/>
        </w:rPr>
        <w:t>地面应平整、防滑；</w:t>
      </w:r>
    </w:p>
    <w:p>
      <w:pPr>
        <w:pStyle w:val="5"/>
        <w:spacing w:before="7"/>
        <w:rPr>
          <w:sz w:val="15"/>
        </w:rPr>
      </w:pPr>
    </w:p>
    <w:p>
      <w:pPr>
        <w:pStyle w:val="12"/>
        <w:numPr>
          <w:ilvl w:val="0"/>
          <w:numId w:val="18"/>
        </w:numPr>
        <w:tabs>
          <w:tab w:val="left" w:pos="1052"/>
          <w:tab w:val="left" w:pos="1053"/>
        </w:tabs>
        <w:spacing w:before="0" w:after="0" w:line="240" w:lineRule="auto"/>
        <w:ind w:left="1052" w:right="0" w:hanging="416"/>
        <w:jc w:val="left"/>
        <w:rPr>
          <w:sz w:val="21"/>
        </w:rPr>
      </w:pPr>
      <w:r>
        <w:rPr>
          <w:spacing w:val="-3"/>
          <w:sz w:val="21"/>
        </w:rPr>
        <w:t xml:space="preserve">室外地面滤水箅子的孔洞宽度不宜大于 </w:t>
      </w:r>
      <w:r>
        <w:rPr>
          <w:rFonts w:ascii="Calibri" w:eastAsia="Calibri"/>
          <w:sz w:val="21"/>
        </w:rPr>
        <w:t>13</w:t>
      </w:r>
      <w:r>
        <w:rPr>
          <w:rFonts w:hint="eastAsia" w:ascii="仿宋" w:eastAsia="仿宋"/>
          <w:sz w:val="21"/>
        </w:rPr>
        <w:t>mm</w:t>
      </w:r>
      <w:r>
        <w:rPr>
          <w:sz w:val="21"/>
        </w:rPr>
        <w:t>；</w:t>
      </w:r>
    </w:p>
    <w:p>
      <w:pPr>
        <w:pStyle w:val="5"/>
        <w:spacing w:before="7"/>
        <w:rPr>
          <w:sz w:val="15"/>
        </w:rPr>
      </w:pPr>
    </w:p>
    <w:p>
      <w:pPr>
        <w:pStyle w:val="12"/>
        <w:numPr>
          <w:ilvl w:val="0"/>
          <w:numId w:val="18"/>
        </w:numPr>
        <w:tabs>
          <w:tab w:val="left" w:pos="1052"/>
          <w:tab w:val="left" w:pos="1053"/>
        </w:tabs>
        <w:spacing w:before="0" w:after="0" w:line="417" w:lineRule="auto"/>
        <w:ind w:left="212" w:right="310" w:firstLine="424"/>
        <w:jc w:val="left"/>
        <w:rPr>
          <w:sz w:val="21"/>
        </w:rPr>
      </w:pPr>
      <w:r>
        <w:rPr>
          <w:spacing w:val="-3"/>
          <w:w w:val="95"/>
          <w:sz w:val="21"/>
        </w:rPr>
        <w:t xml:space="preserve">除平坡出入口外，无障碍出入口的门前应设置平台；在门完全开启的状态下，建筑物无障碍出入   </w:t>
      </w:r>
      <w:r>
        <w:rPr>
          <w:spacing w:val="-7"/>
          <w:sz w:val="21"/>
        </w:rPr>
        <w:t xml:space="preserve">口平台的净深度不应小于 </w:t>
      </w:r>
      <w:r>
        <w:rPr>
          <w:sz w:val="21"/>
        </w:rPr>
        <w:t>1.50</w:t>
      </w:r>
      <w:r>
        <w:rPr>
          <w:rFonts w:hint="eastAsia" w:ascii="仿宋" w:eastAsia="仿宋"/>
          <w:sz w:val="21"/>
        </w:rPr>
        <w:t>m</w:t>
      </w:r>
      <w:r>
        <w:rPr>
          <w:sz w:val="21"/>
        </w:rPr>
        <w:t>；</w:t>
      </w:r>
    </w:p>
    <w:p>
      <w:pPr>
        <w:pStyle w:val="12"/>
        <w:numPr>
          <w:ilvl w:val="0"/>
          <w:numId w:val="18"/>
        </w:numPr>
        <w:tabs>
          <w:tab w:val="left" w:pos="1052"/>
          <w:tab w:val="left" w:pos="1053"/>
        </w:tabs>
        <w:spacing w:before="0" w:after="0" w:line="417" w:lineRule="auto"/>
        <w:ind w:left="212" w:right="310" w:firstLine="424"/>
        <w:jc w:val="left"/>
        <w:rPr>
          <w:sz w:val="21"/>
        </w:rPr>
      </w:pPr>
      <w:r>
        <w:rPr>
          <w:spacing w:val="-3"/>
          <w:sz w:val="21"/>
        </w:rPr>
        <w:t>建筑物无障碍出入口的门厅、过厅如沿通行方向设置两道门，则其同时开启后，门扇之间最小净</w:t>
      </w:r>
      <w:r>
        <w:rPr>
          <w:spacing w:val="-10"/>
          <w:sz w:val="21"/>
        </w:rPr>
        <w:t xml:space="preserve">距离不应小于 </w:t>
      </w:r>
      <w:r>
        <w:rPr>
          <w:sz w:val="21"/>
        </w:rPr>
        <w:t>1.50</w:t>
      </w:r>
      <w:r>
        <w:rPr>
          <w:rFonts w:hint="eastAsia" w:ascii="仿宋" w:eastAsia="仿宋"/>
          <w:sz w:val="21"/>
        </w:rPr>
        <w:t>m</w:t>
      </w:r>
      <w:r>
        <w:rPr>
          <w:sz w:val="21"/>
        </w:rPr>
        <w:t>；</w:t>
      </w:r>
    </w:p>
    <w:p>
      <w:pPr>
        <w:pStyle w:val="12"/>
        <w:numPr>
          <w:ilvl w:val="0"/>
          <w:numId w:val="18"/>
        </w:numPr>
        <w:tabs>
          <w:tab w:val="left" w:pos="1052"/>
          <w:tab w:val="left" w:pos="1053"/>
        </w:tabs>
        <w:spacing w:before="0" w:after="0" w:line="269" w:lineRule="exact"/>
        <w:ind w:left="1052" w:right="0" w:hanging="416"/>
        <w:jc w:val="left"/>
        <w:rPr>
          <w:sz w:val="21"/>
        </w:rPr>
      </w:pPr>
      <w:r>
        <w:rPr>
          <w:sz w:val="21"/>
        </w:rPr>
        <w:t>建筑物无障碍出入口的门前应设置雨篷；</w:t>
      </w:r>
    </w:p>
    <w:p>
      <w:pPr>
        <w:pStyle w:val="5"/>
        <w:spacing w:before="6"/>
        <w:rPr>
          <w:sz w:val="15"/>
        </w:rPr>
      </w:pPr>
    </w:p>
    <w:p>
      <w:pPr>
        <w:pStyle w:val="12"/>
        <w:numPr>
          <w:ilvl w:val="0"/>
          <w:numId w:val="18"/>
        </w:numPr>
        <w:tabs>
          <w:tab w:val="left" w:pos="1052"/>
          <w:tab w:val="left" w:pos="1053"/>
        </w:tabs>
        <w:spacing w:before="0" w:after="0" w:line="417" w:lineRule="auto"/>
        <w:ind w:left="212" w:right="312" w:firstLine="424"/>
        <w:jc w:val="left"/>
        <w:rPr>
          <w:sz w:val="21"/>
        </w:rPr>
      </w:pPr>
      <w:r>
        <w:rPr>
          <w:spacing w:val="-4"/>
          <w:sz w:val="21"/>
        </w:rPr>
        <w:t xml:space="preserve">设置出入口闸机时，至少有 </w:t>
      </w:r>
      <w:r>
        <w:rPr>
          <w:sz w:val="21"/>
        </w:rPr>
        <w:t>1</w:t>
      </w:r>
      <w:r>
        <w:rPr>
          <w:spacing w:val="-10"/>
          <w:sz w:val="21"/>
        </w:rPr>
        <w:t xml:space="preserve"> 台开启后的通行净宽度不应小于 </w:t>
      </w:r>
      <w:r>
        <w:rPr>
          <w:sz w:val="21"/>
        </w:rPr>
        <w:t>900</w:t>
      </w:r>
      <w:r>
        <w:rPr>
          <w:rFonts w:hint="eastAsia" w:ascii="仿宋" w:eastAsia="仿宋"/>
          <w:sz w:val="21"/>
        </w:rPr>
        <w:t>mm</w:t>
      </w:r>
      <w:r>
        <w:rPr>
          <w:sz w:val="21"/>
        </w:rPr>
        <w:t>，或者在紧邻处设置供乘轮椅者出入的门或出入口。</w:t>
      </w:r>
    </w:p>
    <w:p>
      <w:pPr>
        <w:pStyle w:val="12"/>
        <w:numPr>
          <w:ilvl w:val="0"/>
          <w:numId w:val="12"/>
        </w:numPr>
        <w:tabs>
          <w:tab w:val="left" w:pos="5191"/>
        </w:tabs>
        <w:spacing w:before="0" w:after="0" w:line="269" w:lineRule="exact"/>
        <w:ind w:left="5190" w:right="99" w:hanging="5191"/>
        <w:jc w:val="left"/>
        <w:rPr>
          <w:rFonts w:hint="eastAsia" w:ascii="黑体" w:eastAsia="黑体"/>
          <w:sz w:val="21"/>
        </w:rPr>
      </w:pPr>
      <w:bookmarkStart w:id="59" w:name="VIII 门"/>
      <w:bookmarkEnd w:id="59"/>
      <w:bookmarkStart w:id="60" w:name="VIII 门"/>
      <w:bookmarkEnd w:id="60"/>
      <w:r>
        <w:rPr>
          <w:rFonts w:hint="eastAsia" w:ascii="黑体" w:eastAsia="黑体"/>
          <w:w w:val="99"/>
          <w:sz w:val="21"/>
        </w:rPr>
        <w:t>门</w:t>
      </w:r>
    </w:p>
    <w:p>
      <w:pPr>
        <w:pStyle w:val="5"/>
        <w:spacing w:before="7"/>
        <w:rPr>
          <w:rFonts w:ascii="黑体"/>
          <w:sz w:val="15"/>
        </w:rPr>
      </w:pPr>
    </w:p>
    <w:p>
      <w:pPr>
        <w:pStyle w:val="12"/>
        <w:numPr>
          <w:ilvl w:val="2"/>
          <w:numId w:val="6"/>
        </w:numPr>
        <w:tabs>
          <w:tab w:val="left" w:pos="1052"/>
          <w:tab w:val="left" w:pos="1053"/>
        </w:tabs>
        <w:spacing w:before="0" w:after="0" w:line="240" w:lineRule="auto"/>
        <w:ind w:left="1052" w:right="0" w:hanging="841"/>
        <w:jc w:val="left"/>
        <w:rPr>
          <w:sz w:val="21"/>
        </w:rPr>
      </w:pPr>
      <w:bookmarkStart w:id="61" w:name="4.1.20满足无障碍要求的门应符合下列规定："/>
      <w:bookmarkEnd w:id="61"/>
      <w:bookmarkStart w:id="62" w:name="4.1.20满足无障碍要求的门应符合下列规定："/>
      <w:bookmarkEnd w:id="62"/>
      <w:r>
        <w:rPr>
          <w:sz w:val="21"/>
        </w:rPr>
        <w:t>满足无障碍要求的门应符合下列规定：</w:t>
      </w:r>
    </w:p>
    <w:p>
      <w:pPr>
        <w:pStyle w:val="5"/>
        <w:spacing w:before="7"/>
        <w:rPr>
          <w:sz w:val="15"/>
        </w:rPr>
      </w:pPr>
    </w:p>
    <w:p>
      <w:pPr>
        <w:pStyle w:val="12"/>
        <w:numPr>
          <w:ilvl w:val="0"/>
          <w:numId w:val="19"/>
        </w:numPr>
        <w:tabs>
          <w:tab w:val="left" w:pos="1052"/>
          <w:tab w:val="left" w:pos="1053"/>
        </w:tabs>
        <w:spacing w:before="0" w:after="0" w:line="240" w:lineRule="auto"/>
        <w:ind w:left="1052" w:right="0" w:hanging="416"/>
        <w:jc w:val="left"/>
        <w:rPr>
          <w:sz w:val="21"/>
        </w:rPr>
      </w:pPr>
      <w:r>
        <w:rPr>
          <w:sz w:val="21"/>
        </w:rPr>
        <w:t>应可以清晰辨认、轻松开关和安全通过；</w:t>
      </w:r>
    </w:p>
    <w:p>
      <w:pPr>
        <w:pStyle w:val="5"/>
        <w:spacing w:before="6"/>
        <w:rPr>
          <w:sz w:val="15"/>
        </w:rPr>
      </w:pPr>
    </w:p>
    <w:p>
      <w:pPr>
        <w:pStyle w:val="12"/>
        <w:numPr>
          <w:ilvl w:val="0"/>
          <w:numId w:val="19"/>
        </w:numPr>
        <w:tabs>
          <w:tab w:val="left" w:pos="1052"/>
          <w:tab w:val="left" w:pos="1053"/>
        </w:tabs>
        <w:spacing w:before="1" w:after="0" w:line="240" w:lineRule="auto"/>
        <w:ind w:left="1052" w:right="0" w:hanging="416"/>
        <w:jc w:val="left"/>
        <w:rPr>
          <w:sz w:val="21"/>
        </w:rPr>
      </w:pPr>
      <w:r>
        <w:rPr>
          <w:sz w:val="21"/>
        </w:rPr>
        <w:t>不宜采用弹簧门或玻璃门，不应采用力度大的弹簧门；</w:t>
      </w:r>
    </w:p>
    <w:p>
      <w:pPr>
        <w:spacing w:after="0" w:line="240" w:lineRule="auto"/>
        <w:jc w:val="left"/>
        <w:rPr>
          <w:sz w:val="21"/>
        </w:rPr>
        <w:sectPr>
          <w:pgSz w:w="11910" w:h="16840"/>
          <w:pgMar w:top="1580" w:right="820" w:bottom="1280" w:left="920" w:header="0" w:footer="1095" w:gutter="0"/>
          <w:cols w:space="720" w:num="1"/>
        </w:sectPr>
      </w:pPr>
    </w:p>
    <w:p>
      <w:pPr>
        <w:pStyle w:val="12"/>
        <w:numPr>
          <w:ilvl w:val="0"/>
          <w:numId w:val="19"/>
        </w:numPr>
        <w:tabs>
          <w:tab w:val="left" w:pos="1052"/>
          <w:tab w:val="left" w:pos="1053"/>
        </w:tabs>
        <w:spacing w:before="60" w:after="0" w:line="240" w:lineRule="auto"/>
        <w:ind w:left="1052" w:right="0" w:hanging="416"/>
        <w:jc w:val="left"/>
        <w:rPr>
          <w:sz w:val="21"/>
        </w:rPr>
      </w:pPr>
      <w:r>
        <w:rPr>
          <w:sz w:val="21"/>
        </w:rPr>
        <w:t>在无障碍通道上不应使用旋转门；</w:t>
      </w:r>
    </w:p>
    <w:p>
      <w:pPr>
        <w:pStyle w:val="5"/>
        <w:spacing w:before="6"/>
        <w:rPr>
          <w:sz w:val="15"/>
        </w:rPr>
      </w:pPr>
    </w:p>
    <w:p>
      <w:pPr>
        <w:pStyle w:val="12"/>
        <w:numPr>
          <w:ilvl w:val="0"/>
          <w:numId w:val="19"/>
        </w:numPr>
        <w:tabs>
          <w:tab w:val="left" w:pos="1052"/>
          <w:tab w:val="left" w:pos="1053"/>
        </w:tabs>
        <w:spacing w:before="1" w:after="0" w:line="240" w:lineRule="auto"/>
        <w:ind w:left="1052" w:right="0" w:hanging="416"/>
        <w:jc w:val="left"/>
        <w:rPr>
          <w:sz w:val="21"/>
        </w:rPr>
      </w:pPr>
      <w:r>
        <w:rPr>
          <w:sz w:val="21"/>
        </w:rPr>
        <w:t>门扇内外应留有轮椅回转空间；</w:t>
      </w:r>
    </w:p>
    <w:p>
      <w:pPr>
        <w:pStyle w:val="5"/>
        <w:spacing w:before="6"/>
        <w:rPr>
          <w:sz w:val="15"/>
        </w:rPr>
      </w:pPr>
    </w:p>
    <w:p>
      <w:pPr>
        <w:pStyle w:val="12"/>
        <w:numPr>
          <w:ilvl w:val="0"/>
          <w:numId w:val="19"/>
        </w:numPr>
        <w:tabs>
          <w:tab w:val="left" w:pos="1052"/>
          <w:tab w:val="left" w:pos="1053"/>
        </w:tabs>
        <w:spacing w:before="0" w:after="0" w:line="240" w:lineRule="auto"/>
        <w:ind w:left="1052" w:right="0" w:hanging="416"/>
        <w:jc w:val="left"/>
        <w:rPr>
          <w:sz w:val="21"/>
        </w:rPr>
      </w:pPr>
      <w:r>
        <w:rPr>
          <w:spacing w:val="-2"/>
          <w:sz w:val="21"/>
        </w:rPr>
        <w:t xml:space="preserve">串联排列的两道门，其同时完全开启后，门扇之间的最小净距离不应小于 </w:t>
      </w:r>
      <w:r>
        <w:rPr>
          <w:sz w:val="21"/>
        </w:rPr>
        <w:t>1.50</w:t>
      </w:r>
      <w:r>
        <w:rPr>
          <w:rFonts w:hint="eastAsia" w:ascii="仿宋" w:eastAsia="仿宋"/>
          <w:sz w:val="21"/>
        </w:rPr>
        <w:t>m</w:t>
      </w:r>
      <w:r>
        <w:rPr>
          <w:sz w:val="21"/>
        </w:rPr>
        <w:t>；</w:t>
      </w:r>
    </w:p>
    <w:p>
      <w:pPr>
        <w:pStyle w:val="5"/>
        <w:spacing w:before="7"/>
        <w:rPr>
          <w:sz w:val="15"/>
        </w:rPr>
      </w:pPr>
    </w:p>
    <w:p>
      <w:pPr>
        <w:pStyle w:val="12"/>
        <w:numPr>
          <w:ilvl w:val="0"/>
          <w:numId w:val="19"/>
        </w:numPr>
        <w:tabs>
          <w:tab w:val="left" w:pos="1052"/>
          <w:tab w:val="left" w:pos="1053"/>
        </w:tabs>
        <w:spacing w:before="0" w:after="0" w:line="417" w:lineRule="auto"/>
        <w:ind w:left="212" w:right="310" w:firstLine="424"/>
        <w:jc w:val="left"/>
        <w:rPr>
          <w:sz w:val="21"/>
        </w:rPr>
      </w:pPr>
      <w:r>
        <w:rPr>
          <w:spacing w:val="-6"/>
          <w:sz w:val="21"/>
        </w:rPr>
        <w:t xml:space="preserve">不应设置挡块和门槛。门口存在高差时，高度不应大于 </w:t>
      </w:r>
      <w:r>
        <w:rPr>
          <w:spacing w:val="-4"/>
          <w:sz w:val="21"/>
        </w:rPr>
        <w:t>15</w:t>
      </w:r>
      <w:r>
        <w:rPr>
          <w:rFonts w:hint="eastAsia" w:ascii="仿宋" w:eastAsia="仿宋"/>
          <w:spacing w:val="-4"/>
          <w:sz w:val="21"/>
        </w:rPr>
        <w:t>mm</w:t>
      </w:r>
      <w:r>
        <w:rPr>
          <w:spacing w:val="-4"/>
          <w:sz w:val="21"/>
        </w:rPr>
        <w:t>，并以斜面过渡，斜面的纵向坡度不</w:t>
      </w:r>
      <w:r>
        <w:rPr>
          <w:spacing w:val="-16"/>
          <w:sz w:val="21"/>
        </w:rPr>
        <w:t xml:space="preserve">应大于 </w:t>
      </w:r>
      <w:r>
        <w:rPr>
          <w:sz w:val="21"/>
        </w:rPr>
        <w:t>1:10；</w:t>
      </w:r>
    </w:p>
    <w:p>
      <w:pPr>
        <w:pStyle w:val="12"/>
        <w:numPr>
          <w:ilvl w:val="0"/>
          <w:numId w:val="19"/>
        </w:numPr>
        <w:tabs>
          <w:tab w:val="left" w:pos="1052"/>
          <w:tab w:val="left" w:pos="1053"/>
        </w:tabs>
        <w:spacing w:before="0" w:after="0" w:line="269" w:lineRule="exact"/>
        <w:ind w:left="1052" w:right="0" w:hanging="416"/>
        <w:jc w:val="left"/>
        <w:rPr>
          <w:sz w:val="21"/>
        </w:rPr>
      </w:pPr>
      <w:r>
        <w:rPr>
          <w:spacing w:val="-2"/>
          <w:sz w:val="21"/>
        </w:rPr>
        <w:t xml:space="preserve">双向开启的门应在可视高度部分安装观察窗，通视部分的下沿距地面高度不应大于 </w:t>
      </w:r>
      <w:r>
        <w:rPr>
          <w:sz w:val="21"/>
        </w:rPr>
        <w:t>850</w:t>
      </w:r>
      <w:r>
        <w:rPr>
          <w:rFonts w:hint="eastAsia" w:ascii="仿宋" w:eastAsia="仿宋"/>
          <w:sz w:val="21"/>
        </w:rPr>
        <w:t>mm</w:t>
      </w:r>
      <w:r>
        <w:rPr>
          <w:sz w:val="21"/>
        </w:rPr>
        <w:t>；</w:t>
      </w:r>
    </w:p>
    <w:p>
      <w:pPr>
        <w:pStyle w:val="5"/>
        <w:spacing w:before="7"/>
        <w:rPr>
          <w:sz w:val="15"/>
        </w:rPr>
      </w:pPr>
    </w:p>
    <w:p>
      <w:pPr>
        <w:pStyle w:val="12"/>
        <w:numPr>
          <w:ilvl w:val="0"/>
          <w:numId w:val="19"/>
        </w:numPr>
        <w:tabs>
          <w:tab w:val="left" w:pos="1052"/>
          <w:tab w:val="left" w:pos="1053"/>
        </w:tabs>
        <w:spacing w:before="0" w:after="0" w:line="240" w:lineRule="auto"/>
        <w:ind w:left="1052" w:right="0" w:hanging="416"/>
        <w:jc w:val="left"/>
        <w:rPr>
          <w:sz w:val="21"/>
          <w:szCs w:val="21"/>
        </w:rPr>
      </w:pPr>
      <w:r>
        <w:rPr>
          <w:spacing w:val="-3"/>
          <w:sz w:val="21"/>
          <w:szCs w:val="21"/>
        </w:rPr>
        <w:t xml:space="preserve">安装闭门器的门，从闭门器最大受控角度到完全关闭前 </w:t>
      </w:r>
      <w:r>
        <w:rPr>
          <w:sz w:val="21"/>
          <w:szCs w:val="21"/>
        </w:rPr>
        <w:t>10︒</w:t>
      </w:r>
      <w:r>
        <w:rPr>
          <w:spacing w:val="-6"/>
          <w:sz w:val="21"/>
          <w:szCs w:val="21"/>
        </w:rPr>
        <w:t xml:space="preserve">的闭门时间不应小于 </w:t>
      </w:r>
      <w:r>
        <w:rPr>
          <w:sz w:val="21"/>
          <w:szCs w:val="21"/>
        </w:rPr>
        <w:t>3</w:t>
      </w:r>
      <w:r>
        <w:rPr>
          <w:spacing w:val="-1"/>
          <w:sz w:val="21"/>
          <w:szCs w:val="21"/>
        </w:rPr>
        <w:t xml:space="preserve"> 秒。</w:t>
      </w:r>
    </w:p>
    <w:p>
      <w:pPr>
        <w:pStyle w:val="5"/>
        <w:spacing w:before="6"/>
        <w:rPr>
          <w:sz w:val="15"/>
        </w:rPr>
      </w:pPr>
    </w:p>
    <w:p>
      <w:pPr>
        <w:pStyle w:val="12"/>
        <w:numPr>
          <w:ilvl w:val="2"/>
          <w:numId w:val="6"/>
        </w:numPr>
        <w:tabs>
          <w:tab w:val="left" w:pos="1052"/>
          <w:tab w:val="left" w:pos="1053"/>
        </w:tabs>
        <w:spacing w:before="1" w:after="0" w:line="240" w:lineRule="auto"/>
        <w:ind w:left="1052" w:right="0" w:hanging="841"/>
        <w:jc w:val="left"/>
        <w:rPr>
          <w:sz w:val="21"/>
        </w:rPr>
      </w:pPr>
      <w:bookmarkStart w:id="63" w:name="4.1.21满足无障碍要求的手动门应符合下列规定："/>
      <w:bookmarkEnd w:id="63"/>
      <w:bookmarkStart w:id="64" w:name="4.1.21满足无障碍要求的手动门应符合下列规定："/>
      <w:bookmarkEnd w:id="64"/>
      <w:r>
        <w:rPr>
          <w:sz w:val="21"/>
        </w:rPr>
        <w:t>满足无障碍要求的手动门应符合下列规定：</w:t>
      </w:r>
    </w:p>
    <w:p>
      <w:pPr>
        <w:pStyle w:val="5"/>
        <w:spacing w:before="6"/>
        <w:rPr>
          <w:sz w:val="15"/>
        </w:rPr>
      </w:pPr>
    </w:p>
    <w:p>
      <w:pPr>
        <w:pStyle w:val="12"/>
        <w:numPr>
          <w:ilvl w:val="0"/>
          <w:numId w:val="20"/>
        </w:numPr>
        <w:tabs>
          <w:tab w:val="left" w:pos="1052"/>
          <w:tab w:val="left" w:pos="1053"/>
        </w:tabs>
        <w:spacing w:before="0" w:after="0" w:line="240" w:lineRule="auto"/>
        <w:ind w:left="1052" w:right="0" w:hanging="416"/>
        <w:jc w:val="left"/>
        <w:rPr>
          <w:sz w:val="21"/>
        </w:rPr>
      </w:pPr>
      <w:r>
        <w:rPr>
          <w:spacing w:val="-4"/>
          <w:sz w:val="21"/>
        </w:rPr>
        <w:t xml:space="preserve">门开启后的通行净宽度不应小于 </w:t>
      </w:r>
      <w:r>
        <w:rPr>
          <w:sz w:val="21"/>
        </w:rPr>
        <w:t>800</w:t>
      </w:r>
      <w:r>
        <w:rPr>
          <w:rFonts w:hint="eastAsia" w:ascii="仿宋" w:eastAsia="仿宋"/>
          <w:sz w:val="21"/>
        </w:rPr>
        <w:t>mm</w:t>
      </w:r>
      <w:r>
        <w:rPr>
          <w:spacing w:val="-9"/>
          <w:sz w:val="21"/>
        </w:rPr>
        <w:t xml:space="preserve">，不宜小于 </w:t>
      </w:r>
      <w:r>
        <w:rPr>
          <w:sz w:val="21"/>
        </w:rPr>
        <w:t>900</w:t>
      </w:r>
      <w:r>
        <w:rPr>
          <w:rFonts w:hint="eastAsia" w:ascii="仿宋" w:eastAsia="仿宋"/>
          <w:sz w:val="21"/>
        </w:rPr>
        <w:t>mm</w:t>
      </w:r>
      <w:r>
        <w:rPr>
          <w:sz w:val="21"/>
        </w:rPr>
        <w:t>；</w:t>
      </w:r>
    </w:p>
    <w:p>
      <w:pPr>
        <w:pStyle w:val="5"/>
        <w:spacing w:before="7"/>
        <w:rPr>
          <w:sz w:val="15"/>
        </w:rPr>
      </w:pPr>
    </w:p>
    <w:p>
      <w:pPr>
        <w:pStyle w:val="12"/>
        <w:numPr>
          <w:ilvl w:val="0"/>
          <w:numId w:val="20"/>
        </w:numPr>
        <w:tabs>
          <w:tab w:val="left" w:pos="1052"/>
          <w:tab w:val="left" w:pos="1053"/>
        </w:tabs>
        <w:spacing w:before="0" w:after="0" w:line="240" w:lineRule="auto"/>
        <w:ind w:left="1052" w:right="0" w:hanging="416"/>
        <w:jc w:val="left"/>
        <w:rPr>
          <w:sz w:val="21"/>
        </w:rPr>
      </w:pPr>
      <w:r>
        <w:rPr>
          <w:spacing w:val="-2"/>
          <w:sz w:val="21"/>
        </w:rPr>
        <w:t xml:space="preserve">单扇平开门、推拉门、折叠门的门把手一侧，应设置宽度不小于 </w:t>
      </w:r>
      <w:r>
        <w:rPr>
          <w:sz w:val="21"/>
        </w:rPr>
        <w:t>400</w:t>
      </w:r>
      <w:r>
        <w:rPr>
          <w:rFonts w:hint="eastAsia" w:ascii="仿宋" w:eastAsia="仿宋"/>
          <w:sz w:val="21"/>
        </w:rPr>
        <w:t>mm</w:t>
      </w:r>
      <w:r>
        <w:rPr>
          <w:rFonts w:hint="eastAsia" w:ascii="仿宋" w:eastAsia="仿宋"/>
          <w:spacing w:val="-53"/>
          <w:sz w:val="21"/>
        </w:rPr>
        <w:t xml:space="preserve"> </w:t>
      </w:r>
      <w:r>
        <w:rPr>
          <w:sz w:val="21"/>
        </w:rPr>
        <w:t>的墙面；</w:t>
      </w:r>
    </w:p>
    <w:p>
      <w:pPr>
        <w:pStyle w:val="5"/>
        <w:spacing w:before="7"/>
        <w:rPr>
          <w:sz w:val="15"/>
        </w:rPr>
      </w:pPr>
    </w:p>
    <w:p>
      <w:pPr>
        <w:pStyle w:val="12"/>
        <w:numPr>
          <w:ilvl w:val="0"/>
          <w:numId w:val="20"/>
        </w:numPr>
        <w:tabs>
          <w:tab w:val="left" w:pos="1052"/>
          <w:tab w:val="left" w:pos="1053"/>
        </w:tabs>
        <w:spacing w:before="0" w:after="0" w:line="417" w:lineRule="auto"/>
        <w:ind w:left="212" w:right="315" w:firstLine="424"/>
        <w:jc w:val="left"/>
        <w:rPr>
          <w:sz w:val="21"/>
        </w:rPr>
      </w:pPr>
      <w:r>
        <w:rPr>
          <w:spacing w:val="-2"/>
          <w:w w:val="95"/>
          <w:sz w:val="21"/>
        </w:rPr>
        <w:t xml:space="preserve">平开门的门扇外侧和里侧均应设置门把手，门把手应满足单手握拳直握进行操作，操作面的顶端   </w:t>
      </w:r>
      <w:r>
        <w:rPr>
          <w:spacing w:val="-9"/>
          <w:sz w:val="21"/>
        </w:rPr>
        <w:t xml:space="preserve">距地面高度应为 </w:t>
      </w:r>
      <w:r>
        <w:rPr>
          <w:sz w:val="21"/>
        </w:rPr>
        <w:t>0.85</w:t>
      </w:r>
      <w:r>
        <w:rPr>
          <w:rFonts w:hint="eastAsia" w:ascii="仿宋" w:eastAsia="仿宋"/>
          <w:sz w:val="21"/>
        </w:rPr>
        <w:t>m</w:t>
      </w:r>
      <w:r>
        <w:rPr>
          <w:sz w:val="21"/>
        </w:rPr>
        <w:t>～1.00</w:t>
      </w:r>
      <w:r>
        <w:rPr>
          <w:rFonts w:hint="eastAsia" w:ascii="仿宋" w:eastAsia="仿宋"/>
          <w:sz w:val="21"/>
        </w:rPr>
        <w:t>m</w:t>
      </w:r>
      <w:r>
        <w:rPr>
          <w:sz w:val="21"/>
        </w:rPr>
        <w:t>；门把手宜安装盲文铭牌；</w:t>
      </w:r>
    </w:p>
    <w:p>
      <w:pPr>
        <w:pStyle w:val="12"/>
        <w:numPr>
          <w:ilvl w:val="0"/>
          <w:numId w:val="20"/>
        </w:numPr>
        <w:tabs>
          <w:tab w:val="left" w:pos="1052"/>
          <w:tab w:val="left" w:pos="1053"/>
        </w:tabs>
        <w:spacing w:before="0" w:after="0" w:line="269" w:lineRule="exact"/>
        <w:ind w:left="1052" w:right="0" w:hanging="416"/>
        <w:jc w:val="left"/>
        <w:rPr>
          <w:sz w:val="21"/>
        </w:rPr>
      </w:pPr>
      <w:r>
        <w:rPr>
          <w:spacing w:val="-8"/>
          <w:sz w:val="21"/>
        </w:rPr>
        <w:t xml:space="preserve">门扇自地面起 </w:t>
      </w:r>
      <w:r>
        <w:rPr>
          <w:sz w:val="21"/>
        </w:rPr>
        <w:t>350</w:t>
      </w:r>
      <w:r>
        <w:rPr>
          <w:rFonts w:hint="eastAsia" w:ascii="仿宋" w:eastAsia="仿宋"/>
          <w:sz w:val="21"/>
        </w:rPr>
        <w:t>mm</w:t>
      </w:r>
      <w:r>
        <w:rPr>
          <w:rFonts w:hint="eastAsia" w:ascii="仿宋" w:eastAsia="仿宋"/>
          <w:spacing w:val="-52"/>
          <w:sz w:val="21"/>
        </w:rPr>
        <w:t xml:space="preserve"> </w:t>
      </w:r>
      <w:r>
        <w:rPr>
          <w:sz w:val="21"/>
        </w:rPr>
        <w:t>高度范围内宜安装护门板；</w:t>
      </w:r>
    </w:p>
    <w:p>
      <w:pPr>
        <w:pStyle w:val="5"/>
        <w:spacing w:before="6"/>
        <w:rPr>
          <w:sz w:val="15"/>
        </w:rPr>
      </w:pPr>
    </w:p>
    <w:p>
      <w:pPr>
        <w:pStyle w:val="12"/>
        <w:numPr>
          <w:ilvl w:val="0"/>
          <w:numId w:val="20"/>
        </w:numPr>
        <w:tabs>
          <w:tab w:val="left" w:pos="1052"/>
          <w:tab w:val="left" w:pos="1053"/>
        </w:tabs>
        <w:spacing w:before="1" w:after="0" w:line="240" w:lineRule="auto"/>
        <w:ind w:left="1052" w:right="0" w:hanging="416"/>
        <w:jc w:val="left"/>
        <w:rPr>
          <w:sz w:val="21"/>
        </w:rPr>
      </w:pPr>
      <w:r>
        <w:rPr>
          <w:spacing w:val="-3"/>
          <w:sz w:val="21"/>
        </w:rPr>
        <w:t xml:space="preserve">除防火门外，门开启所需的力度不应大于 </w:t>
      </w:r>
      <w:r>
        <w:rPr>
          <w:sz w:val="21"/>
        </w:rPr>
        <w:t>25</w:t>
      </w:r>
      <w:r>
        <w:rPr>
          <w:rFonts w:hint="eastAsia" w:ascii="仿宋" w:eastAsia="仿宋"/>
          <w:sz w:val="21"/>
        </w:rPr>
        <w:t>N</w:t>
      </w:r>
      <w:r>
        <w:rPr>
          <w:sz w:val="21"/>
        </w:rPr>
        <w:t>。</w:t>
      </w:r>
    </w:p>
    <w:p>
      <w:pPr>
        <w:pStyle w:val="5"/>
        <w:spacing w:before="6"/>
        <w:rPr>
          <w:sz w:val="15"/>
        </w:rPr>
      </w:pPr>
    </w:p>
    <w:p>
      <w:pPr>
        <w:pStyle w:val="12"/>
        <w:numPr>
          <w:ilvl w:val="2"/>
          <w:numId w:val="6"/>
        </w:numPr>
        <w:tabs>
          <w:tab w:val="left" w:pos="1052"/>
          <w:tab w:val="left" w:pos="1053"/>
        </w:tabs>
        <w:spacing w:before="0" w:after="0" w:line="240" w:lineRule="auto"/>
        <w:ind w:left="1052" w:right="0" w:hanging="841"/>
        <w:jc w:val="left"/>
        <w:rPr>
          <w:sz w:val="21"/>
        </w:rPr>
      </w:pPr>
      <w:bookmarkStart w:id="65" w:name="4.1.22满足无障碍要求的自动门应符合下列规定："/>
      <w:bookmarkEnd w:id="65"/>
      <w:bookmarkStart w:id="66" w:name="4.1.22满足无障碍要求的自动门应符合下列规定："/>
      <w:bookmarkEnd w:id="66"/>
      <w:r>
        <w:rPr>
          <w:sz w:val="21"/>
        </w:rPr>
        <w:t>满足无障碍要求的自动门应符合下列规定：</w:t>
      </w:r>
    </w:p>
    <w:p>
      <w:pPr>
        <w:pStyle w:val="5"/>
        <w:spacing w:before="7"/>
        <w:rPr>
          <w:sz w:val="15"/>
        </w:rPr>
      </w:pPr>
    </w:p>
    <w:p>
      <w:pPr>
        <w:pStyle w:val="12"/>
        <w:numPr>
          <w:ilvl w:val="0"/>
          <w:numId w:val="21"/>
        </w:numPr>
        <w:tabs>
          <w:tab w:val="left" w:pos="1052"/>
          <w:tab w:val="left" w:pos="1053"/>
        </w:tabs>
        <w:spacing w:before="0" w:after="0" w:line="240" w:lineRule="auto"/>
        <w:ind w:left="1052" w:right="0" w:hanging="416"/>
        <w:jc w:val="left"/>
        <w:rPr>
          <w:sz w:val="21"/>
        </w:rPr>
      </w:pPr>
      <w:r>
        <w:rPr>
          <w:sz w:val="21"/>
        </w:rPr>
        <w:t>公共场所应优先选用自动门；</w:t>
      </w:r>
    </w:p>
    <w:p>
      <w:pPr>
        <w:pStyle w:val="5"/>
        <w:spacing w:before="7"/>
        <w:rPr>
          <w:sz w:val="15"/>
        </w:rPr>
      </w:pPr>
    </w:p>
    <w:p>
      <w:pPr>
        <w:pStyle w:val="12"/>
        <w:numPr>
          <w:ilvl w:val="0"/>
          <w:numId w:val="21"/>
        </w:numPr>
        <w:tabs>
          <w:tab w:val="left" w:pos="1052"/>
          <w:tab w:val="left" w:pos="1053"/>
        </w:tabs>
        <w:spacing w:before="0" w:after="0" w:line="240" w:lineRule="auto"/>
        <w:ind w:left="1052" w:right="0" w:hanging="416"/>
        <w:jc w:val="left"/>
        <w:rPr>
          <w:sz w:val="21"/>
        </w:rPr>
      </w:pPr>
      <w:r>
        <w:rPr>
          <w:spacing w:val="-4"/>
          <w:sz w:val="21"/>
        </w:rPr>
        <w:t xml:space="preserve">开启后通行净宽度不应小于 </w:t>
      </w:r>
      <w:r>
        <w:rPr>
          <w:sz w:val="21"/>
        </w:rPr>
        <w:t>1.00</w:t>
      </w:r>
      <w:r>
        <w:rPr>
          <w:rFonts w:hint="eastAsia" w:ascii="仿宋" w:eastAsia="仿宋"/>
          <w:sz w:val="21"/>
        </w:rPr>
        <w:t>m</w:t>
      </w:r>
      <w:r>
        <w:rPr>
          <w:sz w:val="21"/>
        </w:rPr>
        <w:t>；</w:t>
      </w:r>
    </w:p>
    <w:p>
      <w:pPr>
        <w:pStyle w:val="5"/>
        <w:spacing w:before="6"/>
        <w:rPr>
          <w:sz w:val="15"/>
        </w:rPr>
      </w:pPr>
    </w:p>
    <w:p>
      <w:pPr>
        <w:pStyle w:val="12"/>
        <w:numPr>
          <w:ilvl w:val="0"/>
          <w:numId w:val="21"/>
        </w:numPr>
        <w:tabs>
          <w:tab w:val="left" w:pos="1052"/>
          <w:tab w:val="left" w:pos="1053"/>
        </w:tabs>
        <w:spacing w:before="1" w:after="0" w:line="240" w:lineRule="auto"/>
        <w:ind w:left="1052" w:right="0" w:hanging="416"/>
        <w:jc w:val="left"/>
        <w:rPr>
          <w:sz w:val="21"/>
        </w:rPr>
      </w:pPr>
      <w:r>
        <w:rPr>
          <w:spacing w:val="-3"/>
          <w:sz w:val="21"/>
        </w:rPr>
        <w:t xml:space="preserve">设置手动启闭装置时，距地面高度应为 </w:t>
      </w:r>
      <w:r>
        <w:rPr>
          <w:sz w:val="21"/>
        </w:rPr>
        <w:t>0.85</w:t>
      </w:r>
      <w:r>
        <w:rPr>
          <w:rFonts w:hint="eastAsia" w:ascii="仿宋" w:eastAsia="仿宋"/>
          <w:sz w:val="21"/>
        </w:rPr>
        <w:t>m</w:t>
      </w:r>
      <w:r>
        <w:rPr>
          <w:sz w:val="21"/>
        </w:rPr>
        <w:t>～1.10</w:t>
      </w:r>
      <w:r>
        <w:rPr>
          <w:rFonts w:hint="eastAsia" w:ascii="仿宋" w:eastAsia="仿宋"/>
          <w:sz w:val="21"/>
        </w:rPr>
        <w:t>m</w:t>
      </w:r>
      <w:r>
        <w:rPr>
          <w:sz w:val="21"/>
        </w:rPr>
        <w:t>。</w:t>
      </w:r>
    </w:p>
    <w:p>
      <w:pPr>
        <w:pStyle w:val="5"/>
        <w:spacing w:before="6"/>
        <w:rPr>
          <w:sz w:val="15"/>
        </w:rPr>
      </w:pPr>
    </w:p>
    <w:p>
      <w:pPr>
        <w:pStyle w:val="12"/>
        <w:numPr>
          <w:ilvl w:val="2"/>
          <w:numId w:val="6"/>
        </w:numPr>
        <w:tabs>
          <w:tab w:val="left" w:pos="1052"/>
          <w:tab w:val="left" w:pos="1053"/>
        </w:tabs>
        <w:spacing w:before="0" w:after="0" w:line="240" w:lineRule="auto"/>
        <w:ind w:left="1052" w:right="0" w:hanging="841"/>
        <w:jc w:val="left"/>
        <w:rPr>
          <w:sz w:val="21"/>
        </w:rPr>
      </w:pPr>
      <w:bookmarkStart w:id="67" w:name="4.1.23全玻璃门应符合下列规定："/>
      <w:bookmarkEnd w:id="67"/>
      <w:bookmarkStart w:id="68" w:name="4.1.23全玻璃门应符合下列规定："/>
      <w:bookmarkEnd w:id="68"/>
      <w:r>
        <w:rPr>
          <w:sz w:val="21"/>
        </w:rPr>
        <w:t>全玻璃门应符合下列规定：</w:t>
      </w:r>
    </w:p>
    <w:p>
      <w:pPr>
        <w:pStyle w:val="5"/>
        <w:spacing w:before="7"/>
        <w:rPr>
          <w:sz w:val="15"/>
        </w:rPr>
      </w:pPr>
    </w:p>
    <w:p>
      <w:pPr>
        <w:pStyle w:val="12"/>
        <w:numPr>
          <w:ilvl w:val="0"/>
          <w:numId w:val="22"/>
        </w:numPr>
        <w:tabs>
          <w:tab w:val="left" w:pos="1052"/>
          <w:tab w:val="left" w:pos="1053"/>
        </w:tabs>
        <w:spacing w:before="0" w:after="0" w:line="240" w:lineRule="auto"/>
        <w:ind w:left="1052" w:right="0" w:hanging="416"/>
        <w:jc w:val="left"/>
        <w:rPr>
          <w:sz w:val="21"/>
        </w:rPr>
      </w:pPr>
      <w:r>
        <w:rPr>
          <w:sz w:val="21"/>
        </w:rPr>
        <w:t>应选用安全玻璃或采取防护措施，并应设置醒目的防撞提示措施；</w:t>
      </w:r>
    </w:p>
    <w:p>
      <w:pPr>
        <w:pStyle w:val="5"/>
        <w:spacing w:before="7"/>
        <w:rPr>
          <w:sz w:val="15"/>
        </w:rPr>
      </w:pPr>
    </w:p>
    <w:p>
      <w:pPr>
        <w:pStyle w:val="12"/>
        <w:numPr>
          <w:ilvl w:val="0"/>
          <w:numId w:val="22"/>
        </w:numPr>
        <w:tabs>
          <w:tab w:val="left" w:pos="1052"/>
          <w:tab w:val="left" w:pos="1053"/>
        </w:tabs>
        <w:spacing w:before="0" w:after="0" w:line="417" w:lineRule="auto"/>
        <w:ind w:left="212" w:right="312" w:firstLine="424"/>
        <w:jc w:val="left"/>
        <w:rPr>
          <w:sz w:val="21"/>
        </w:rPr>
      </w:pPr>
      <w:r>
        <w:rPr>
          <w:spacing w:val="-3"/>
          <w:w w:val="95"/>
          <w:sz w:val="21"/>
        </w:rPr>
        <w:t xml:space="preserve">两侧为玻璃隔断时，门应与玻璃隔断在视觉上显著地区分开，且玻璃隔断应设置醒目的防撞提示   </w:t>
      </w:r>
      <w:r>
        <w:rPr>
          <w:spacing w:val="-3"/>
          <w:sz w:val="21"/>
        </w:rPr>
        <w:t>措施；</w:t>
      </w:r>
    </w:p>
    <w:p>
      <w:pPr>
        <w:pStyle w:val="12"/>
        <w:numPr>
          <w:ilvl w:val="0"/>
          <w:numId w:val="22"/>
        </w:numPr>
        <w:tabs>
          <w:tab w:val="left" w:pos="1052"/>
          <w:tab w:val="left" w:pos="1053"/>
        </w:tabs>
        <w:spacing w:before="0" w:after="0" w:line="269" w:lineRule="exact"/>
        <w:ind w:left="1052" w:right="0" w:hanging="416"/>
        <w:jc w:val="left"/>
        <w:rPr>
          <w:sz w:val="21"/>
        </w:rPr>
      </w:pPr>
      <w:r>
        <w:rPr>
          <w:spacing w:val="-3"/>
          <w:sz w:val="21"/>
        </w:rPr>
        <w:t xml:space="preserve">防撞提示应横跨玻璃门或隔断，距地面高度应为 </w:t>
      </w:r>
      <w:r>
        <w:rPr>
          <w:sz w:val="21"/>
        </w:rPr>
        <w:t>0.85</w:t>
      </w:r>
      <w:r>
        <w:rPr>
          <w:rFonts w:hint="eastAsia" w:ascii="仿宋" w:eastAsia="仿宋"/>
          <w:sz w:val="21"/>
        </w:rPr>
        <w:t>m</w:t>
      </w:r>
      <w:r>
        <w:rPr>
          <w:sz w:val="21"/>
        </w:rPr>
        <w:t>～1.50</w:t>
      </w:r>
      <w:r>
        <w:rPr>
          <w:rFonts w:hint="eastAsia" w:ascii="仿宋" w:eastAsia="仿宋"/>
          <w:sz w:val="21"/>
        </w:rPr>
        <w:t>m</w:t>
      </w:r>
      <w:r>
        <w:rPr>
          <w:rFonts w:hint="eastAsia" w:ascii="仿宋" w:eastAsia="仿宋"/>
          <w:spacing w:val="-52"/>
          <w:sz w:val="21"/>
        </w:rPr>
        <w:t xml:space="preserve"> </w:t>
      </w:r>
      <w:r>
        <w:rPr>
          <w:sz w:val="21"/>
        </w:rPr>
        <w:t>之间。</w:t>
      </w:r>
    </w:p>
    <w:p>
      <w:pPr>
        <w:pStyle w:val="5"/>
        <w:spacing w:before="6"/>
        <w:rPr>
          <w:sz w:val="15"/>
        </w:rPr>
      </w:pPr>
    </w:p>
    <w:p>
      <w:pPr>
        <w:pStyle w:val="12"/>
        <w:numPr>
          <w:ilvl w:val="0"/>
          <w:numId w:val="12"/>
        </w:numPr>
        <w:tabs>
          <w:tab w:val="left" w:pos="4113"/>
        </w:tabs>
        <w:spacing w:before="1" w:after="0" w:line="240" w:lineRule="auto"/>
        <w:ind w:left="4112" w:right="102" w:hanging="4113"/>
        <w:jc w:val="left"/>
        <w:rPr>
          <w:rFonts w:hint="eastAsia" w:ascii="黑体" w:eastAsia="黑体"/>
          <w:sz w:val="21"/>
        </w:rPr>
      </w:pPr>
      <w:bookmarkStart w:id="69" w:name="IX无障碍电梯与升降平台"/>
      <w:bookmarkEnd w:id="69"/>
      <w:bookmarkStart w:id="70" w:name="IX无障碍电梯与升降平台"/>
      <w:bookmarkEnd w:id="70"/>
      <w:r>
        <w:rPr>
          <w:rFonts w:hint="eastAsia" w:ascii="黑体" w:eastAsia="黑体"/>
          <w:sz w:val="21"/>
        </w:rPr>
        <w:t>无障碍电梯与升降平台</w:t>
      </w:r>
    </w:p>
    <w:p>
      <w:pPr>
        <w:pStyle w:val="5"/>
        <w:spacing w:before="6"/>
        <w:rPr>
          <w:rFonts w:ascii="黑体"/>
          <w:sz w:val="15"/>
        </w:rPr>
      </w:pPr>
    </w:p>
    <w:p>
      <w:pPr>
        <w:pStyle w:val="12"/>
        <w:numPr>
          <w:ilvl w:val="2"/>
          <w:numId w:val="6"/>
        </w:numPr>
        <w:tabs>
          <w:tab w:val="left" w:pos="1052"/>
          <w:tab w:val="left" w:pos="1053"/>
        </w:tabs>
        <w:spacing w:before="0" w:after="0" w:line="240" w:lineRule="auto"/>
        <w:ind w:left="1052" w:right="0" w:hanging="841"/>
        <w:jc w:val="left"/>
        <w:rPr>
          <w:sz w:val="21"/>
        </w:rPr>
      </w:pPr>
      <w:bookmarkStart w:id="71" w:name="4.1.24无障碍电梯的候梯厅应符合下列规定："/>
      <w:bookmarkEnd w:id="71"/>
      <w:bookmarkStart w:id="72" w:name="4.1.24无障碍电梯的候梯厅应符合下列规定："/>
      <w:bookmarkEnd w:id="72"/>
      <w:r>
        <w:rPr>
          <w:sz w:val="21"/>
        </w:rPr>
        <w:t>无障碍电梯的候梯厅应符合下列规定：</w:t>
      </w:r>
    </w:p>
    <w:p>
      <w:pPr>
        <w:pStyle w:val="5"/>
        <w:spacing w:before="7"/>
        <w:rPr>
          <w:sz w:val="15"/>
        </w:rPr>
      </w:pPr>
    </w:p>
    <w:p>
      <w:pPr>
        <w:pStyle w:val="12"/>
        <w:numPr>
          <w:ilvl w:val="0"/>
          <w:numId w:val="23"/>
        </w:numPr>
        <w:tabs>
          <w:tab w:val="left" w:pos="1052"/>
          <w:tab w:val="left" w:pos="1053"/>
        </w:tabs>
        <w:spacing w:before="0" w:after="0" w:line="240" w:lineRule="auto"/>
        <w:ind w:left="1052" w:right="0" w:hanging="416"/>
        <w:jc w:val="left"/>
        <w:rPr>
          <w:sz w:val="21"/>
        </w:rPr>
      </w:pPr>
      <w:r>
        <w:rPr>
          <w:spacing w:val="-2"/>
          <w:sz w:val="21"/>
        </w:rPr>
        <w:t xml:space="preserve">电梯门前应设置轮椅回转空间，公共建筑的候梯厅深度不应小于 </w:t>
      </w:r>
      <w:r>
        <w:rPr>
          <w:sz w:val="21"/>
        </w:rPr>
        <w:t>1.80</w:t>
      </w:r>
      <w:r>
        <w:rPr>
          <w:rFonts w:hint="eastAsia" w:ascii="仿宋" w:eastAsia="仿宋"/>
          <w:sz w:val="21"/>
        </w:rPr>
        <w:t>m</w:t>
      </w:r>
      <w:r>
        <w:rPr>
          <w:sz w:val="21"/>
        </w:rPr>
        <w:t>；</w:t>
      </w:r>
    </w:p>
    <w:p>
      <w:pPr>
        <w:pStyle w:val="5"/>
        <w:spacing w:before="7"/>
        <w:rPr>
          <w:sz w:val="15"/>
        </w:rPr>
      </w:pPr>
    </w:p>
    <w:p>
      <w:pPr>
        <w:pStyle w:val="12"/>
        <w:numPr>
          <w:ilvl w:val="0"/>
          <w:numId w:val="23"/>
        </w:numPr>
        <w:tabs>
          <w:tab w:val="left" w:pos="1052"/>
          <w:tab w:val="left" w:pos="1053"/>
        </w:tabs>
        <w:spacing w:before="0" w:after="0" w:line="240" w:lineRule="auto"/>
        <w:ind w:left="1052" w:right="0" w:hanging="416"/>
        <w:jc w:val="left"/>
        <w:rPr>
          <w:sz w:val="21"/>
        </w:rPr>
      </w:pPr>
      <w:r>
        <w:rPr>
          <w:spacing w:val="-5"/>
          <w:sz w:val="21"/>
        </w:rPr>
        <w:t xml:space="preserve">呼叫按钮距地面高度宜为 </w:t>
      </w:r>
      <w:r>
        <w:rPr>
          <w:sz w:val="21"/>
        </w:rPr>
        <w:t>0.85</w:t>
      </w:r>
      <w:r>
        <w:rPr>
          <w:rFonts w:hint="eastAsia" w:ascii="仿宋" w:eastAsia="仿宋"/>
          <w:sz w:val="21"/>
        </w:rPr>
        <w:t>m</w:t>
      </w:r>
      <w:r>
        <w:rPr>
          <w:sz w:val="21"/>
        </w:rPr>
        <w:t>～1.10</w:t>
      </w:r>
      <w:r>
        <w:rPr>
          <w:rFonts w:hint="eastAsia" w:ascii="仿宋" w:eastAsia="仿宋"/>
          <w:sz w:val="21"/>
        </w:rPr>
        <w:t>m</w:t>
      </w:r>
      <w:r>
        <w:rPr>
          <w:spacing w:val="-4"/>
          <w:sz w:val="21"/>
        </w:rPr>
        <w:t xml:space="preserve">，距内转角处侧墙距离不应小于 </w:t>
      </w:r>
      <w:r>
        <w:rPr>
          <w:sz w:val="21"/>
        </w:rPr>
        <w:t>400</w:t>
      </w:r>
      <w:r>
        <w:rPr>
          <w:rFonts w:hint="eastAsia" w:ascii="仿宋" w:eastAsia="仿宋"/>
          <w:sz w:val="21"/>
        </w:rPr>
        <w:t>mm</w:t>
      </w:r>
      <w:r>
        <w:rPr>
          <w:sz w:val="21"/>
        </w:rPr>
        <w:t>，按钮应为盲文按</w:t>
      </w:r>
    </w:p>
    <w:p>
      <w:pPr>
        <w:pStyle w:val="5"/>
        <w:spacing w:before="6"/>
        <w:rPr>
          <w:sz w:val="15"/>
        </w:rPr>
      </w:pPr>
    </w:p>
    <w:p>
      <w:pPr>
        <w:pStyle w:val="5"/>
        <w:spacing w:before="1"/>
        <w:ind w:left="212"/>
      </w:pPr>
      <w:r>
        <w:t>钮；</w:t>
      </w:r>
    </w:p>
    <w:p>
      <w:pPr>
        <w:pStyle w:val="5"/>
        <w:spacing w:before="6"/>
        <w:rPr>
          <w:sz w:val="15"/>
        </w:rPr>
      </w:pPr>
    </w:p>
    <w:p>
      <w:pPr>
        <w:pStyle w:val="12"/>
        <w:numPr>
          <w:ilvl w:val="0"/>
          <w:numId w:val="23"/>
        </w:numPr>
        <w:tabs>
          <w:tab w:val="left" w:pos="1052"/>
          <w:tab w:val="left" w:pos="1053"/>
        </w:tabs>
        <w:spacing w:before="0" w:after="0" w:line="240" w:lineRule="auto"/>
        <w:ind w:left="1052" w:right="0" w:hanging="416"/>
        <w:jc w:val="left"/>
        <w:rPr>
          <w:sz w:val="21"/>
        </w:rPr>
      </w:pPr>
      <w:r>
        <w:rPr>
          <w:sz w:val="21"/>
        </w:rPr>
        <w:t>呼叫按钮前应设置提示盲道；</w:t>
      </w:r>
    </w:p>
    <w:p>
      <w:pPr>
        <w:spacing w:after="0" w:line="240" w:lineRule="auto"/>
        <w:jc w:val="left"/>
        <w:rPr>
          <w:sz w:val="21"/>
        </w:rPr>
        <w:sectPr>
          <w:pgSz w:w="11910" w:h="16840"/>
          <w:pgMar w:top="1580" w:right="820" w:bottom="1280" w:left="920" w:header="0" w:footer="1095" w:gutter="0"/>
          <w:cols w:space="720" w:num="1"/>
        </w:sectPr>
      </w:pPr>
    </w:p>
    <w:p>
      <w:pPr>
        <w:pStyle w:val="12"/>
        <w:numPr>
          <w:ilvl w:val="0"/>
          <w:numId w:val="23"/>
        </w:numPr>
        <w:tabs>
          <w:tab w:val="left" w:pos="1052"/>
          <w:tab w:val="left" w:pos="1053"/>
        </w:tabs>
        <w:spacing w:before="60" w:after="0" w:line="240" w:lineRule="auto"/>
        <w:ind w:left="1052" w:right="0" w:hanging="416"/>
        <w:jc w:val="left"/>
        <w:rPr>
          <w:sz w:val="21"/>
        </w:rPr>
      </w:pPr>
      <w:r>
        <w:rPr>
          <w:sz w:val="21"/>
        </w:rPr>
        <w:t>应设电梯运行显示装置和抵达音响；</w:t>
      </w:r>
    </w:p>
    <w:p>
      <w:pPr>
        <w:pStyle w:val="5"/>
        <w:spacing w:before="6"/>
        <w:rPr>
          <w:sz w:val="15"/>
        </w:rPr>
      </w:pPr>
    </w:p>
    <w:p>
      <w:pPr>
        <w:pStyle w:val="12"/>
        <w:numPr>
          <w:ilvl w:val="0"/>
          <w:numId w:val="23"/>
        </w:numPr>
        <w:tabs>
          <w:tab w:val="left" w:pos="1052"/>
          <w:tab w:val="left" w:pos="1053"/>
        </w:tabs>
        <w:spacing w:before="1" w:after="0" w:line="240" w:lineRule="auto"/>
        <w:ind w:left="1052" w:right="0" w:hanging="416"/>
        <w:jc w:val="left"/>
        <w:rPr>
          <w:sz w:val="21"/>
        </w:rPr>
      </w:pPr>
      <w:r>
        <w:rPr>
          <w:spacing w:val="-4"/>
          <w:sz w:val="21"/>
        </w:rPr>
        <w:t xml:space="preserve">电梯门洞的净宽度不应小于 </w:t>
      </w:r>
      <w:r>
        <w:rPr>
          <w:sz w:val="21"/>
        </w:rPr>
        <w:t>900</w:t>
      </w:r>
      <w:r>
        <w:rPr>
          <w:rFonts w:hint="eastAsia" w:ascii="仿宋" w:eastAsia="仿宋"/>
          <w:sz w:val="21"/>
        </w:rPr>
        <w:t>mm</w:t>
      </w:r>
      <w:r>
        <w:rPr>
          <w:sz w:val="21"/>
        </w:rPr>
        <w:t>；</w:t>
      </w:r>
    </w:p>
    <w:p>
      <w:pPr>
        <w:pStyle w:val="5"/>
        <w:spacing w:before="6"/>
        <w:rPr>
          <w:sz w:val="15"/>
        </w:rPr>
      </w:pPr>
    </w:p>
    <w:p>
      <w:pPr>
        <w:pStyle w:val="12"/>
        <w:numPr>
          <w:ilvl w:val="0"/>
          <w:numId w:val="23"/>
        </w:numPr>
        <w:tabs>
          <w:tab w:val="left" w:pos="1052"/>
          <w:tab w:val="left" w:pos="1053"/>
        </w:tabs>
        <w:spacing w:before="0" w:after="0" w:line="240" w:lineRule="auto"/>
        <w:ind w:left="1052" w:right="0" w:hanging="416"/>
        <w:jc w:val="left"/>
        <w:rPr>
          <w:sz w:val="21"/>
        </w:rPr>
      </w:pPr>
      <w:r>
        <w:rPr>
          <w:w w:val="95"/>
          <w:sz w:val="21"/>
        </w:rPr>
        <w:t>电梯位置应设置标识设施。</w:t>
      </w:r>
    </w:p>
    <w:p>
      <w:pPr>
        <w:pStyle w:val="5"/>
        <w:spacing w:before="7"/>
        <w:rPr>
          <w:sz w:val="15"/>
        </w:rPr>
      </w:pPr>
    </w:p>
    <w:p>
      <w:pPr>
        <w:pStyle w:val="12"/>
        <w:numPr>
          <w:ilvl w:val="2"/>
          <w:numId w:val="6"/>
        </w:numPr>
        <w:tabs>
          <w:tab w:val="left" w:pos="1052"/>
          <w:tab w:val="left" w:pos="1053"/>
        </w:tabs>
        <w:spacing w:before="0" w:after="0" w:line="240" w:lineRule="auto"/>
        <w:ind w:left="1052" w:right="0" w:hanging="841"/>
        <w:jc w:val="left"/>
        <w:rPr>
          <w:sz w:val="21"/>
        </w:rPr>
      </w:pPr>
      <w:bookmarkStart w:id="73" w:name="4.1.25无障碍电梯的轿厢应符合下列规定："/>
      <w:bookmarkEnd w:id="73"/>
      <w:bookmarkStart w:id="74" w:name="4.1.25无障碍电梯的轿厢应符合下列规定："/>
      <w:bookmarkEnd w:id="74"/>
      <w:r>
        <w:rPr>
          <w:w w:val="95"/>
          <w:sz w:val="21"/>
        </w:rPr>
        <w:t>无障碍电梯的轿厢应符合下列规定：</w:t>
      </w:r>
    </w:p>
    <w:p>
      <w:pPr>
        <w:pStyle w:val="5"/>
        <w:spacing w:before="7"/>
        <w:rPr>
          <w:sz w:val="15"/>
        </w:rPr>
      </w:pPr>
    </w:p>
    <w:p>
      <w:pPr>
        <w:pStyle w:val="12"/>
        <w:numPr>
          <w:ilvl w:val="0"/>
          <w:numId w:val="24"/>
        </w:numPr>
        <w:tabs>
          <w:tab w:val="left" w:pos="1052"/>
          <w:tab w:val="left" w:pos="1053"/>
        </w:tabs>
        <w:spacing w:before="0" w:after="0" w:line="240" w:lineRule="auto"/>
        <w:ind w:left="1052" w:right="0" w:hanging="416"/>
        <w:jc w:val="left"/>
        <w:rPr>
          <w:sz w:val="21"/>
        </w:rPr>
      </w:pPr>
      <w:r>
        <w:rPr>
          <w:spacing w:val="-3"/>
          <w:sz w:val="21"/>
        </w:rPr>
        <w:t xml:space="preserve">轿厢门应为水平滑动式门，开启后的净宽度不应小于 </w:t>
      </w:r>
      <w:r>
        <w:rPr>
          <w:sz w:val="21"/>
        </w:rPr>
        <w:t>800</w:t>
      </w:r>
      <w:r>
        <w:rPr>
          <w:rFonts w:hint="eastAsia" w:ascii="仿宋" w:eastAsia="仿宋"/>
          <w:sz w:val="21"/>
        </w:rPr>
        <w:t>mm</w:t>
      </w:r>
      <w:r>
        <w:rPr>
          <w:sz w:val="21"/>
        </w:rPr>
        <w:t>；</w:t>
      </w:r>
    </w:p>
    <w:p>
      <w:pPr>
        <w:pStyle w:val="5"/>
        <w:spacing w:before="6"/>
        <w:rPr>
          <w:sz w:val="15"/>
        </w:rPr>
      </w:pPr>
    </w:p>
    <w:p>
      <w:pPr>
        <w:pStyle w:val="12"/>
        <w:numPr>
          <w:ilvl w:val="0"/>
          <w:numId w:val="24"/>
        </w:numPr>
        <w:tabs>
          <w:tab w:val="left" w:pos="1052"/>
          <w:tab w:val="left" w:pos="1053"/>
        </w:tabs>
        <w:spacing w:before="1" w:after="0" w:line="240" w:lineRule="auto"/>
        <w:ind w:left="1052" w:right="0" w:hanging="416"/>
        <w:jc w:val="left"/>
        <w:rPr>
          <w:sz w:val="21"/>
        </w:rPr>
      </w:pPr>
      <w:r>
        <w:rPr>
          <w:spacing w:val="-4"/>
          <w:sz w:val="21"/>
        </w:rPr>
        <w:t xml:space="preserve">轿厢门完全开启时间应保持不少于 </w:t>
      </w:r>
      <w:r>
        <w:rPr>
          <w:sz w:val="21"/>
        </w:rPr>
        <w:t>3</w:t>
      </w:r>
      <w:r>
        <w:rPr>
          <w:spacing w:val="-18"/>
          <w:sz w:val="21"/>
        </w:rPr>
        <w:t xml:space="preserve"> 秒；</w:t>
      </w:r>
    </w:p>
    <w:p>
      <w:pPr>
        <w:pStyle w:val="5"/>
        <w:spacing w:before="6"/>
        <w:rPr>
          <w:sz w:val="15"/>
        </w:rPr>
      </w:pPr>
    </w:p>
    <w:p>
      <w:pPr>
        <w:pStyle w:val="12"/>
        <w:numPr>
          <w:ilvl w:val="0"/>
          <w:numId w:val="24"/>
        </w:numPr>
        <w:tabs>
          <w:tab w:val="left" w:pos="1052"/>
          <w:tab w:val="left" w:pos="1053"/>
        </w:tabs>
        <w:spacing w:before="0" w:after="0" w:line="240" w:lineRule="auto"/>
        <w:ind w:left="1052" w:right="0" w:hanging="416"/>
        <w:jc w:val="left"/>
        <w:rPr>
          <w:sz w:val="21"/>
        </w:rPr>
      </w:pPr>
      <w:r>
        <w:rPr>
          <w:spacing w:val="-5"/>
          <w:sz w:val="21"/>
        </w:rPr>
        <w:t xml:space="preserve">侧壁上应设置距地面高度 </w:t>
      </w:r>
      <w:r>
        <w:rPr>
          <w:sz w:val="21"/>
        </w:rPr>
        <w:t>0.85</w:t>
      </w:r>
      <w:r>
        <w:rPr>
          <w:rFonts w:hint="eastAsia" w:ascii="仿宋" w:eastAsia="仿宋"/>
          <w:sz w:val="21"/>
        </w:rPr>
        <w:t>m</w:t>
      </w:r>
      <w:r>
        <w:rPr>
          <w:sz w:val="21"/>
        </w:rPr>
        <w:t>～1.10</w:t>
      </w:r>
      <w:r>
        <w:rPr>
          <w:rFonts w:hint="eastAsia" w:ascii="仿宋" w:eastAsia="仿宋"/>
          <w:sz w:val="21"/>
        </w:rPr>
        <w:t>m</w:t>
      </w:r>
      <w:r>
        <w:rPr>
          <w:rFonts w:hint="eastAsia" w:ascii="仿宋" w:eastAsia="仿宋"/>
          <w:spacing w:val="-52"/>
          <w:sz w:val="21"/>
        </w:rPr>
        <w:t xml:space="preserve"> </w:t>
      </w:r>
      <w:r>
        <w:rPr>
          <w:sz w:val="21"/>
        </w:rPr>
        <w:t>的选层按钮，按钮应为盲文按钮；</w:t>
      </w:r>
    </w:p>
    <w:p>
      <w:pPr>
        <w:pStyle w:val="5"/>
        <w:spacing w:before="7"/>
        <w:rPr>
          <w:sz w:val="15"/>
        </w:rPr>
      </w:pPr>
    </w:p>
    <w:p>
      <w:pPr>
        <w:pStyle w:val="12"/>
        <w:numPr>
          <w:ilvl w:val="0"/>
          <w:numId w:val="24"/>
        </w:numPr>
        <w:tabs>
          <w:tab w:val="left" w:pos="1052"/>
          <w:tab w:val="left" w:pos="1053"/>
        </w:tabs>
        <w:spacing w:before="0" w:after="0" w:line="240" w:lineRule="auto"/>
        <w:ind w:left="1052" w:right="0" w:hanging="416"/>
        <w:jc w:val="left"/>
        <w:rPr>
          <w:sz w:val="21"/>
        </w:rPr>
      </w:pPr>
      <w:r>
        <w:rPr>
          <w:spacing w:val="-4"/>
          <w:sz w:val="21"/>
        </w:rPr>
        <w:t xml:space="preserve">三面壁上应设置距地面高度 </w:t>
      </w:r>
      <w:r>
        <w:rPr>
          <w:sz w:val="21"/>
        </w:rPr>
        <w:t>850</w:t>
      </w:r>
      <w:r>
        <w:rPr>
          <w:rFonts w:hint="eastAsia" w:ascii="仿宋" w:eastAsia="仿宋"/>
          <w:sz w:val="21"/>
        </w:rPr>
        <w:t>mm</w:t>
      </w:r>
      <w:r>
        <w:rPr>
          <w:sz w:val="21"/>
        </w:rPr>
        <w:t>～900</w:t>
      </w:r>
      <w:r>
        <w:rPr>
          <w:rFonts w:hint="eastAsia" w:ascii="仿宋" w:eastAsia="仿宋"/>
          <w:sz w:val="21"/>
        </w:rPr>
        <w:t>mm</w:t>
      </w:r>
      <w:r>
        <w:rPr>
          <w:rFonts w:hint="eastAsia" w:ascii="仿宋" w:eastAsia="仿宋"/>
          <w:spacing w:val="-54"/>
          <w:sz w:val="21"/>
        </w:rPr>
        <w:t xml:space="preserve"> </w:t>
      </w:r>
      <w:r>
        <w:rPr>
          <w:sz w:val="21"/>
        </w:rPr>
        <w:t>的扶手；</w:t>
      </w:r>
    </w:p>
    <w:p>
      <w:pPr>
        <w:pStyle w:val="5"/>
        <w:spacing w:before="7"/>
        <w:rPr>
          <w:sz w:val="15"/>
        </w:rPr>
      </w:pPr>
    </w:p>
    <w:p>
      <w:pPr>
        <w:pStyle w:val="12"/>
        <w:numPr>
          <w:ilvl w:val="0"/>
          <w:numId w:val="24"/>
        </w:numPr>
        <w:tabs>
          <w:tab w:val="left" w:pos="1052"/>
          <w:tab w:val="left" w:pos="1053"/>
        </w:tabs>
        <w:spacing w:before="0" w:after="0" w:line="240" w:lineRule="auto"/>
        <w:ind w:left="1052" w:right="0" w:hanging="416"/>
        <w:jc w:val="left"/>
        <w:rPr>
          <w:sz w:val="21"/>
        </w:rPr>
      </w:pPr>
      <w:r>
        <w:rPr>
          <w:sz w:val="21"/>
        </w:rPr>
        <w:t>内部可设可折叠座椅，并宜与轿厢扶手结合设置；</w:t>
      </w:r>
    </w:p>
    <w:p>
      <w:pPr>
        <w:pStyle w:val="5"/>
        <w:spacing w:before="6"/>
        <w:rPr>
          <w:sz w:val="15"/>
        </w:rPr>
      </w:pPr>
    </w:p>
    <w:p>
      <w:pPr>
        <w:pStyle w:val="12"/>
        <w:numPr>
          <w:ilvl w:val="0"/>
          <w:numId w:val="24"/>
        </w:numPr>
        <w:tabs>
          <w:tab w:val="left" w:pos="1052"/>
          <w:tab w:val="left" w:pos="1053"/>
        </w:tabs>
        <w:spacing w:before="1" w:after="0" w:line="240" w:lineRule="auto"/>
        <w:ind w:left="1052" w:right="0" w:hanging="416"/>
        <w:jc w:val="left"/>
        <w:rPr>
          <w:sz w:val="21"/>
        </w:rPr>
      </w:pPr>
      <w:r>
        <w:rPr>
          <w:sz w:val="21"/>
        </w:rPr>
        <w:t>内部应设置电梯运行显示装置和报层音响；</w:t>
      </w:r>
    </w:p>
    <w:p>
      <w:pPr>
        <w:pStyle w:val="5"/>
        <w:spacing w:before="6"/>
        <w:rPr>
          <w:sz w:val="15"/>
        </w:rPr>
      </w:pPr>
    </w:p>
    <w:p>
      <w:pPr>
        <w:pStyle w:val="12"/>
        <w:numPr>
          <w:ilvl w:val="0"/>
          <w:numId w:val="24"/>
        </w:numPr>
        <w:tabs>
          <w:tab w:val="left" w:pos="1052"/>
          <w:tab w:val="left" w:pos="1053"/>
        </w:tabs>
        <w:spacing w:before="0" w:after="0" w:line="240" w:lineRule="auto"/>
        <w:ind w:left="1052" w:right="0" w:hanging="416"/>
        <w:jc w:val="left"/>
        <w:rPr>
          <w:sz w:val="21"/>
        </w:rPr>
      </w:pPr>
      <w:r>
        <w:rPr>
          <w:spacing w:val="-7"/>
          <w:sz w:val="21"/>
        </w:rPr>
        <w:t xml:space="preserve">正面距地面高度 </w:t>
      </w:r>
      <w:r>
        <w:rPr>
          <w:sz w:val="21"/>
        </w:rPr>
        <w:t>900</w:t>
      </w:r>
      <w:r>
        <w:rPr>
          <w:rFonts w:hint="eastAsia" w:ascii="仿宋" w:eastAsia="仿宋"/>
          <w:sz w:val="21"/>
        </w:rPr>
        <w:t>mm</w:t>
      </w:r>
      <w:r>
        <w:rPr>
          <w:rFonts w:hint="eastAsia" w:ascii="仿宋" w:eastAsia="仿宋"/>
          <w:spacing w:val="-54"/>
          <w:sz w:val="21"/>
        </w:rPr>
        <w:t xml:space="preserve"> </w:t>
      </w:r>
      <w:r>
        <w:rPr>
          <w:sz w:val="21"/>
        </w:rPr>
        <w:t>处至顶部应安装镜子或采用有镜面效果的材料；</w:t>
      </w:r>
    </w:p>
    <w:p>
      <w:pPr>
        <w:pStyle w:val="5"/>
        <w:spacing w:before="7"/>
        <w:rPr>
          <w:sz w:val="15"/>
        </w:rPr>
      </w:pPr>
    </w:p>
    <w:p>
      <w:pPr>
        <w:pStyle w:val="12"/>
        <w:numPr>
          <w:ilvl w:val="0"/>
          <w:numId w:val="24"/>
        </w:numPr>
        <w:tabs>
          <w:tab w:val="left" w:pos="1052"/>
          <w:tab w:val="left" w:pos="1053"/>
        </w:tabs>
        <w:spacing w:before="0" w:after="0" w:line="240" w:lineRule="auto"/>
        <w:ind w:left="1052" w:right="0" w:hanging="416"/>
        <w:jc w:val="left"/>
        <w:rPr>
          <w:sz w:val="21"/>
        </w:rPr>
      </w:pPr>
      <w:r>
        <w:rPr>
          <w:spacing w:val="-5"/>
          <w:sz w:val="21"/>
        </w:rPr>
        <w:t xml:space="preserve">最小规格深度不应小于 </w:t>
      </w:r>
      <w:r>
        <w:rPr>
          <w:sz w:val="21"/>
        </w:rPr>
        <w:t>1.40</w:t>
      </w:r>
      <w:r>
        <w:rPr>
          <w:rFonts w:hint="eastAsia" w:ascii="仿宋" w:eastAsia="仿宋"/>
          <w:sz w:val="21"/>
        </w:rPr>
        <w:t>m</w:t>
      </w:r>
      <w:r>
        <w:rPr>
          <w:spacing w:val="-7"/>
          <w:sz w:val="21"/>
        </w:rPr>
        <w:t xml:space="preserve">，宽度不应小于 </w:t>
      </w:r>
      <w:r>
        <w:rPr>
          <w:sz w:val="21"/>
        </w:rPr>
        <w:t>1.10</w:t>
      </w:r>
      <w:r>
        <w:rPr>
          <w:rFonts w:hint="eastAsia" w:ascii="仿宋" w:eastAsia="仿宋"/>
          <w:sz w:val="21"/>
        </w:rPr>
        <w:t>m</w:t>
      </w:r>
      <w:r>
        <w:rPr>
          <w:sz w:val="21"/>
        </w:rPr>
        <w:t>。</w:t>
      </w:r>
    </w:p>
    <w:p>
      <w:pPr>
        <w:pStyle w:val="5"/>
        <w:spacing w:before="7"/>
        <w:rPr>
          <w:sz w:val="15"/>
        </w:rPr>
      </w:pPr>
    </w:p>
    <w:p>
      <w:pPr>
        <w:pStyle w:val="12"/>
        <w:numPr>
          <w:ilvl w:val="2"/>
          <w:numId w:val="6"/>
        </w:numPr>
        <w:tabs>
          <w:tab w:val="left" w:pos="1052"/>
          <w:tab w:val="left" w:pos="1053"/>
        </w:tabs>
        <w:spacing w:before="0" w:after="0" w:line="240" w:lineRule="auto"/>
        <w:ind w:left="1052" w:right="0" w:hanging="841"/>
        <w:jc w:val="left"/>
        <w:rPr>
          <w:sz w:val="21"/>
        </w:rPr>
      </w:pPr>
      <w:bookmarkStart w:id="75" w:name="4.1.26升降平台应只适用于场地有限的改造工程。"/>
      <w:bookmarkEnd w:id="75"/>
      <w:bookmarkStart w:id="76" w:name="4.1.26升降平台应只适用于场地有限的改造工程。"/>
      <w:bookmarkEnd w:id="76"/>
      <w:r>
        <w:rPr>
          <w:sz w:val="21"/>
        </w:rPr>
        <w:t>升降平台应只适用于场地有限的改造工程。</w:t>
      </w:r>
    </w:p>
    <w:p>
      <w:pPr>
        <w:pStyle w:val="5"/>
        <w:spacing w:before="6"/>
        <w:rPr>
          <w:sz w:val="15"/>
        </w:rPr>
      </w:pPr>
    </w:p>
    <w:p>
      <w:pPr>
        <w:pStyle w:val="12"/>
        <w:numPr>
          <w:ilvl w:val="2"/>
          <w:numId w:val="6"/>
        </w:numPr>
        <w:tabs>
          <w:tab w:val="left" w:pos="1052"/>
          <w:tab w:val="left" w:pos="1053"/>
        </w:tabs>
        <w:spacing w:before="1" w:after="0" w:line="240" w:lineRule="auto"/>
        <w:ind w:left="1052" w:right="0" w:hanging="841"/>
        <w:jc w:val="left"/>
        <w:rPr>
          <w:sz w:val="21"/>
        </w:rPr>
      </w:pPr>
      <w:bookmarkStart w:id="77" w:name="4.1.27升降平台应符合下列规定："/>
      <w:bookmarkEnd w:id="77"/>
      <w:bookmarkStart w:id="78" w:name="4.1.27升降平台应符合下列规定："/>
      <w:bookmarkEnd w:id="78"/>
      <w:r>
        <w:rPr>
          <w:sz w:val="21"/>
        </w:rPr>
        <w:t>升降平台应符合下列规定：</w:t>
      </w:r>
    </w:p>
    <w:p>
      <w:pPr>
        <w:pStyle w:val="5"/>
        <w:spacing w:before="6"/>
        <w:rPr>
          <w:sz w:val="15"/>
        </w:rPr>
      </w:pPr>
    </w:p>
    <w:p>
      <w:pPr>
        <w:pStyle w:val="12"/>
        <w:numPr>
          <w:ilvl w:val="0"/>
          <w:numId w:val="25"/>
        </w:numPr>
        <w:tabs>
          <w:tab w:val="left" w:pos="1052"/>
          <w:tab w:val="left" w:pos="1053"/>
        </w:tabs>
        <w:spacing w:before="0" w:after="0" w:line="240" w:lineRule="auto"/>
        <w:ind w:left="1052" w:right="0" w:hanging="416"/>
        <w:jc w:val="left"/>
        <w:rPr>
          <w:sz w:val="21"/>
        </w:rPr>
      </w:pPr>
      <w:r>
        <w:rPr>
          <w:sz w:val="21"/>
        </w:rPr>
        <w:t>传送装置必须设有可靠的安全防护装置；</w:t>
      </w:r>
    </w:p>
    <w:p>
      <w:pPr>
        <w:pStyle w:val="5"/>
        <w:spacing w:before="7"/>
        <w:rPr>
          <w:sz w:val="15"/>
        </w:rPr>
      </w:pPr>
    </w:p>
    <w:p>
      <w:pPr>
        <w:pStyle w:val="12"/>
        <w:numPr>
          <w:ilvl w:val="0"/>
          <w:numId w:val="25"/>
        </w:numPr>
        <w:tabs>
          <w:tab w:val="left" w:pos="1052"/>
          <w:tab w:val="left" w:pos="1053"/>
        </w:tabs>
        <w:spacing w:before="0" w:after="0" w:line="240" w:lineRule="auto"/>
        <w:ind w:left="1052" w:right="0" w:hanging="416"/>
        <w:jc w:val="left"/>
        <w:rPr>
          <w:sz w:val="21"/>
        </w:rPr>
      </w:pPr>
      <w:r>
        <w:rPr>
          <w:sz w:val="21"/>
        </w:rPr>
        <w:t>垂直升降平台的基坑必须采用防止误入的安全防护措施；</w:t>
      </w:r>
    </w:p>
    <w:p>
      <w:pPr>
        <w:pStyle w:val="5"/>
        <w:spacing w:before="7"/>
        <w:rPr>
          <w:sz w:val="15"/>
        </w:rPr>
      </w:pPr>
    </w:p>
    <w:p>
      <w:pPr>
        <w:pStyle w:val="12"/>
        <w:numPr>
          <w:ilvl w:val="0"/>
          <w:numId w:val="25"/>
        </w:numPr>
        <w:tabs>
          <w:tab w:val="left" w:pos="1052"/>
          <w:tab w:val="left" w:pos="1053"/>
        </w:tabs>
        <w:spacing w:before="0" w:after="0" w:line="240" w:lineRule="auto"/>
        <w:ind w:left="1052" w:right="0" w:hanging="416"/>
        <w:jc w:val="left"/>
        <w:rPr>
          <w:sz w:val="21"/>
        </w:rPr>
      </w:pPr>
      <w:r>
        <w:rPr>
          <w:spacing w:val="-5"/>
          <w:sz w:val="21"/>
        </w:rPr>
        <w:t xml:space="preserve">垂直升降平台的宽度不应小于 </w:t>
      </w:r>
      <w:r>
        <w:rPr>
          <w:sz w:val="21"/>
        </w:rPr>
        <w:t>900</w:t>
      </w:r>
      <w:r>
        <w:rPr>
          <w:rFonts w:hint="eastAsia" w:ascii="仿宋" w:eastAsia="仿宋"/>
          <w:sz w:val="21"/>
        </w:rPr>
        <w:t>mm</w:t>
      </w:r>
      <w:r>
        <w:rPr>
          <w:spacing w:val="-8"/>
          <w:sz w:val="21"/>
        </w:rPr>
        <w:t xml:space="preserve">，深度不应小于 </w:t>
      </w:r>
      <w:r>
        <w:rPr>
          <w:sz w:val="21"/>
        </w:rPr>
        <w:t>1.20</w:t>
      </w:r>
      <w:r>
        <w:rPr>
          <w:rFonts w:hint="eastAsia" w:ascii="仿宋" w:eastAsia="仿宋"/>
          <w:sz w:val="21"/>
        </w:rPr>
        <w:t>m</w:t>
      </w:r>
      <w:r>
        <w:rPr>
          <w:sz w:val="21"/>
        </w:rPr>
        <w:t>，应设扶手、挡板和呼叫控制按钮；</w:t>
      </w:r>
    </w:p>
    <w:p>
      <w:pPr>
        <w:pStyle w:val="5"/>
        <w:spacing w:before="6"/>
        <w:rPr>
          <w:sz w:val="15"/>
        </w:rPr>
      </w:pPr>
    </w:p>
    <w:p>
      <w:pPr>
        <w:pStyle w:val="12"/>
        <w:numPr>
          <w:ilvl w:val="0"/>
          <w:numId w:val="25"/>
        </w:numPr>
        <w:tabs>
          <w:tab w:val="left" w:pos="1052"/>
          <w:tab w:val="left" w:pos="1053"/>
        </w:tabs>
        <w:spacing w:before="1" w:after="0" w:line="240" w:lineRule="auto"/>
        <w:ind w:left="1052" w:right="0" w:hanging="416"/>
        <w:jc w:val="left"/>
        <w:rPr>
          <w:sz w:val="21"/>
        </w:rPr>
      </w:pPr>
      <w:r>
        <w:rPr>
          <w:spacing w:val="-5"/>
          <w:sz w:val="21"/>
        </w:rPr>
        <w:t xml:space="preserve">斜向升降平台的宽度不应小于 </w:t>
      </w:r>
      <w:r>
        <w:rPr>
          <w:sz w:val="21"/>
        </w:rPr>
        <w:t>900</w:t>
      </w:r>
      <w:r>
        <w:rPr>
          <w:rFonts w:hint="eastAsia" w:ascii="仿宋" w:eastAsia="仿宋"/>
          <w:sz w:val="21"/>
        </w:rPr>
        <w:t>mm</w:t>
      </w:r>
      <w:r>
        <w:rPr>
          <w:spacing w:val="-8"/>
          <w:sz w:val="21"/>
        </w:rPr>
        <w:t xml:space="preserve">，深度不应小于 </w:t>
      </w:r>
      <w:r>
        <w:rPr>
          <w:sz w:val="21"/>
        </w:rPr>
        <w:t>1.00</w:t>
      </w:r>
      <w:r>
        <w:rPr>
          <w:rFonts w:hint="eastAsia" w:ascii="仿宋" w:eastAsia="仿宋"/>
          <w:sz w:val="21"/>
        </w:rPr>
        <w:t>m</w:t>
      </w:r>
      <w:r>
        <w:rPr>
          <w:sz w:val="21"/>
        </w:rPr>
        <w:t>，应设扶手、挡板和呼叫控制按钮。</w:t>
      </w:r>
    </w:p>
    <w:p>
      <w:pPr>
        <w:pStyle w:val="5"/>
        <w:spacing w:before="6"/>
        <w:rPr>
          <w:sz w:val="15"/>
        </w:rPr>
      </w:pPr>
    </w:p>
    <w:p>
      <w:pPr>
        <w:pStyle w:val="12"/>
        <w:numPr>
          <w:ilvl w:val="0"/>
          <w:numId w:val="12"/>
        </w:numPr>
        <w:tabs>
          <w:tab w:val="left" w:pos="4272"/>
        </w:tabs>
        <w:spacing w:before="0" w:after="0" w:line="240" w:lineRule="auto"/>
        <w:ind w:left="4271" w:right="102" w:hanging="4272"/>
        <w:jc w:val="left"/>
        <w:rPr>
          <w:rFonts w:hint="eastAsia" w:ascii="黑体" w:eastAsia="黑体"/>
          <w:sz w:val="21"/>
        </w:rPr>
      </w:pPr>
      <w:bookmarkStart w:id="79" w:name="X无障碍楼梯与台阶"/>
      <w:bookmarkEnd w:id="79"/>
      <w:bookmarkStart w:id="80" w:name="X无障碍楼梯与台阶"/>
      <w:bookmarkEnd w:id="80"/>
      <w:r>
        <w:rPr>
          <w:rFonts w:hint="eastAsia" w:ascii="黑体" w:eastAsia="黑体"/>
          <w:sz w:val="21"/>
        </w:rPr>
        <w:t>无障碍楼梯与台阶</w:t>
      </w:r>
    </w:p>
    <w:p>
      <w:pPr>
        <w:pStyle w:val="5"/>
        <w:spacing w:before="7"/>
        <w:rPr>
          <w:rFonts w:ascii="黑体"/>
          <w:sz w:val="15"/>
        </w:rPr>
      </w:pPr>
    </w:p>
    <w:p>
      <w:pPr>
        <w:pStyle w:val="12"/>
        <w:numPr>
          <w:ilvl w:val="2"/>
          <w:numId w:val="6"/>
        </w:numPr>
        <w:tabs>
          <w:tab w:val="left" w:pos="1052"/>
          <w:tab w:val="left" w:pos="1053"/>
        </w:tabs>
        <w:spacing w:before="0" w:after="0" w:line="240" w:lineRule="auto"/>
        <w:ind w:left="1052" w:right="0" w:hanging="841"/>
        <w:jc w:val="left"/>
        <w:rPr>
          <w:sz w:val="21"/>
        </w:rPr>
      </w:pPr>
      <w:bookmarkStart w:id="81" w:name="4.1.28无障碍楼梯应符合下列规定："/>
      <w:bookmarkEnd w:id="81"/>
      <w:bookmarkStart w:id="82" w:name="4.1.28无障碍楼梯应符合下列规定："/>
      <w:bookmarkEnd w:id="82"/>
      <w:r>
        <w:rPr>
          <w:w w:val="95"/>
          <w:sz w:val="21"/>
        </w:rPr>
        <w:t>无障碍楼梯应符合下列规定：</w:t>
      </w:r>
    </w:p>
    <w:p>
      <w:pPr>
        <w:pStyle w:val="5"/>
        <w:spacing w:before="7"/>
        <w:rPr>
          <w:sz w:val="15"/>
        </w:rPr>
      </w:pPr>
    </w:p>
    <w:p>
      <w:pPr>
        <w:pStyle w:val="12"/>
        <w:numPr>
          <w:ilvl w:val="0"/>
          <w:numId w:val="26"/>
        </w:numPr>
        <w:tabs>
          <w:tab w:val="left" w:pos="1052"/>
          <w:tab w:val="left" w:pos="1053"/>
        </w:tabs>
        <w:spacing w:before="0" w:after="0" w:line="240" w:lineRule="auto"/>
        <w:ind w:left="1052" w:right="0" w:hanging="416"/>
        <w:jc w:val="left"/>
        <w:rPr>
          <w:sz w:val="21"/>
        </w:rPr>
      </w:pPr>
      <w:r>
        <w:rPr>
          <w:w w:val="95"/>
          <w:sz w:val="21"/>
        </w:rPr>
        <w:t>宜采用直线形楼梯；</w:t>
      </w:r>
    </w:p>
    <w:p>
      <w:pPr>
        <w:pStyle w:val="5"/>
        <w:spacing w:before="6"/>
        <w:rPr>
          <w:sz w:val="15"/>
        </w:rPr>
      </w:pPr>
    </w:p>
    <w:p>
      <w:pPr>
        <w:pStyle w:val="12"/>
        <w:numPr>
          <w:ilvl w:val="0"/>
          <w:numId w:val="26"/>
        </w:numPr>
        <w:tabs>
          <w:tab w:val="left" w:pos="1052"/>
          <w:tab w:val="left" w:pos="1053"/>
        </w:tabs>
        <w:spacing w:before="1" w:after="0" w:line="240" w:lineRule="auto"/>
        <w:ind w:left="1052" w:right="0" w:hanging="416"/>
        <w:jc w:val="left"/>
        <w:rPr>
          <w:sz w:val="21"/>
        </w:rPr>
      </w:pPr>
      <w:r>
        <w:rPr>
          <w:sz w:val="21"/>
        </w:rPr>
        <w:t>宜在两侧均设置扶手。儿童频繁通行的楼梯，可设置无障碍双层扶手；</w:t>
      </w:r>
    </w:p>
    <w:p>
      <w:pPr>
        <w:pStyle w:val="5"/>
        <w:spacing w:before="6"/>
        <w:rPr>
          <w:sz w:val="15"/>
        </w:rPr>
      </w:pPr>
    </w:p>
    <w:p>
      <w:pPr>
        <w:pStyle w:val="12"/>
        <w:numPr>
          <w:ilvl w:val="0"/>
          <w:numId w:val="26"/>
        </w:numPr>
        <w:tabs>
          <w:tab w:val="left" w:pos="1052"/>
          <w:tab w:val="left" w:pos="1053"/>
        </w:tabs>
        <w:spacing w:before="0" w:after="0" w:line="240" w:lineRule="auto"/>
        <w:ind w:left="1052" w:right="0" w:hanging="416"/>
        <w:jc w:val="left"/>
        <w:rPr>
          <w:sz w:val="21"/>
        </w:rPr>
      </w:pPr>
      <w:r>
        <w:rPr>
          <w:sz w:val="21"/>
        </w:rPr>
        <w:t>栏杆式楼梯的栏杆底部应设置安全阻挡措施；</w:t>
      </w:r>
    </w:p>
    <w:p>
      <w:pPr>
        <w:pStyle w:val="5"/>
        <w:spacing w:before="7"/>
        <w:rPr>
          <w:sz w:val="15"/>
        </w:rPr>
      </w:pPr>
    </w:p>
    <w:p>
      <w:pPr>
        <w:pStyle w:val="12"/>
        <w:numPr>
          <w:ilvl w:val="0"/>
          <w:numId w:val="26"/>
        </w:numPr>
        <w:tabs>
          <w:tab w:val="left" w:pos="1052"/>
          <w:tab w:val="left" w:pos="1053"/>
        </w:tabs>
        <w:spacing w:before="0" w:after="0" w:line="240" w:lineRule="auto"/>
        <w:ind w:left="1052" w:right="0" w:hanging="416"/>
        <w:jc w:val="left"/>
        <w:rPr>
          <w:sz w:val="21"/>
        </w:rPr>
      </w:pPr>
      <w:r>
        <w:rPr>
          <w:spacing w:val="-8"/>
          <w:sz w:val="21"/>
        </w:rPr>
        <w:t xml:space="preserve">距踏步起终点 </w:t>
      </w:r>
      <w:r>
        <w:rPr>
          <w:sz w:val="21"/>
        </w:rPr>
        <w:t>250</w:t>
      </w:r>
      <w:r>
        <w:rPr>
          <w:rFonts w:hint="eastAsia" w:ascii="仿宋" w:eastAsia="仿宋"/>
          <w:sz w:val="21"/>
        </w:rPr>
        <w:t>mm</w:t>
      </w:r>
      <w:r>
        <w:rPr>
          <w:sz w:val="21"/>
        </w:rPr>
        <w:t>～300</w:t>
      </w:r>
      <w:r>
        <w:rPr>
          <w:rFonts w:hint="eastAsia" w:ascii="仿宋" w:eastAsia="仿宋"/>
          <w:sz w:val="21"/>
        </w:rPr>
        <w:t>mm</w:t>
      </w:r>
      <w:r>
        <w:rPr>
          <w:rFonts w:hint="eastAsia" w:ascii="仿宋" w:eastAsia="仿宋"/>
          <w:spacing w:val="-54"/>
          <w:sz w:val="21"/>
        </w:rPr>
        <w:t xml:space="preserve"> </w:t>
      </w:r>
      <w:r>
        <w:rPr>
          <w:sz w:val="21"/>
        </w:rPr>
        <w:t>处应设置提示盲道，且宜与梯段等宽；</w:t>
      </w:r>
    </w:p>
    <w:p>
      <w:pPr>
        <w:pStyle w:val="5"/>
        <w:spacing w:before="7"/>
        <w:rPr>
          <w:sz w:val="15"/>
        </w:rPr>
      </w:pPr>
    </w:p>
    <w:p>
      <w:pPr>
        <w:pStyle w:val="12"/>
        <w:numPr>
          <w:ilvl w:val="0"/>
          <w:numId w:val="26"/>
        </w:numPr>
        <w:tabs>
          <w:tab w:val="left" w:pos="1052"/>
          <w:tab w:val="left" w:pos="1053"/>
        </w:tabs>
        <w:spacing w:before="0" w:after="0" w:line="240" w:lineRule="auto"/>
        <w:ind w:left="1052" w:right="0" w:hanging="416"/>
        <w:jc w:val="left"/>
        <w:rPr>
          <w:sz w:val="21"/>
        </w:rPr>
      </w:pPr>
      <w:r>
        <w:rPr>
          <w:sz w:val="21"/>
        </w:rPr>
        <w:t>梯段第一阶应在颜色或材质上与平台有明显区别；</w:t>
      </w:r>
    </w:p>
    <w:p>
      <w:pPr>
        <w:pStyle w:val="5"/>
        <w:spacing w:before="6"/>
        <w:rPr>
          <w:sz w:val="15"/>
        </w:rPr>
      </w:pPr>
    </w:p>
    <w:p>
      <w:pPr>
        <w:pStyle w:val="12"/>
        <w:numPr>
          <w:ilvl w:val="0"/>
          <w:numId w:val="26"/>
        </w:numPr>
        <w:tabs>
          <w:tab w:val="left" w:pos="1052"/>
          <w:tab w:val="left" w:pos="1053"/>
        </w:tabs>
        <w:spacing w:before="1" w:after="0" w:line="240" w:lineRule="auto"/>
        <w:ind w:left="1052" w:right="0" w:hanging="416"/>
        <w:jc w:val="left"/>
        <w:rPr>
          <w:sz w:val="21"/>
        </w:rPr>
      </w:pPr>
      <w:r>
        <w:rPr>
          <w:sz w:val="21"/>
        </w:rPr>
        <w:t>同一楼层中，同一部楼梯的踏步应具有统一的高度和深度；</w:t>
      </w:r>
    </w:p>
    <w:p>
      <w:pPr>
        <w:pStyle w:val="5"/>
        <w:spacing w:before="6"/>
        <w:rPr>
          <w:sz w:val="15"/>
        </w:rPr>
      </w:pPr>
    </w:p>
    <w:p>
      <w:pPr>
        <w:pStyle w:val="12"/>
        <w:numPr>
          <w:ilvl w:val="0"/>
          <w:numId w:val="26"/>
        </w:numPr>
        <w:tabs>
          <w:tab w:val="left" w:pos="1052"/>
          <w:tab w:val="left" w:pos="1053"/>
        </w:tabs>
        <w:spacing w:before="0" w:after="0" w:line="240" w:lineRule="auto"/>
        <w:ind w:left="1052" w:right="0" w:hanging="416"/>
        <w:jc w:val="left"/>
        <w:rPr>
          <w:sz w:val="21"/>
        </w:rPr>
      </w:pPr>
      <w:r>
        <w:rPr>
          <w:sz w:val="21"/>
        </w:rPr>
        <w:t>不应采用无踢面和直角形突缘的踏步；</w:t>
      </w:r>
    </w:p>
    <w:p>
      <w:pPr>
        <w:pStyle w:val="5"/>
        <w:spacing w:before="7"/>
        <w:rPr>
          <w:sz w:val="15"/>
        </w:rPr>
      </w:pPr>
    </w:p>
    <w:p>
      <w:pPr>
        <w:pStyle w:val="12"/>
        <w:numPr>
          <w:ilvl w:val="0"/>
          <w:numId w:val="26"/>
        </w:numPr>
        <w:tabs>
          <w:tab w:val="left" w:pos="1052"/>
          <w:tab w:val="left" w:pos="1053"/>
        </w:tabs>
        <w:spacing w:before="0" w:after="0" w:line="240" w:lineRule="auto"/>
        <w:ind w:left="1052" w:right="0" w:hanging="416"/>
        <w:jc w:val="left"/>
        <w:rPr>
          <w:sz w:val="21"/>
        </w:rPr>
      </w:pPr>
      <w:r>
        <w:rPr>
          <w:sz w:val="21"/>
        </w:rPr>
        <w:t>踏面和踢面的颜色宜有区分对比；</w:t>
      </w:r>
    </w:p>
    <w:p>
      <w:pPr>
        <w:pStyle w:val="5"/>
        <w:spacing w:before="7"/>
        <w:rPr>
          <w:sz w:val="15"/>
        </w:rPr>
      </w:pPr>
    </w:p>
    <w:p>
      <w:pPr>
        <w:pStyle w:val="12"/>
        <w:numPr>
          <w:ilvl w:val="0"/>
          <w:numId w:val="26"/>
        </w:numPr>
        <w:tabs>
          <w:tab w:val="left" w:pos="1052"/>
          <w:tab w:val="left" w:pos="1053"/>
        </w:tabs>
        <w:spacing w:before="0" w:after="0" w:line="240" w:lineRule="auto"/>
        <w:ind w:left="1052" w:right="0" w:hanging="416"/>
        <w:jc w:val="left"/>
        <w:rPr>
          <w:sz w:val="21"/>
        </w:rPr>
      </w:pPr>
      <w:r>
        <w:rPr>
          <w:sz w:val="21"/>
        </w:rPr>
        <w:t>踏面应平整、防滑。</w:t>
      </w:r>
    </w:p>
    <w:p>
      <w:pPr>
        <w:spacing w:after="0" w:line="240" w:lineRule="auto"/>
        <w:jc w:val="left"/>
        <w:rPr>
          <w:sz w:val="21"/>
        </w:rPr>
        <w:sectPr>
          <w:pgSz w:w="11910" w:h="16840"/>
          <w:pgMar w:top="1580" w:right="820" w:bottom="1280" w:left="920" w:header="0" w:footer="1095" w:gutter="0"/>
          <w:cols w:space="720" w:num="1"/>
        </w:sectPr>
      </w:pPr>
    </w:p>
    <w:p>
      <w:pPr>
        <w:pStyle w:val="12"/>
        <w:numPr>
          <w:ilvl w:val="2"/>
          <w:numId w:val="6"/>
        </w:numPr>
        <w:tabs>
          <w:tab w:val="left" w:pos="1052"/>
          <w:tab w:val="left" w:pos="1053"/>
        </w:tabs>
        <w:spacing w:before="60" w:after="0" w:line="240" w:lineRule="auto"/>
        <w:ind w:left="1052" w:right="0" w:hanging="841"/>
        <w:jc w:val="left"/>
        <w:rPr>
          <w:sz w:val="21"/>
        </w:rPr>
      </w:pPr>
      <w:bookmarkStart w:id="83" w:name="4.1.29台阶的无障碍设计应符合下列规定："/>
      <w:bookmarkEnd w:id="83"/>
      <w:bookmarkStart w:id="84" w:name="4.1.29台阶的无障碍设计应符合下列规定："/>
      <w:bookmarkEnd w:id="84"/>
      <w:r>
        <w:rPr>
          <w:sz w:val="21"/>
        </w:rPr>
        <w:t>台阶的无障碍设计应符合下列规定：</w:t>
      </w:r>
    </w:p>
    <w:p>
      <w:pPr>
        <w:pStyle w:val="5"/>
        <w:spacing w:before="6"/>
        <w:rPr>
          <w:sz w:val="15"/>
        </w:rPr>
      </w:pPr>
    </w:p>
    <w:p>
      <w:pPr>
        <w:pStyle w:val="12"/>
        <w:numPr>
          <w:ilvl w:val="0"/>
          <w:numId w:val="27"/>
        </w:numPr>
        <w:tabs>
          <w:tab w:val="left" w:pos="1052"/>
          <w:tab w:val="left" w:pos="1053"/>
        </w:tabs>
        <w:spacing w:before="1" w:after="0" w:line="240" w:lineRule="auto"/>
        <w:ind w:left="1052" w:right="0" w:hanging="416"/>
        <w:jc w:val="left"/>
        <w:rPr>
          <w:sz w:val="21"/>
        </w:rPr>
      </w:pPr>
      <w:r>
        <w:rPr>
          <w:sz w:val="21"/>
        </w:rPr>
        <w:t>三级及三级以上的台阶，应在两侧设置扶手，且宜为无障碍双层扶手；</w:t>
      </w:r>
    </w:p>
    <w:p>
      <w:pPr>
        <w:pStyle w:val="5"/>
        <w:spacing w:before="6"/>
        <w:rPr>
          <w:sz w:val="15"/>
        </w:rPr>
      </w:pPr>
    </w:p>
    <w:p>
      <w:pPr>
        <w:pStyle w:val="12"/>
        <w:numPr>
          <w:ilvl w:val="0"/>
          <w:numId w:val="27"/>
        </w:numPr>
        <w:tabs>
          <w:tab w:val="left" w:pos="1052"/>
          <w:tab w:val="left" w:pos="1053"/>
        </w:tabs>
        <w:spacing w:before="0" w:after="0" w:line="240" w:lineRule="auto"/>
        <w:ind w:left="1052" w:right="0" w:hanging="416"/>
        <w:jc w:val="left"/>
        <w:rPr>
          <w:sz w:val="21"/>
        </w:rPr>
      </w:pPr>
      <w:r>
        <w:rPr>
          <w:spacing w:val="-8"/>
          <w:sz w:val="21"/>
        </w:rPr>
        <w:t xml:space="preserve">距踏步起终点 </w:t>
      </w:r>
      <w:r>
        <w:rPr>
          <w:sz w:val="21"/>
        </w:rPr>
        <w:t>250</w:t>
      </w:r>
      <w:r>
        <w:rPr>
          <w:rFonts w:hint="eastAsia" w:ascii="仿宋" w:eastAsia="仿宋"/>
          <w:sz w:val="21"/>
        </w:rPr>
        <w:t>mm</w:t>
      </w:r>
      <w:r>
        <w:rPr>
          <w:sz w:val="21"/>
        </w:rPr>
        <w:t>～300</w:t>
      </w:r>
      <w:r>
        <w:rPr>
          <w:rFonts w:hint="eastAsia" w:ascii="仿宋" w:eastAsia="仿宋"/>
          <w:sz w:val="21"/>
        </w:rPr>
        <w:t>mm</w:t>
      </w:r>
      <w:r>
        <w:rPr>
          <w:rFonts w:hint="eastAsia" w:ascii="仿宋" w:eastAsia="仿宋"/>
          <w:spacing w:val="-54"/>
          <w:sz w:val="21"/>
        </w:rPr>
        <w:t xml:space="preserve"> </w:t>
      </w:r>
      <w:r>
        <w:rPr>
          <w:sz w:val="21"/>
        </w:rPr>
        <w:t>处应设置提示盲道，且宜与台阶等宽；</w:t>
      </w:r>
    </w:p>
    <w:p>
      <w:pPr>
        <w:pStyle w:val="5"/>
        <w:spacing w:before="7"/>
        <w:rPr>
          <w:sz w:val="15"/>
        </w:rPr>
      </w:pPr>
    </w:p>
    <w:p>
      <w:pPr>
        <w:pStyle w:val="12"/>
        <w:numPr>
          <w:ilvl w:val="0"/>
          <w:numId w:val="27"/>
        </w:numPr>
        <w:tabs>
          <w:tab w:val="left" w:pos="1052"/>
          <w:tab w:val="left" w:pos="1053"/>
        </w:tabs>
        <w:spacing w:before="0" w:after="0" w:line="240" w:lineRule="auto"/>
        <w:ind w:left="1052" w:right="0" w:hanging="416"/>
        <w:jc w:val="left"/>
        <w:rPr>
          <w:sz w:val="21"/>
        </w:rPr>
      </w:pPr>
      <w:r>
        <w:rPr>
          <w:sz w:val="21"/>
        </w:rPr>
        <w:t>第一阶宜与其他阶有明显区别；</w:t>
      </w:r>
    </w:p>
    <w:p>
      <w:pPr>
        <w:pStyle w:val="5"/>
        <w:spacing w:before="7"/>
        <w:rPr>
          <w:sz w:val="15"/>
        </w:rPr>
      </w:pPr>
    </w:p>
    <w:p>
      <w:pPr>
        <w:pStyle w:val="12"/>
        <w:numPr>
          <w:ilvl w:val="0"/>
          <w:numId w:val="27"/>
        </w:numPr>
        <w:tabs>
          <w:tab w:val="left" w:pos="1052"/>
          <w:tab w:val="left" w:pos="1053"/>
        </w:tabs>
        <w:spacing w:before="0" w:after="0" w:line="240" w:lineRule="auto"/>
        <w:ind w:left="1052" w:right="0" w:hanging="416"/>
        <w:jc w:val="left"/>
        <w:rPr>
          <w:sz w:val="21"/>
        </w:rPr>
      </w:pPr>
      <w:r>
        <w:rPr>
          <w:sz w:val="21"/>
        </w:rPr>
        <w:t>踏步应防滑。</w:t>
      </w:r>
    </w:p>
    <w:p>
      <w:pPr>
        <w:pStyle w:val="5"/>
        <w:spacing w:before="6"/>
        <w:rPr>
          <w:sz w:val="15"/>
        </w:rPr>
      </w:pPr>
    </w:p>
    <w:p>
      <w:pPr>
        <w:pStyle w:val="12"/>
        <w:numPr>
          <w:ilvl w:val="0"/>
          <w:numId w:val="12"/>
        </w:numPr>
        <w:tabs>
          <w:tab w:val="left" w:pos="4113"/>
        </w:tabs>
        <w:spacing w:before="1" w:after="0" w:line="240" w:lineRule="auto"/>
        <w:ind w:left="4112" w:right="102" w:hanging="4113"/>
        <w:jc w:val="left"/>
        <w:rPr>
          <w:rFonts w:hint="eastAsia" w:ascii="黑体" w:eastAsia="黑体"/>
          <w:sz w:val="21"/>
        </w:rPr>
      </w:pPr>
      <w:bookmarkStart w:id="85" w:name="XI自动扶梯与自动人行道"/>
      <w:bookmarkEnd w:id="85"/>
      <w:bookmarkStart w:id="86" w:name="XI自动扶梯与自动人行道"/>
      <w:bookmarkEnd w:id="86"/>
      <w:r>
        <w:rPr>
          <w:rFonts w:hint="eastAsia" w:ascii="黑体" w:eastAsia="黑体"/>
          <w:sz w:val="21"/>
        </w:rPr>
        <w:t>自动扶梯与自动人行道</w:t>
      </w:r>
    </w:p>
    <w:p>
      <w:pPr>
        <w:pStyle w:val="5"/>
        <w:spacing w:before="6"/>
        <w:rPr>
          <w:rFonts w:ascii="黑体"/>
          <w:sz w:val="15"/>
        </w:rPr>
      </w:pPr>
    </w:p>
    <w:p>
      <w:pPr>
        <w:pStyle w:val="12"/>
        <w:numPr>
          <w:ilvl w:val="2"/>
          <w:numId w:val="6"/>
        </w:numPr>
        <w:tabs>
          <w:tab w:val="left" w:pos="1052"/>
          <w:tab w:val="left" w:pos="1053"/>
        </w:tabs>
        <w:spacing w:before="0" w:after="0" w:line="240" w:lineRule="auto"/>
        <w:ind w:left="1052" w:right="0" w:hanging="841"/>
        <w:jc w:val="left"/>
        <w:rPr>
          <w:sz w:val="21"/>
        </w:rPr>
      </w:pPr>
      <w:bookmarkStart w:id="87" w:name="4.1.30自动扶梯应符合下列规定："/>
      <w:bookmarkEnd w:id="87"/>
      <w:bookmarkStart w:id="88" w:name="4.1.30自动扶梯应符合下列规定："/>
      <w:bookmarkEnd w:id="88"/>
      <w:r>
        <w:rPr>
          <w:sz w:val="21"/>
        </w:rPr>
        <w:t>自动扶梯应符合下列规定：</w:t>
      </w:r>
    </w:p>
    <w:p>
      <w:pPr>
        <w:pStyle w:val="5"/>
        <w:spacing w:before="7"/>
        <w:rPr>
          <w:sz w:val="15"/>
        </w:rPr>
      </w:pPr>
    </w:p>
    <w:p>
      <w:pPr>
        <w:pStyle w:val="12"/>
        <w:numPr>
          <w:ilvl w:val="0"/>
          <w:numId w:val="28"/>
        </w:numPr>
        <w:tabs>
          <w:tab w:val="left" w:pos="1052"/>
          <w:tab w:val="left" w:pos="1053"/>
        </w:tabs>
        <w:spacing w:before="0" w:after="0" w:line="240" w:lineRule="auto"/>
        <w:ind w:left="1052" w:right="0" w:hanging="416"/>
        <w:jc w:val="left"/>
        <w:rPr>
          <w:sz w:val="21"/>
        </w:rPr>
      </w:pPr>
      <w:r>
        <w:rPr>
          <w:spacing w:val="-4"/>
          <w:sz w:val="21"/>
        </w:rPr>
        <w:t xml:space="preserve">在底部和顶部距地面设备盖板边缘 </w:t>
      </w:r>
      <w:r>
        <w:rPr>
          <w:sz w:val="21"/>
        </w:rPr>
        <w:t>250</w:t>
      </w:r>
      <w:r>
        <w:rPr>
          <w:rFonts w:hint="eastAsia" w:ascii="仿宋" w:eastAsia="仿宋"/>
          <w:sz w:val="21"/>
        </w:rPr>
        <w:t>mm</w:t>
      </w:r>
      <w:r>
        <w:rPr>
          <w:sz w:val="21"/>
        </w:rPr>
        <w:t>～300</w:t>
      </w:r>
      <w:r>
        <w:rPr>
          <w:rFonts w:hint="eastAsia" w:ascii="仿宋" w:eastAsia="仿宋"/>
          <w:sz w:val="21"/>
        </w:rPr>
        <w:t>mm</w:t>
      </w:r>
      <w:r>
        <w:rPr>
          <w:rFonts w:hint="eastAsia" w:ascii="仿宋" w:eastAsia="仿宋"/>
          <w:spacing w:val="-52"/>
          <w:sz w:val="21"/>
        </w:rPr>
        <w:t xml:space="preserve"> </w:t>
      </w:r>
      <w:r>
        <w:rPr>
          <w:sz w:val="21"/>
        </w:rPr>
        <w:t>处应设置提示盲道；</w:t>
      </w:r>
    </w:p>
    <w:p>
      <w:pPr>
        <w:pStyle w:val="5"/>
        <w:spacing w:before="7"/>
        <w:rPr>
          <w:sz w:val="15"/>
        </w:rPr>
      </w:pPr>
    </w:p>
    <w:p>
      <w:pPr>
        <w:pStyle w:val="12"/>
        <w:numPr>
          <w:ilvl w:val="0"/>
          <w:numId w:val="28"/>
        </w:numPr>
        <w:tabs>
          <w:tab w:val="left" w:pos="1052"/>
          <w:tab w:val="left" w:pos="1053"/>
        </w:tabs>
        <w:spacing w:before="0" w:after="0" w:line="240" w:lineRule="auto"/>
        <w:ind w:left="1052" w:right="0" w:hanging="416"/>
        <w:jc w:val="left"/>
        <w:rPr>
          <w:sz w:val="21"/>
        </w:rPr>
      </w:pPr>
      <w:r>
        <w:rPr>
          <w:sz w:val="21"/>
        </w:rPr>
        <w:t>底部和顶部应设置清晰表明上行、下行的标识；</w:t>
      </w:r>
    </w:p>
    <w:p>
      <w:pPr>
        <w:pStyle w:val="5"/>
        <w:spacing w:before="6"/>
        <w:rPr>
          <w:sz w:val="15"/>
        </w:rPr>
      </w:pPr>
    </w:p>
    <w:p>
      <w:pPr>
        <w:pStyle w:val="12"/>
        <w:numPr>
          <w:ilvl w:val="0"/>
          <w:numId w:val="28"/>
        </w:numPr>
        <w:tabs>
          <w:tab w:val="left" w:pos="1052"/>
          <w:tab w:val="left" w:pos="1053"/>
        </w:tabs>
        <w:spacing w:before="1" w:after="0" w:line="240" w:lineRule="auto"/>
        <w:ind w:left="1052" w:right="0" w:hanging="416"/>
        <w:jc w:val="left"/>
        <w:rPr>
          <w:sz w:val="21"/>
        </w:rPr>
      </w:pPr>
      <w:r>
        <w:rPr>
          <w:sz w:val="21"/>
        </w:rPr>
        <w:t>梯级边缘应有足够的颜色亮度。</w:t>
      </w:r>
    </w:p>
    <w:p>
      <w:pPr>
        <w:pStyle w:val="5"/>
        <w:spacing w:before="6"/>
        <w:rPr>
          <w:sz w:val="15"/>
        </w:rPr>
      </w:pPr>
    </w:p>
    <w:p>
      <w:pPr>
        <w:pStyle w:val="12"/>
        <w:numPr>
          <w:ilvl w:val="2"/>
          <w:numId w:val="6"/>
        </w:numPr>
        <w:tabs>
          <w:tab w:val="left" w:pos="1052"/>
          <w:tab w:val="left" w:pos="1053"/>
        </w:tabs>
        <w:spacing w:before="0" w:after="0" w:line="240" w:lineRule="auto"/>
        <w:ind w:left="1052" w:right="0" w:hanging="841"/>
        <w:jc w:val="left"/>
        <w:rPr>
          <w:sz w:val="21"/>
        </w:rPr>
      </w:pPr>
      <w:bookmarkStart w:id="89" w:name="4.1.31自动人行道应符合下列规定："/>
      <w:bookmarkEnd w:id="89"/>
      <w:bookmarkStart w:id="90" w:name="4.1.31自动人行道应符合下列规定："/>
      <w:bookmarkEnd w:id="90"/>
      <w:r>
        <w:rPr>
          <w:sz w:val="21"/>
        </w:rPr>
        <w:t>自动人行道应符合下列规定：</w:t>
      </w:r>
    </w:p>
    <w:p>
      <w:pPr>
        <w:pStyle w:val="5"/>
        <w:spacing w:before="7"/>
        <w:rPr>
          <w:sz w:val="15"/>
        </w:rPr>
      </w:pPr>
    </w:p>
    <w:p>
      <w:pPr>
        <w:pStyle w:val="12"/>
        <w:numPr>
          <w:ilvl w:val="0"/>
          <w:numId w:val="29"/>
        </w:numPr>
        <w:tabs>
          <w:tab w:val="left" w:pos="1052"/>
          <w:tab w:val="left" w:pos="1053"/>
        </w:tabs>
        <w:spacing w:before="0" w:after="0" w:line="240" w:lineRule="auto"/>
        <w:ind w:left="1052" w:right="0" w:hanging="416"/>
        <w:jc w:val="left"/>
        <w:rPr>
          <w:sz w:val="21"/>
        </w:rPr>
      </w:pPr>
      <w:r>
        <w:rPr>
          <w:spacing w:val="-4"/>
          <w:sz w:val="21"/>
        </w:rPr>
        <w:t xml:space="preserve">首末两端距地面设备盖板边缘 </w:t>
      </w:r>
      <w:r>
        <w:rPr>
          <w:sz w:val="21"/>
        </w:rPr>
        <w:t>250</w:t>
      </w:r>
      <w:r>
        <w:rPr>
          <w:rFonts w:hint="eastAsia" w:ascii="仿宋" w:eastAsia="仿宋"/>
          <w:sz w:val="21"/>
        </w:rPr>
        <w:t>mm</w:t>
      </w:r>
      <w:r>
        <w:rPr>
          <w:sz w:val="21"/>
        </w:rPr>
        <w:t>～300</w:t>
      </w:r>
      <w:r>
        <w:rPr>
          <w:rFonts w:hint="eastAsia" w:ascii="仿宋" w:eastAsia="仿宋"/>
          <w:sz w:val="21"/>
        </w:rPr>
        <w:t>mm</w:t>
      </w:r>
      <w:r>
        <w:rPr>
          <w:rFonts w:hint="eastAsia" w:ascii="仿宋" w:eastAsia="仿宋"/>
          <w:spacing w:val="-52"/>
          <w:sz w:val="21"/>
        </w:rPr>
        <w:t xml:space="preserve"> </w:t>
      </w:r>
      <w:r>
        <w:rPr>
          <w:sz w:val="21"/>
        </w:rPr>
        <w:t>处应设置提示盲道；</w:t>
      </w:r>
    </w:p>
    <w:p>
      <w:pPr>
        <w:pStyle w:val="5"/>
        <w:spacing w:before="7"/>
        <w:rPr>
          <w:sz w:val="15"/>
        </w:rPr>
      </w:pPr>
    </w:p>
    <w:p>
      <w:pPr>
        <w:pStyle w:val="12"/>
        <w:numPr>
          <w:ilvl w:val="0"/>
          <w:numId w:val="29"/>
        </w:numPr>
        <w:tabs>
          <w:tab w:val="left" w:pos="1052"/>
          <w:tab w:val="left" w:pos="1053"/>
        </w:tabs>
        <w:spacing w:before="0" w:after="0" w:line="240" w:lineRule="auto"/>
        <w:ind w:left="1052" w:right="0" w:hanging="416"/>
        <w:jc w:val="left"/>
        <w:rPr>
          <w:sz w:val="21"/>
        </w:rPr>
      </w:pPr>
      <w:r>
        <w:rPr>
          <w:sz w:val="21"/>
        </w:rPr>
        <w:t>首末两端应设置清晰表明向前移动的标识。</w:t>
      </w:r>
    </w:p>
    <w:p>
      <w:pPr>
        <w:pStyle w:val="5"/>
        <w:spacing w:before="6"/>
        <w:rPr>
          <w:sz w:val="15"/>
        </w:rPr>
      </w:pPr>
    </w:p>
    <w:p>
      <w:pPr>
        <w:pStyle w:val="12"/>
        <w:numPr>
          <w:ilvl w:val="0"/>
          <w:numId w:val="12"/>
        </w:numPr>
        <w:tabs>
          <w:tab w:val="left" w:pos="5006"/>
        </w:tabs>
        <w:spacing w:before="1" w:after="0" w:line="240" w:lineRule="auto"/>
        <w:ind w:left="5005" w:right="102" w:hanging="5006"/>
        <w:jc w:val="left"/>
        <w:rPr>
          <w:rFonts w:hint="eastAsia" w:ascii="黑体" w:eastAsia="黑体"/>
          <w:sz w:val="21"/>
        </w:rPr>
      </w:pPr>
      <w:bookmarkStart w:id="91" w:name="XII扶手"/>
      <w:bookmarkEnd w:id="91"/>
      <w:bookmarkStart w:id="92" w:name="XII扶手"/>
      <w:bookmarkEnd w:id="92"/>
      <w:r>
        <w:rPr>
          <w:rFonts w:hint="eastAsia" w:ascii="黑体" w:eastAsia="黑体"/>
          <w:sz w:val="21"/>
        </w:rPr>
        <w:t>扶手</w:t>
      </w:r>
    </w:p>
    <w:p>
      <w:pPr>
        <w:pStyle w:val="5"/>
        <w:spacing w:before="6"/>
        <w:rPr>
          <w:rFonts w:ascii="黑体"/>
          <w:sz w:val="15"/>
        </w:rPr>
      </w:pPr>
    </w:p>
    <w:p>
      <w:pPr>
        <w:pStyle w:val="12"/>
        <w:numPr>
          <w:ilvl w:val="2"/>
          <w:numId w:val="6"/>
        </w:numPr>
        <w:tabs>
          <w:tab w:val="left" w:pos="1052"/>
          <w:tab w:val="left" w:pos="1053"/>
        </w:tabs>
        <w:spacing w:before="0" w:after="0" w:line="240" w:lineRule="auto"/>
        <w:ind w:left="1052" w:right="0" w:hanging="841"/>
        <w:jc w:val="left"/>
        <w:rPr>
          <w:sz w:val="21"/>
        </w:rPr>
      </w:pPr>
      <w:bookmarkStart w:id="93" w:name="4.1.32扶手应符合下列规定："/>
      <w:bookmarkEnd w:id="93"/>
      <w:bookmarkStart w:id="94" w:name="4.1.32扶手应符合下列规定："/>
      <w:bookmarkEnd w:id="94"/>
      <w:r>
        <w:rPr>
          <w:sz w:val="21"/>
        </w:rPr>
        <w:t>扶手应符合下列规定：</w:t>
      </w:r>
    </w:p>
    <w:p>
      <w:pPr>
        <w:pStyle w:val="5"/>
        <w:spacing w:before="7"/>
        <w:rPr>
          <w:sz w:val="15"/>
        </w:rPr>
      </w:pPr>
    </w:p>
    <w:p>
      <w:pPr>
        <w:pStyle w:val="12"/>
        <w:numPr>
          <w:ilvl w:val="0"/>
          <w:numId w:val="30"/>
        </w:numPr>
        <w:tabs>
          <w:tab w:val="left" w:pos="1052"/>
          <w:tab w:val="left" w:pos="1053"/>
        </w:tabs>
        <w:spacing w:before="0" w:after="0" w:line="417" w:lineRule="auto"/>
        <w:ind w:left="212" w:right="312" w:firstLine="424"/>
        <w:jc w:val="left"/>
        <w:rPr>
          <w:sz w:val="21"/>
        </w:rPr>
      </w:pPr>
      <w:r>
        <w:rPr>
          <w:spacing w:val="3"/>
          <w:sz w:val="21"/>
        </w:rPr>
        <w:t>无障碍单层扶手距地面高度应为 850</w:t>
      </w:r>
      <w:r>
        <w:rPr>
          <w:rFonts w:hint="eastAsia" w:ascii="仿宋" w:eastAsia="仿宋"/>
          <w:spacing w:val="3"/>
          <w:sz w:val="21"/>
        </w:rPr>
        <w:t>mm</w:t>
      </w:r>
      <w:r>
        <w:rPr>
          <w:spacing w:val="3"/>
          <w:sz w:val="21"/>
        </w:rPr>
        <w:t>～900</w:t>
      </w:r>
      <w:r>
        <w:rPr>
          <w:rFonts w:hint="eastAsia" w:ascii="仿宋" w:eastAsia="仿宋"/>
          <w:spacing w:val="3"/>
          <w:sz w:val="21"/>
        </w:rPr>
        <w:t>mm</w:t>
      </w:r>
      <w:r>
        <w:rPr>
          <w:spacing w:val="7"/>
          <w:sz w:val="21"/>
        </w:rPr>
        <w:t>；无障碍双层扶手的上层扶手距地面高度应为850</w:t>
      </w:r>
      <w:r>
        <w:rPr>
          <w:rFonts w:hint="eastAsia" w:ascii="仿宋" w:eastAsia="仿宋"/>
          <w:spacing w:val="7"/>
          <w:sz w:val="21"/>
        </w:rPr>
        <w:t>mm</w:t>
      </w:r>
      <w:r>
        <w:rPr>
          <w:spacing w:val="7"/>
          <w:sz w:val="21"/>
        </w:rPr>
        <w:t>～900</w:t>
      </w:r>
      <w:r>
        <w:rPr>
          <w:rFonts w:hint="eastAsia" w:ascii="仿宋" w:eastAsia="仿宋"/>
          <w:spacing w:val="7"/>
          <w:sz w:val="21"/>
        </w:rPr>
        <w:t>mm</w:t>
      </w:r>
      <w:r>
        <w:rPr>
          <w:spacing w:val="2"/>
          <w:sz w:val="21"/>
        </w:rPr>
        <w:t xml:space="preserve">，下层扶手距地面高度应为 </w:t>
      </w:r>
      <w:r>
        <w:rPr>
          <w:sz w:val="21"/>
        </w:rPr>
        <w:t>650</w:t>
      </w:r>
      <w:r>
        <w:rPr>
          <w:rFonts w:hint="eastAsia" w:ascii="仿宋" w:eastAsia="仿宋"/>
          <w:sz w:val="21"/>
        </w:rPr>
        <w:t>mm</w:t>
      </w:r>
      <w:r>
        <w:rPr>
          <w:sz w:val="21"/>
        </w:rPr>
        <w:t>～700</w:t>
      </w:r>
      <w:r>
        <w:rPr>
          <w:rFonts w:hint="eastAsia" w:ascii="仿宋" w:eastAsia="仿宋"/>
          <w:sz w:val="21"/>
        </w:rPr>
        <w:t>mm</w:t>
      </w:r>
      <w:r>
        <w:rPr>
          <w:sz w:val="21"/>
        </w:rPr>
        <w:t>；</w:t>
      </w:r>
    </w:p>
    <w:p>
      <w:pPr>
        <w:pStyle w:val="12"/>
        <w:numPr>
          <w:ilvl w:val="0"/>
          <w:numId w:val="30"/>
        </w:numPr>
        <w:tabs>
          <w:tab w:val="left" w:pos="1052"/>
          <w:tab w:val="left" w:pos="1053"/>
        </w:tabs>
        <w:spacing w:before="0" w:after="0" w:line="269" w:lineRule="exact"/>
        <w:ind w:left="1052" w:right="0" w:hanging="416"/>
        <w:jc w:val="left"/>
        <w:rPr>
          <w:sz w:val="21"/>
        </w:rPr>
      </w:pPr>
      <w:r>
        <w:rPr>
          <w:spacing w:val="-2"/>
          <w:sz w:val="21"/>
        </w:rPr>
        <w:t xml:space="preserve">楼梯、台阶和轮椅坡道的扶手起终点处应水平延伸不小于 </w:t>
      </w:r>
      <w:r>
        <w:rPr>
          <w:sz w:val="21"/>
        </w:rPr>
        <w:t>300</w:t>
      </w:r>
      <w:r>
        <w:rPr>
          <w:rFonts w:hint="eastAsia" w:ascii="仿宋" w:eastAsia="仿宋"/>
          <w:sz w:val="21"/>
        </w:rPr>
        <w:t>mm</w:t>
      </w:r>
      <w:r>
        <w:rPr>
          <w:rFonts w:hint="eastAsia" w:ascii="仿宋" w:eastAsia="仿宋"/>
          <w:spacing w:val="-54"/>
          <w:sz w:val="21"/>
        </w:rPr>
        <w:t xml:space="preserve"> </w:t>
      </w:r>
      <w:r>
        <w:rPr>
          <w:sz w:val="21"/>
        </w:rPr>
        <w:t>的长度；</w:t>
      </w:r>
    </w:p>
    <w:p>
      <w:pPr>
        <w:pStyle w:val="5"/>
        <w:spacing w:before="7"/>
        <w:rPr>
          <w:sz w:val="15"/>
        </w:rPr>
      </w:pPr>
    </w:p>
    <w:p>
      <w:pPr>
        <w:pStyle w:val="12"/>
        <w:numPr>
          <w:ilvl w:val="0"/>
          <w:numId w:val="30"/>
        </w:numPr>
        <w:tabs>
          <w:tab w:val="left" w:pos="1052"/>
          <w:tab w:val="left" w:pos="1053"/>
        </w:tabs>
        <w:spacing w:before="0" w:after="0" w:line="240" w:lineRule="auto"/>
        <w:ind w:left="1052" w:right="0" w:hanging="416"/>
        <w:jc w:val="left"/>
        <w:rPr>
          <w:sz w:val="21"/>
        </w:rPr>
      </w:pPr>
      <w:r>
        <w:rPr>
          <w:spacing w:val="-4"/>
          <w:sz w:val="21"/>
        </w:rPr>
        <w:t xml:space="preserve">末端应向内拐到墙面或向下延伸不小于 </w:t>
      </w:r>
      <w:r>
        <w:rPr>
          <w:sz w:val="21"/>
        </w:rPr>
        <w:t>100</w:t>
      </w:r>
      <w:r>
        <w:rPr>
          <w:rFonts w:hint="eastAsia" w:ascii="仿宋" w:eastAsia="仿宋"/>
          <w:sz w:val="21"/>
        </w:rPr>
        <w:t>mm</w:t>
      </w:r>
      <w:r>
        <w:rPr>
          <w:sz w:val="21"/>
        </w:rPr>
        <w:t>，栏杆式扶手应向下成弧形或延伸到地面上固定；</w:t>
      </w:r>
    </w:p>
    <w:p>
      <w:pPr>
        <w:pStyle w:val="5"/>
        <w:spacing w:before="6"/>
        <w:rPr>
          <w:sz w:val="15"/>
        </w:rPr>
      </w:pPr>
    </w:p>
    <w:p>
      <w:pPr>
        <w:pStyle w:val="12"/>
        <w:numPr>
          <w:ilvl w:val="0"/>
          <w:numId w:val="30"/>
        </w:numPr>
        <w:tabs>
          <w:tab w:val="left" w:pos="1052"/>
          <w:tab w:val="left" w:pos="1053"/>
        </w:tabs>
        <w:spacing w:before="1" w:after="0" w:line="417" w:lineRule="auto"/>
        <w:ind w:left="212" w:right="310" w:firstLine="424"/>
        <w:jc w:val="left"/>
        <w:rPr>
          <w:sz w:val="21"/>
        </w:rPr>
      </w:pPr>
      <w:r>
        <w:rPr>
          <w:spacing w:val="-8"/>
          <w:sz w:val="21"/>
        </w:rPr>
        <w:t xml:space="preserve">形状和截面尺寸应易于抓握。圆形扶手的直径应为 </w:t>
      </w:r>
      <w:r>
        <w:rPr>
          <w:spacing w:val="-6"/>
          <w:sz w:val="21"/>
        </w:rPr>
        <w:t>35</w:t>
      </w:r>
      <w:r>
        <w:rPr>
          <w:rFonts w:hint="eastAsia" w:ascii="仿宋" w:eastAsia="仿宋"/>
          <w:spacing w:val="-6"/>
          <w:sz w:val="21"/>
        </w:rPr>
        <w:t>mm</w:t>
      </w:r>
      <w:r>
        <w:rPr>
          <w:spacing w:val="-6"/>
          <w:sz w:val="21"/>
        </w:rPr>
        <w:t>～50</w:t>
      </w:r>
      <w:r>
        <w:rPr>
          <w:rFonts w:hint="eastAsia" w:ascii="仿宋" w:eastAsia="仿宋"/>
          <w:spacing w:val="-6"/>
          <w:sz w:val="21"/>
        </w:rPr>
        <w:t>mm</w:t>
      </w:r>
      <w:r>
        <w:rPr>
          <w:spacing w:val="-7"/>
          <w:sz w:val="21"/>
        </w:rPr>
        <w:t xml:space="preserve">，矩形扶手的截面尺寸应为 </w:t>
      </w:r>
      <w:r>
        <w:rPr>
          <w:sz w:val="21"/>
        </w:rPr>
        <w:t>35</w:t>
      </w:r>
      <w:r>
        <w:rPr>
          <w:rFonts w:hint="eastAsia" w:ascii="仿宋" w:eastAsia="仿宋"/>
          <w:sz w:val="21"/>
        </w:rPr>
        <w:t>mm</w:t>
      </w:r>
      <w:r>
        <w:rPr>
          <w:sz w:val="21"/>
        </w:rPr>
        <w:t>～ 50</w:t>
      </w:r>
      <w:r>
        <w:rPr>
          <w:rFonts w:hint="eastAsia" w:ascii="仿宋" w:eastAsia="仿宋"/>
          <w:sz w:val="21"/>
        </w:rPr>
        <w:t>mm</w:t>
      </w:r>
      <w:r>
        <w:rPr>
          <w:sz w:val="21"/>
        </w:rPr>
        <w:t>；</w:t>
      </w:r>
    </w:p>
    <w:p>
      <w:pPr>
        <w:pStyle w:val="12"/>
        <w:numPr>
          <w:ilvl w:val="0"/>
          <w:numId w:val="30"/>
        </w:numPr>
        <w:tabs>
          <w:tab w:val="left" w:pos="1052"/>
          <w:tab w:val="left" w:pos="1053"/>
        </w:tabs>
        <w:spacing w:before="0" w:after="0" w:line="269" w:lineRule="exact"/>
        <w:ind w:left="1052" w:right="0" w:hanging="416"/>
        <w:jc w:val="left"/>
        <w:rPr>
          <w:sz w:val="21"/>
        </w:rPr>
      </w:pPr>
      <w:r>
        <w:rPr>
          <w:sz w:val="21"/>
        </w:rPr>
        <w:t>材质宜防滑、热惰性指标好。</w:t>
      </w:r>
    </w:p>
    <w:p>
      <w:pPr>
        <w:pStyle w:val="5"/>
        <w:spacing w:before="6"/>
        <w:rPr>
          <w:sz w:val="15"/>
        </w:rPr>
      </w:pPr>
    </w:p>
    <w:p>
      <w:pPr>
        <w:pStyle w:val="12"/>
        <w:numPr>
          <w:ilvl w:val="2"/>
          <w:numId w:val="6"/>
        </w:numPr>
        <w:tabs>
          <w:tab w:val="left" w:pos="1052"/>
          <w:tab w:val="left" w:pos="1053"/>
        </w:tabs>
        <w:spacing w:before="0" w:after="0" w:line="240" w:lineRule="auto"/>
        <w:ind w:left="1052" w:right="0" w:hanging="841"/>
        <w:jc w:val="left"/>
        <w:rPr>
          <w:sz w:val="21"/>
        </w:rPr>
      </w:pPr>
      <w:bookmarkStart w:id="95" w:name="4.1.33扶手的安装尚应符合下列规定："/>
      <w:bookmarkEnd w:id="95"/>
      <w:bookmarkStart w:id="96" w:name="4.1.33扶手的安装尚应符合下列规定："/>
      <w:bookmarkEnd w:id="96"/>
      <w:r>
        <w:rPr>
          <w:sz w:val="21"/>
        </w:rPr>
        <w:t>扶手的安装尚应符合下列规定：</w:t>
      </w:r>
    </w:p>
    <w:p>
      <w:pPr>
        <w:pStyle w:val="5"/>
        <w:spacing w:before="7"/>
        <w:rPr>
          <w:sz w:val="15"/>
        </w:rPr>
      </w:pPr>
    </w:p>
    <w:p>
      <w:pPr>
        <w:pStyle w:val="12"/>
        <w:numPr>
          <w:ilvl w:val="0"/>
          <w:numId w:val="31"/>
        </w:numPr>
        <w:tabs>
          <w:tab w:val="left" w:pos="1052"/>
          <w:tab w:val="left" w:pos="1053"/>
        </w:tabs>
        <w:spacing w:before="0" w:after="0" w:line="240" w:lineRule="auto"/>
        <w:ind w:left="1052" w:right="0" w:hanging="416"/>
        <w:jc w:val="left"/>
        <w:rPr>
          <w:sz w:val="21"/>
        </w:rPr>
      </w:pPr>
      <w:r>
        <w:rPr>
          <w:sz w:val="21"/>
        </w:rPr>
        <w:t>应在全长范围内保持连贯；</w:t>
      </w:r>
    </w:p>
    <w:p>
      <w:pPr>
        <w:pStyle w:val="5"/>
        <w:spacing w:before="7"/>
        <w:rPr>
          <w:sz w:val="15"/>
        </w:rPr>
      </w:pPr>
    </w:p>
    <w:p>
      <w:pPr>
        <w:pStyle w:val="12"/>
        <w:numPr>
          <w:ilvl w:val="0"/>
          <w:numId w:val="31"/>
        </w:numPr>
        <w:tabs>
          <w:tab w:val="left" w:pos="1052"/>
          <w:tab w:val="left" w:pos="1053"/>
        </w:tabs>
        <w:spacing w:before="0" w:after="0" w:line="240" w:lineRule="auto"/>
        <w:ind w:left="1052" w:right="0" w:hanging="416"/>
        <w:jc w:val="left"/>
        <w:rPr>
          <w:sz w:val="21"/>
        </w:rPr>
      </w:pPr>
      <w:r>
        <w:rPr>
          <w:spacing w:val="-4"/>
          <w:sz w:val="21"/>
        </w:rPr>
        <w:t xml:space="preserve">内侧与墙面的净距离不应小于 </w:t>
      </w:r>
      <w:r>
        <w:rPr>
          <w:sz w:val="21"/>
        </w:rPr>
        <w:t>40</w:t>
      </w:r>
      <w:r>
        <w:rPr>
          <w:rFonts w:hint="eastAsia" w:ascii="仿宋" w:eastAsia="仿宋"/>
          <w:sz w:val="21"/>
        </w:rPr>
        <w:t>mm</w:t>
      </w:r>
      <w:r>
        <w:rPr>
          <w:sz w:val="21"/>
        </w:rPr>
        <w:t>；</w:t>
      </w:r>
    </w:p>
    <w:p>
      <w:pPr>
        <w:pStyle w:val="5"/>
        <w:spacing w:before="6"/>
        <w:rPr>
          <w:sz w:val="15"/>
        </w:rPr>
      </w:pPr>
    </w:p>
    <w:p>
      <w:pPr>
        <w:pStyle w:val="12"/>
        <w:numPr>
          <w:ilvl w:val="0"/>
          <w:numId w:val="31"/>
        </w:numPr>
        <w:tabs>
          <w:tab w:val="left" w:pos="1052"/>
          <w:tab w:val="left" w:pos="1053"/>
        </w:tabs>
        <w:spacing w:before="1" w:after="0" w:line="240" w:lineRule="auto"/>
        <w:ind w:left="1052" w:right="0" w:hanging="416"/>
        <w:jc w:val="left"/>
        <w:rPr>
          <w:sz w:val="21"/>
        </w:rPr>
      </w:pPr>
      <w:r>
        <w:rPr>
          <w:spacing w:val="-3"/>
          <w:sz w:val="21"/>
        </w:rPr>
        <w:t xml:space="preserve">应固定且安装坚固，能承受垂直或水平向 </w:t>
      </w:r>
      <w:r>
        <w:rPr>
          <w:sz w:val="21"/>
        </w:rPr>
        <w:t>1500</w:t>
      </w:r>
      <w:r>
        <w:rPr>
          <w:rFonts w:hint="eastAsia" w:ascii="仿宋" w:eastAsia="仿宋"/>
          <w:sz w:val="21"/>
        </w:rPr>
        <w:t>N</w:t>
      </w:r>
      <w:r>
        <w:rPr>
          <w:rFonts w:hint="eastAsia" w:ascii="仿宋" w:eastAsia="仿宋"/>
          <w:spacing w:val="-52"/>
          <w:sz w:val="21"/>
        </w:rPr>
        <w:t xml:space="preserve"> </w:t>
      </w:r>
      <w:r>
        <w:rPr>
          <w:sz w:val="21"/>
        </w:rPr>
        <w:t>的外力；</w:t>
      </w:r>
    </w:p>
    <w:p>
      <w:pPr>
        <w:pStyle w:val="5"/>
        <w:spacing w:before="6"/>
        <w:rPr>
          <w:sz w:val="15"/>
        </w:rPr>
      </w:pPr>
    </w:p>
    <w:p>
      <w:pPr>
        <w:pStyle w:val="12"/>
        <w:numPr>
          <w:ilvl w:val="0"/>
          <w:numId w:val="31"/>
        </w:numPr>
        <w:tabs>
          <w:tab w:val="left" w:pos="1052"/>
          <w:tab w:val="left" w:pos="1053"/>
        </w:tabs>
        <w:spacing w:before="0" w:after="0" w:line="240" w:lineRule="auto"/>
        <w:ind w:left="1052" w:right="0" w:hanging="416"/>
        <w:jc w:val="left"/>
        <w:rPr>
          <w:sz w:val="21"/>
        </w:rPr>
      </w:pPr>
      <w:r>
        <w:rPr>
          <w:sz w:val="21"/>
        </w:rPr>
        <w:t>应与背景有明显的颜色或亮度对比；</w:t>
      </w:r>
    </w:p>
    <w:p>
      <w:pPr>
        <w:pStyle w:val="5"/>
        <w:spacing w:before="7"/>
        <w:rPr>
          <w:sz w:val="15"/>
        </w:rPr>
      </w:pPr>
    </w:p>
    <w:p>
      <w:pPr>
        <w:pStyle w:val="12"/>
        <w:numPr>
          <w:ilvl w:val="0"/>
          <w:numId w:val="31"/>
        </w:numPr>
        <w:tabs>
          <w:tab w:val="left" w:pos="1052"/>
          <w:tab w:val="left" w:pos="1053"/>
        </w:tabs>
        <w:spacing w:before="0" w:after="0" w:line="240" w:lineRule="auto"/>
        <w:ind w:left="1052" w:right="0" w:hanging="416"/>
        <w:jc w:val="left"/>
        <w:rPr>
          <w:sz w:val="21"/>
        </w:rPr>
      </w:pPr>
      <w:r>
        <w:rPr>
          <w:sz w:val="21"/>
        </w:rPr>
        <w:t>起终点处应安装盲文铭牌。</w:t>
      </w:r>
    </w:p>
    <w:p>
      <w:pPr>
        <w:pStyle w:val="5"/>
        <w:spacing w:before="7"/>
        <w:rPr>
          <w:sz w:val="15"/>
        </w:rPr>
      </w:pPr>
    </w:p>
    <w:p>
      <w:pPr>
        <w:pStyle w:val="12"/>
        <w:numPr>
          <w:ilvl w:val="3"/>
          <w:numId w:val="2"/>
        </w:numPr>
        <w:tabs>
          <w:tab w:val="left" w:pos="4509"/>
        </w:tabs>
        <w:spacing w:before="0" w:after="0" w:line="240" w:lineRule="auto"/>
        <w:ind w:left="4508" w:right="0" w:hanging="421"/>
        <w:jc w:val="left"/>
        <w:rPr>
          <w:rFonts w:hint="eastAsia" w:ascii="黑体" w:eastAsia="黑体"/>
          <w:sz w:val="21"/>
        </w:rPr>
      </w:pPr>
      <w:bookmarkStart w:id="97" w:name="_bookmark5"/>
      <w:bookmarkEnd w:id="97"/>
      <w:bookmarkStart w:id="98" w:name="4.2无障碍服务设施"/>
      <w:bookmarkEnd w:id="98"/>
      <w:bookmarkStart w:id="99" w:name="_bookmark5"/>
      <w:bookmarkEnd w:id="99"/>
      <w:r>
        <w:rPr>
          <w:rFonts w:hint="eastAsia" w:ascii="黑体" w:eastAsia="黑体"/>
          <w:sz w:val="21"/>
        </w:rPr>
        <w:t>无障碍服务设施</w:t>
      </w:r>
    </w:p>
    <w:p>
      <w:pPr>
        <w:spacing w:after="0" w:line="240" w:lineRule="auto"/>
        <w:jc w:val="left"/>
        <w:rPr>
          <w:rFonts w:hint="eastAsia" w:ascii="黑体" w:eastAsia="黑体"/>
          <w:sz w:val="21"/>
        </w:rPr>
        <w:sectPr>
          <w:pgSz w:w="11910" w:h="16840"/>
          <w:pgMar w:top="1580" w:right="820" w:bottom="1280" w:left="920" w:header="0" w:footer="1095" w:gutter="0"/>
          <w:cols w:space="720" w:num="1"/>
        </w:sectPr>
      </w:pPr>
    </w:p>
    <w:p>
      <w:pPr>
        <w:pStyle w:val="5"/>
        <w:spacing w:before="60"/>
        <w:ind w:right="102"/>
        <w:jc w:val="center"/>
        <w:rPr>
          <w:rFonts w:hint="eastAsia" w:ascii="黑体" w:eastAsia="黑体"/>
        </w:rPr>
      </w:pPr>
      <w:bookmarkStart w:id="100" w:name="I一般规定"/>
      <w:bookmarkEnd w:id="100"/>
      <w:r>
        <w:rPr>
          <w:rFonts w:hint="eastAsia" w:ascii="黑体" w:eastAsia="黑体"/>
        </w:rPr>
        <w:t>I 一般规定</w:t>
      </w:r>
    </w:p>
    <w:p>
      <w:pPr>
        <w:pStyle w:val="5"/>
        <w:spacing w:before="6"/>
        <w:rPr>
          <w:rFonts w:ascii="黑体"/>
          <w:sz w:val="15"/>
        </w:rPr>
      </w:pPr>
    </w:p>
    <w:p>
      <w:pPr>
        <w:pStyle w:val="12"/>
        <w:numPr>
          <w:ilvl w:val="2"/>
          <w:numId w:val="32"/>
        </w:numPr>
        <w:tabs>
          <w:tab w:val="left" w:pos="1052"/>
          <w:tab w:val="left" w:pos="1053"/>
        </w:tabs>
        <w:spacing w:before="1" w:after="0" w:line="417" w:lineRule="auto"/>
        <w:ind w:left="212" w:right="292" w:firstLine="0"/>
        <w:jc w:val="left"/>
        <w:rPr>
          <w:sz w:val="21"/>
        </w:rPr>
      </w:pPr>
      <w:bookmarkStart w:id="101" w:name="4.2.1无障碍服务设施可包括无障碍卫生间、第三卫生间、公共卫生间、母婴室、公共"/>
      <w:bookmarkEnd w:id="101"/>
      <w:bookmarkStart w:id="102" w:name="4.2.1无障碍服务设施可包括无障碍卫生间、第三卫生间、公共卫生间、母婴室、公共"/>
      <w:bookmarkEnd w:id="102"/>
      <w:r>
        <w:rPr>
          <w:w w:val="95"/>
          <w:sz w:val="21"/>
        </w:rPr>
        <w:t xml:space="preserve">无障碍服务设施可包括无障碍卫生间、第三卫生间、公共卫生间、母婴室、公共浴室及更衣室、   </w:t>
      </w:r>
      <w:r>
        <w:rPr>
          <w:sz w:val="21"/>
        </w:rPr>
        <w:t>无障碍客房、无障碍住房/宿舍、轮椅席位、低位服务设施等。</w:t>
      </w:r>
    </w:p>
    <w:p>
      <w:pPr>
        <w:pStyle w:val="12"/>
        <w:numPr>
          <w:ilvl w:val="2"/>
          <w:numId w:val="32"/>
        </w:numPr>
        <w:tabs>
          <w:tab w:val="left" w:pos="1052"/>
          <w:tab w:val="left" w:pos="1053"/>
        </w:tabs>
        <w:spacing w:before="0" w:after="0" w:line="269" w:lineRule="exact"/>
        <w:ind w:left="1052" w:right="0" w:hanging="841"/>
        <w:jc w:val="left"/>
        <w:rPr>
          <w:sz w:val="21"/>
        </w:rPr>
      </w:pPr>
      <w:bookmarkStart w:id="103" w:name="4.2.2通往无障碍服务设施的通道应为无障碍通道。"/>
      <w:bookmarkEnd w:id="103"/>
      <w:bookmarkStart w:id="104" w:name="4.2.2通往无障碍服务设施的通道应为无障碍通道。"/>
      <w:bookmarkEnd w:id="104"/>
      <w:r>
        <w:rPr>
          <w:sz w:val="21"/>
        </w:rPr>
        <w:t>通往无障碍服务设施的通道应为无障碍通道。</w:t>
      </w:r>
    </w:p>
    <w:p>
      <w:pPr>
        <w:pStyle w:val="5"/>
        <w:spacing w:before="6"/>
        <w:rPr>
          <w:sz w:val="15"/>
        </w:rPr>
      </w:pPr>
    </w:p>
    <w:p>
      <w:pPr>
        <w:pStyle w:val="12"/>
        <w:numPr>
          <w:ilvl w:val="2"/>
          <w:numId w:val="32"/>
        </w:numPr>
        <w:tabs>
          <w:tab w:val="left" w:pos="1052"/>
          <w:tab w:val="left" w:pos="1053"/>
        </w:tabs>
        <w:spacing w:before="0" w:after="0" w:line="417" w:lineRule="auto"/>
        <w:ind w:left="212" w:right="312" w:firstLine="0"/>
        <w:jc w:val="left"/>
        <w:rPr>
          <w:sz w:val="21"/>
        </w:rPr>
      </w:pPr>
      <w:bookmarkStart w:id="105" w:name="4.2.3具有内部空间的无障碍服务设施的入口应方便乘轮椅者进出，内部应设置轮椅回"/>
      <w:bookmarkEnd w:id="105"/>
      <w:bookmarkStart w:id="106" w:name="4.2.3具有内部空间的无障碍服务设施的入口应方便乘轮椅者进出，内部应设置轮椅回"/>
      <w:bookmarkEnd w:id="106"/>
      <w:r>
        <w:rPr>
          <w:spacing w:val="-2"/>
          <w:w w:val="95"/>
          <w:sz w:val="21"/>
        </w:rPr>
        <w:t xml:space="preserve">具有内部空间的无障碍服务设施的入口应方便乘轮椅者进出，内部应设置轮椅回转空间，轮椅需   </w:t>
      </w:r>
      <w:r>
        <w:rPr>
          <w:spacing w:val="-6"/>
          <w:sz w:val="21"/>
        </w:rPr>
        <w:t xml:space="preserve">要通行的区域通行净宽度不应小于 </w:t>
      </w:r>
      <w:r>
        <w:rPr>
          <w:sz w:val="21"/>
        </w:rPr>
        <w:t>800mm</w:t>
      </w:r>
      <w:r>
        <w:rPr>
          <w:spacing w:val="-9"/>
          <w:sz w:val="21"/>
        </w:rPr>
        <w:t xml:space="preserve">，不宜小于 </w:t>
      </w:r>
      <w:r>
        <w:rPr>
          <w:sz w:val="21"/>
        </w:rPr>
        <w:t>900</w:t>
      </w:r>
      <w:r>
        <w:rPr>
          <w:rFonts w:hint="eastAsia" w:ascii="仿宋" w:eastAsia="仿宋"/>
          <w:sz w:val="21"/>
        </w:rPr>
        <w:t>mm</w:t>
      </w:r>
      <w:r>
        <w:rPr>
          <w:sz w:val="21"/>
        </w:rPr>
        <w:t>。</w:t>
      </w:r>
    </w:p>
    <w:p>
      <w:pPr>
        <w:pStyle w:val="12"/>
        <w:numPr>
          <w:ilvl w:val="2"/>
          <w:numId w:val="32"/>
        </w:numPr>
        <w:tabs>
          <w:tab w:val="left" w:pos="1052"/>
          <w:tab w:val="left" w:pos="1053"/>
        </w:tabs>
        <w:spacing w:before="0" w:after="0" w:line="269" w:lineRule="exact"/>
        <w:ind w:left="1052" w:right="0" w:hanging="841"/>
        <w:jc w:val="left"/>
        <w:rPr>
          <w:sz w:val="21"/>
        </w:rPr>
      </w:pPr>
      <w:bookmarkStart w:id="107" w:name="4.2.4具有内部空间的无障碍服务设施的门在紧急情况下应能从外面向外打开。"/>
      <w:bookmarkEnd w:id="107"/>
      <w:bookmarkStart w:id="108" w:name="4.2.4具有内部空间的无障碍服务设施的门在紧急情况下应能从外面向外打开。"/>
      <w:bookmarkEnd w:id="108"/>
      <w:r>
        <w:rPr>
          <w:sz w:val="21"/>
        </w:rPr>
        <w:t>具有内部空间的无障碍服务设施的门在紧急情况下应能从外面向外打开。</w:t>
      </w:r>
    </w:p>
    <w:p>
      <w:pPr>
        <w:pStyle w:val="5"/>
        <w:spacing w:before="7"/>
        <w:rPr>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109" w:name="4.2.5具有内部空间的无障碍服务设施应在人员使用空间内设置易于识别和使用的求助"/>
      <w:bookmarkEnd w:id="109"/>
      <w:bookmarkStart w:id="110" w:name="4.2.5具有内部空间的无障碍服务设施应在人员使用空间内设置易于识别和使用的求助"/>
      <w:bookmarkEnd w:id="110"/>
      <w:r>
        <w:rPr>
          <w:sz w:val="21"/>
        </w:rPr>
        <w:t>具有内部空间的无障碍服务设施应在人员使用空间内设置易于识别和使用的求助呼叫按钮。</w:t>
      </w:r>
    </w:p>
    <w:p>
      <w:pPr>
        <w:pStyle w:val="5"/>
        <w:spacing w:before="7"/>
        <w:rPr>
          <w:sz w:val="15"/>
        </w:rPr>
      </w:pPr>
    </w:p>
    <w:p>
      <w:pPr>
        <w:pStyle w:val="12"/>
        <w:numPr>
          <w:ilvl w:val="2"/>
          <w:numId w:val="32"/>
        </w:numPr>
        <w:tabs>
          <w:tab w:val="left" w:pos="1052"/>
          <w:tab w:val="left" w:pos="1053"/>
        </w:tabs>
        <w:spacing w:before="0" w:after="0" w:line="417" w:lineRule="auto"/>
        <w:ind w:left="212" w:right="310" w:firstLine="0"/>
        <w:jc w:val="left"/>
        <w:rPr>
          <w:sz w:val="21"/>
        </w:rPr>
      </w:pPr>
      <w:bookmarkStart w:id="111" w:name="4.2.6无障碍服务设施内供使用者操控的照明、设备、设施的开关和调控面板应易于识"/>
      <w:bookmarkEnd w:id="111"/>
      <w:bookmarkStart w:id="112" w:name="4.2.6无障碍服务设施内供使用者操控的照明、设备、设施的开关和调控面板应易于识"/>
      <w:bookmarkEnd w:id="112"/>
      <w:r>
        <w:rPr>
          <w:spacing w:val="-3"/>
          <w:sz w:val="21"/>
        </w:rPr>
        <w:t>无障碍服务设施内供使用者操控的照明、设备、设施的开关和调控面板应易于识别和使用，高度</w:t>
      </w:r>
      <w:r>
        <w:rPr>
          <w:spacing w:val="-19"/>
          <w:sz w:val="21"/>
        </w:rPr>
        <w:t xml:space="preserve">应为 </w:t>
      </w:r>
      <w:r>
        <w:rPr>
          <w:sz w:val="21"/>
        </w:rPr>
        <w:t>0.85</w:t>
      </w:r>
      <w:r>
        <w:rPr>
          <w:rFonts w:hint="eastAsia" w:ascii="仿宋" w:eastAsia="仿宋"/>
          <w:sz w:val="21"/>
        </w:rPr>
        <w:t>m</w:t>
      </w:r>
      <w:r>
        <w:rPr>
          <w:sz w:val="21"/>
        </w:rPr>
        <w:t>～1.10</w:t>
      </w:r>
      <w:r>
        <w:rPr>
          <w:rFonts w:hint="eastAsia" w:ascii="仿宋" w:eastAsia="仿宋"/>
          <w:sz w:val="21"/>
        </w:rPr>
        <w:t>m</w:t>
      </w:r>
      <w:r>
        <w:rPr>
          <w:sz w:val="21"/>
        </w:rPr>
        <w:t>。</w:t>
      </w:r>
    </w:p>
    <w:p>
      <w:pPr>
        <w:pStyle w:val="12"/>
        <w:numPr>
          <w:ilvl w:val="2"/>
          <w:numId w:val="32"/>
        </w:numPr>
        <w:tabs>
          <w:tab w:val="left" w:pos="1052"/>
          <w:tab w:val="left" w:pos="1053"/>
        </w:tabs>
        <w:spacing w:before="0" w:after="0" w:line="269" w:lineRule="exact"/>
        <w:ind w:left="1052" w:right="0" w:hanging="841"/>
        <w:jc w:val="left"/>
        <w:rPr>
          <w:sz w:val="21"/>
        </w:rPr>
      </w:pPr>
      <w:bookmarkStart w:id="113" w:name="4.2.7具有内部空间的无障碍服务设施，其内安装的部件应符合下列规定："/>
      <w:bookmarkEnd w:id="113"/>
      <w:bookmarkStart w:id="114" w:name="4.2.7具有内部空间的无障碍服务设施，其内安装的部件应符合下列规定："/>
      <w:bookmarkEnd w:id="114"/>
      <w:r>
        <w:rPr>
          <w:sz w:val="21"/>
        </w:rPr>
        <w:t>具有内部空间的无障碍服务设施，其内安装的部件应符合下列规定：</w:t>
      </w:r>
    </w:p>
    <w:p>
      <w:pPr>
        <w:pStyle w:val="5"/>
        <w:spacing w:before="6"/>
        <w:rPr>
          <w:sz w:val="15"/>
        </w:rPr>
      </w:pPr>
    </w:p>
    <w:p>
      <w:pPr>
        <w:pStyle w:val="12"/>
        <w:numPr>
          <w:ilvl w:val="0"/>
          <w:numId w:val="33"/>
        </w:numPr>
        <w:tabs>
          <w:tab w:val="left" w:pos="1052"/>
          <w:tab w:val="left" w:pos="1053"/>
        </w:tabs>
        <w:spacing w:before="1" w:after="0" w:line="240" w:lineRule="auto"/>
        <w:ind w:left="1052" w:right="0" w:hanging="416"/>
        <w:jc w:val="left"/>
        <w:rPr>
          <w:sz w:val="21"/>
        </w:rPr>
      </w:pPr>
      <w:r>
        <w:rPr>
          <w:spacing w:val="-2"/>
          <w:sz w:val="21"/>
        </w:rPr>
        <w:t xml:space="preserve">应安装牢固，安全抓杆、多功能台和固定座位应能承受水平或者垂直方向 </w:t>
      </w:r>
      <w:r>
        <w:rPr>
          <w:sz w:val="21"/>
        </w:rPr>
        <w:t>1500</w:t>
      </w:r>
      <w:r>
        <w:rPr>
          <w:rFonts w:hint="eastAsia" w:ascii="仿宋" w:eastAsia="仿宋"/>
          <w:sz w:val="21"/>
        </w:rPr>
        <w:t>N</w:t>
      </w:r>
      <w:r>
        <w:rPr>
          <w:rFonts w:hint="eastAsia" w:ascii="仿宋" w:eastAsia="仿宋"/>
          <w:spacing w:val="-53"/>
          <w:sz w:val="21"/>
        </w:rPr>
        <w:t xml:space="preserve"> </w:t>
      </w:r>
      <w:r>
        <w:rPr>
          <w:sz w:val="21"/>
        </w:rPr>
        <w:t>的外力；</w:t>
      </w:r>
    </w:p>
    <w:p>
      <w:pPr>
        <w:pStyle w:val="5"/>
        <w:spacing w:before="6"/>
        <w:rPr>
          <w:sz w:val="15"/>
        </w:rPr>
      </w:pPr>
    </w:p>
    <w:p>
      <w:pPr>
        <w:pStyle w:val="12"/>
        <w:numPr>
          <w:ilvl w:val="0"/>
          <w:numId w:val="33"/>
        </w:numPr>
        <w:tabs>
          <w:tab w:val="left" w:pos="1052"/>
          <w:tab w:val="left" w:pos="1053"/>
        </w:tabs>
        <w:spacing w:before="0" w:after="0" w:line="240" w:lineRule="auto"/>
        <w:ind w:left="1052" w:right="0" w:hanging="416"/>
        <w:jc w:val="left"/>
        <w:rPr>
          <w:sz w:val="21"/>
        </w:rPr>
      </w:pPr>
      <w:r>
        <w:rPr>
          <w:spacing w:val="-6"/>
          <w:sz w:val="21"/>
        </w:rPr>
        <w:t xml:space="preserve">安全抓杆直径应为 </w:t>
      </w:r>
      <w:r>
        <w:rPr>
          <w:sz w:val="21"/>
        </w:rPr>
        <w:t>30</w:t>
      </w:r>
      <w:r>
        <w:rPr>
          <w:spacing w:val="-1"/>
          <w:sz w:val="21"/>
        </w:rPr>
        <w:t xml:space="preserve"> </w:t>
      </w:r>
      <w:r>
        <w:rPr>
          <w:rFonts w:hint="eastAsia" w:ascii="仿宋" w:eastAsia="仿宋"/>
          <w:sz w:val="21"/>
        </w:rPr>
        <w:t>mm</w:t>
      </w:r>
      <w:r>
        <w:rPr>
          <w:sz w:val="21"/>
        </w:rPr>
        <w:t xml:space="preserve">～40 </w:t>
      </w:r>
      <w:r>
        <w:rPr>
          <w:rFonts w:hint="eastAsia" w:ascii="仿宋" w:eastAsia="仿宋"/>
          <w:sz w:val="21"/>
        </w:rPr>
        <w:t>mm</w:t>
      </w:r>
      <w:r>
        <w:rPr>
          <w:spacing w:val="-4"/>
          <w:sz w:val="21"/>
        </w:rPr>
        <w:t xml:space="preserve">，内侧与墙面的净距离不应小于 </w:t>
      </w:r>
      <w:r>
        <w:rPr>
          <w:sz w:val="21"/>
        </w:rPr>
        <w:t>40</w:t>
      </w:r>
      <w:r>
        <w:rPr>
          <w:spacing w:val="-1"/>
          <w:sz w:val="21"/>
        </w:rPr>
        <w:t xml:space="preserve"> </w:t>
      </w:r>
      <w:r>
        <w:rPr>
          <w:rFonts w:hint="eastAsia" w:ascii="仿宋" w:eastAsia="仿宋"/>
          <w:sz w:val="21"/>
        </w:rPr>
        <w:t>mm</w:t>
      </w:r>
      <w:r>
        <w:rPr>
          <w:sz w:val="21"/>
        </w:rPr>
        <w:t>；</w:t>
      </w:r>
    </w:p>
    <w:p>
      <w:pPr>
        <w:pStyle w:val="5"/>
        <w:spacing w:before="7"/>
        <w:rPr>
          <w:sz w:val="15"/>
        </w:rPr>
      </w:pPr>
    </w:p>
    <w:p>
      <w:pPr>
        <w:pStyle w:val="12"/>
        <w:numPr>
          <w:ilvl w:val="0"/>
          <w:numId w:val="33"/>
        </w:numPr>
        <w:tabs>
          <w:tab w:val="left" w:pos="1052"/>
          <w:tab w:val="left" w:pos="1053"/>
        </w:tabs>
        <w:spacing w:before="0" w:after="0" w:line="240" w:lineRule="auto"/>
        <w:ind w:left="1052" w:right="0" w:hanging="416"/>
        <w:jc w:val="left"/>
        <w:rPr>
          <w:sz w:val="21"/>
        </w:rPr>
      </w:pPr>
      <w:r>
        <w:rPr>
          <w:spacing w:val="-5"/>
          <w:sz w:val="21"/>
        </w:rPr>
        <w:t xml:space="preserve">多功能台长度不应小于 </w:t>
      </w:r>
      <w:r>
        <w:rPr>
          <w:sz w:val="21"/>
        </w:rPr>
        <w:t>700</w:t>
      </w:r>
      <w:r>
        <w:rPr>
          <w:rFonts w:hint="eastAsia" w:ascii="仿宋" w:eastAsia="仿宋"/>
          <w:sz w:val="21"/>
        </w:rPr>
        <w:t>mm</w:t>
      </w:r>
      <w:r>
        <w:rPr>
          <w:spacing w:val="-7"/>
          <w:sz w:val="21"/>
        </w:rPr>
        <w:t xml:space="preserve">，宽度不应小于 </w:t>
      </w:r>
      <w:r>
        <w:rPr>
          <w:sz w:val="21"/>
        </w:rPr>
        <w:t>400</w:t>
      </w:r>
      <w:r>
        <w:rPr>
          <w:spacing w:val="-1"/>
          <w:sz w:val="21"/>
        </w:rPr>
        <w:t xml:space="preserve"> </w:t>
      </w:r>
      <w:r>
        <w:rPr>
          <w:rFonts w:hint="eastAsia" w:ascii="仿宋" w:eastAsia="仿宋"/>
          <w:sz w:val="21"/>
        </w:rPr>
        <w:t>mm</w:t>
      </w:r>
      <w:r>
        <w:rPr>
          <w:sz w:val="21"/>
        </w:rPr>
        <w:t>；</w:t>
      </w:r>
    </w:p>
    <w:p>
      <w:pPr>
        <w:pStyle w:val="5"/>
        <w:spacing w:before="7"/>
        <w:rPr>
          <w:sz w:val="15"/>
        </w:rPr>
      </w:pPr>
    </w:p>
    <w:p>
      <w:pPr>
        <w:pStyle w:val="12"/>
        <w:numPr>
          <w:ilvl w:val="0"/>
          <w:numId w:val="33"/>
        </w:numPr>
        <w:tabs>
          <w:tab w:val="left" w:pos="1052"/>
          <w:tab w:val="left" w:pos="1053"/>
        </w:tabs>
        <w:spacing w:before="0" w:after="0" w:line="240" w:lineRule="auto"/>
        <w:ind w:left="1052" w:right="0" w:hanging="416"/>
        <w:jc w:val="left"/>
        <w:rPr>
          <w:sz w:val="21"/>
        </w:rPr>
      </w:pPr>
      <w:r>
        <w:rPr>
          <w:spacing w:val="-2"/>
          <w:sz w:val="21"/>
        </w:rPr>
        <w:t xml:space="preserve">低位挂衣钩、低位毛巾架、低位搁物架距地面高度不应大于 </w:t>
      </w:r>
      <w:r>
        <w:rPr>
          <w:sz w:val="21"/>
        </w:rPr>
        <w:t>1.20</w:t>
      </w:r>
      <w:r>
        <w:rPr>
          <w:rFonts w:hint="eastAsia" w:ascii="仿宋" w:eastAsia="仿宋"/>
          <w:sz w:val="21"/>
        </w:rPr>
        <w:t>m</w:t>
      </w:r>
      <w:r>
        <w:rPr>
          <w:sz w:val="21"/>
        </w:rPr>
        <w:t>。</w:t>
      </w:r>
    </w:p>
    <w:p>
      <w:pPr>
        <w:pStyle w:val="5"/>
        <w:spacing w:before="6"/>
        <w:rPr>
          <w:sz w:val="15"/>
        </w:rPr>
      </w:pPr>
    </w:p>
    <w:p>
      <w:pPr>
        <w:pStyle w:val="12"/>
        <w:numPr>
          <w:ilvl w:val="2"/>
          <w:numId w:val="32"/>
        </w:numPr>
        <w:tabs>
          <w:tab w:val="left" w:pos="1053"/>
        </w:tabs>
        <w:spacing w:before="1" w:after="0" w:line="240" w:lineRule="auto"/>
        <w:ind w:left="1052" w:right="0" w:hanging="841"/>
        <w:jc w:val="both"/>
        <w:rPr>
          <w:sz w:val="21"/>
        </w:rPr>
      </w:pPr>
      <w:bookmarkStart w:id="115" w:name="4.2.8无障碍坐便器应符合下列规定："/>
      <w:bookmarkEnd w:id="115"/>
      <w:bookmarkStart w:id="116" w:name="4.2.8无障碍坐便器应符合下列规定："/>
      <w:bookmarkEnd w:id="116"/>
      <w:r>
        <w:rPr>
          <w:sz w:val="21"/>
        </w:rPr>
        <w:t>无障碍坐便器应符合下列规定：</w:t>
      </w:r>
    </w:p>
    <w:p>
      <w:pPr>
        <w:pStyle w:val="5"/>
        <w:spacing w:before="6"/>
        <w:rPr>
          <w:sz w:val="15"/>
        </w:rPr>
      </w:pPr>
    </w:p>
    <w:p>
      <w:pPr>
        <w:pStyle w:val="12"/>
        <w:numPr>
          <w:ilvl w:val="3"/>
          <w:numId w:val="32"/>
        </w:numPr>
        <w:tabs>
          <w:tab w:val="left" w:pos="1053"/>
        </w:tabs>
        <w:spacing w:before="0" w:after="0" w:line="417" w:lineRule="auto"/>
        <w:ind w:left="212" w:right="311" w:firstLine="424"/>
        <w:jc w:val="both"/>
        <w:rPr>
          <w:sz w:val="21"/>
        </w:rPr>
      </w:pPr>
      <w:r>
        <w:rPr>
          <w:spacing w:val="-10"/>
          <w:sz w:val="21"/>
        </w:rPr>
        <w:t xml:space="preserve">两侧应设置安全抓杆。轮椅接近坐便器一侧应设置可垂直或水平 </w:t>
      </w:r>
      <w:r>
        <w:rPr>
          <w:sz w:val="21"/>
        </w:rPr>
        <w:t>90°旋转的悬臂可转动式水平抓</w:t>
      </w:r>
      <w:r>
        <w:rPr>
          <w:spacing w:val="-6"/>
          <w:sz w:val="21"/>
        </w:rPr>
        <w:t xml:space="preserve">杆；另一侧应设置 </w:t>
      </w:r>
      <w:r>
        <w:rPr>
          <w:rFonts w:hint="eastAsia" w:ascii="仿宋" w:hAnsi="仿宋" w:eastAsia="仿宋"/>
          <w:sz w:val="21"/>
        </w:rPr>
        <w:t>L</w:t>
      </w:r>
      <w:r>
        <w:rPr>
          <w:rFonts w:hint="eastAsia" w:ascii="仿宋" w:hAnsi="仿宋" w:eastAsia="仿宋"/>
          <w:spacing w:val="-47"/>
          <w:sz w:val="21"/>
        </w:rPr>
        <w:t xml:space="preserve"> </w:t>
      </w:r>
      <w:r>
        <w:rPr>
          <w:spacing w:val="-3"/>
          <w:sz w:val="21"/>
        </w:rPr>
        <w:t xml:space="preserve">型抓杆。水平抓杆距坐便器的上沿高度应为 </w:t>
      </w:r>
      <w:r>
        <w:rPr>
          <w:sz w:val="21"/>
        </w:rPr>
        <w:t>250</w:t>
      </w:r>
      <w:r>
        <w:rPr>
          <w:rFonts w:hint="eastAsia" w:ascii="仿宋" w:hAnsi="仿宋" w:eastAsia="仿宋"/>
          <w:sz w:val="21"/>
        </w:rPr>
        <w:t>mm</w:t>
      </w:r>
      <w:r>
        <w:rPr>
          <w:sz w:val="21"/>
        </w:rPr>
        <w:t>～350</w:t>
      </w:r>
      <w:r>
        <w:rPr>
          <w:rFonts w:hint="eastAsia" w:ascii="仿宋" w:hAnsi="仿宋" w:eastAsia="仿宋"/>
          <w:sz w:val="21"/>
        </w:rPr>
        <w:t>mm</w:t>
      </w:r>
      <w:r>
        <w:rPr>
          <w:spacing w:val="-6"/>
          <w:sz w:val="21"/>
        </w:rPr>
        <w:t xml:space="preserve">，长度不应小于 </w:t>
      </w:r>
      <w:r>
        <w:rPr>
          <w:sz w:val="21"/>
        </w:rPr>
        <w:t>700</w:t>
      </w:r>
      <w:r>
        <w:rPr>
          <w:rFonts w:hint="eastAsia" w:ascii="仿宋" w:hAnsi="仿宋" w:eastAsia="仿宋"/>
          <w:sz w:val="21"/>
        </w:rPr>
        <w:t>mm</w:t>
      </w:r>
      <w:r>
        <w:rPr>
          <w:sz w:val="21"/>
        </w:rPr>
        <w:t>。</w:t>
      </w:r>
      <w:r>
        <w:rPr>
          <w:rFonts w:hint="eastAsia" w:ascii="仿宋" w:hAnsi="仿宋" w:eastAsia="仿宋"/>
          <w:sz w:val="21"/>
        </w:rPr>
        <w:t xml:space="preserve">L </w:t>
      </w:r>
      <w:r>
        <w:rPr>
          <w:spacing w:val="-4"/>
          <w:sz w:val="21"/>
        </w:rPr>
        <w:t xml:space="preserve">型抓杆的水平部分距坐便器的上沿高度应为 </w:t>
      </w:r>
      <w:r>
        <w:rPr>
          <w:sz w:val="21"/>
        </w:rPr>
        <w:t>250</w:t>
      </w:r>
      <w:r>
        <w:rPr>
          <w:rFonts w:hint="eastAsia" w:ascii="仿宋" w:hAnsi="仿宋" w:eastAsia="仿宋"/>
          <w:sz w:val="21"/>
        </w:rPr>
        <w:t>mm</w:t>
      </w:r>
      <w:r>
        <w:rPr>
          <w:sz w:val="21"/>
        </w:rPr>
        <w:t>～350</w:t>
      </w:r>
      <w:r>
        <w:rPr>
          <w:rFonts w:hint="eastAsia" w:ascii="仿宋" w:hAnsi="仿宋" w:eastAsia="仿宋"/>
          <w:sz w:val="21"/>
        </w:rPr>
        <w:t>mm</w:t>
      </w:r>
      <w:r>
        <w:rPr>
          <w:spacing w:val="-6"/>
          <w:sz w:val="21"/>
        </w:rPr>
        <w:t xml:space="preserve">，水平部分长度不应小于 </w:t>
      </w:r>
      <w:r>
        <w:rPr>
          <w:sz w:val="21"/>
        </w:rPr>
        <w:t>700</w:t>
      </w:r>
      <w:r>
        <w:rPr>
          <w:rFonts w:hint="eastAsia" w:ascii="仿宋" w:hAnsi="仿宋" w:eastAsia="仿宋"/>
          <w:sz w:val="21"/>
        </w:rPr>
        <w:t>mm</w:t>
      </w:r>
      <w:r>
        <w:rPr>
          <w:sz w:val="21"/>
        </w:rPr>
        <w:t>，竖向部分应设</w:t>
      </w:r>
      <w:r>
        <w:rPr>
          <w:spacing w:val="-7"/>
          <w:sz w:val="21"/>
        </w:rPr>
        <w:t xml:space="preserve">置在坐便器前端 </w:t>
      </w:r>
      <w:r>
        <w:rPr>
          <w:sz w:val="21"/>
        </w:rPr>
        <w:t>150</w:t>
      </w:r>
      <w:r>
        <w:rPr>
          <w:rFonts w:hint="eastAsia" w:ascii="仿宋" w:hAnsi="仿宋" w:eastAsia="仿宋"/>
          <w:sz w:val="21"/>
        </w:rPr>
        <w:t>mm</w:t>
      </w:r>
      <w:r>
        <w:rPr>
          <w:sz w:val="21"/>
        </w:rPr>
        <w:t>～250</w:t>
      </w:r>
      <w:r>
        <w:rPr>
          <w:rFonts w:hint="eastAsia" w:ascii="仿宋" w:hAnsi="仿宋" w:eastAsia="仿宋"/>
          <w:sz w:val="21"/>
        </w:rPr>
        <w:t>mm</w:t>
      </w:r>
      <w:r>
        <w:rPr>
          <w:spacing w:val="-4"/>
          <w:sz w:val="21"/>
        </w:rPr>
        <w:t xml:space="preserve">，竖向部分顶部距地面应为 </w:t>
      </w:r>
      <w:r>
        <w:rPr>
          <w:sz w:val="21"/>
        </w:rPr>
        <w:t>1.40</w:t>
      </w:r>
      <w:r>
        <w:rPr>
          <w:rFonts w:hint="eastAsia" w:ascii="仿宋" w:hAnsi="仿宋" w:eastAsia="仿宋"/>
          <w:sz w:val="21"/>
        </w:rPr>
        <w:t>m</w:t>
      </w:r>
      <w:r>
        <w:rPr>
          <w:sz w:val="21"/>
        </w:rPr>
        <w:t>～1.60</w:t>
      </w:r>
      <w:r>
        <w:rPr>
          <w:rFonts w:hint="eastAsia" w:ascii="仿宋" w:hAnsi="仿宋" w:eastAsia="仿宋"/>
          <w:sz w:val="21"/>
        </w:rPr>
        <w:t>m</w:t>
      </w:r>
      <w:r>
        <w:rPr>
          <w:sz w:val="21"/>
        </w:rPr>
        <w:t>；</w:t>
      </w:r>
    </w:p>
    <w:p>
      <w:pPr>
        <w:pStyle w:val="12"/>
        <w:numPr>
          <w:ilvl w:val="3"/>
          <w:numId w:val="32"/>
        </w:numPr>
        <w:tabs>
          <w:tab w:val="left" w:pos="1053"/>
        </w:tabs>
        <w:spacing w:before="0" w:after="0" w:line="417" w:lineRule="auto"/>
        <w:ind w:left="212" w:right="312" w:firstLine="424"/>
        <w:jc w:val="both"/>
        <w:rPr>
          <w:sz w:val="21"/>
        </w:rPr>
      </w:pPr>
      <w:r>
        <w:rPr>
          <w:spacing w:val="-2"/>
          <w:w w:val="95"/>
          <w:sz w:val="21"/>
        </w:rPr>
        <w:t>坐便器水箱控制装置应位于易于触及的位置，应可自动操作或单手操作，操作所需力度不应大于</w:t>
      </w:r>
      <w:r>
        <w:rPr>
          <w:spacing w:val="-2"/>
          <w:sz w:val="21"/>
        </w:rPr>
        <w:t>25</w:t>
      </w:r>
      <w:r>
        <w:rPr>
          <w:rFonts w:hint="eastAsia" w:ascii="仿宋" w:eastAsia="仿宋"/>
          <w:spacing w:val="-2"/>
          <w:sz w:val="21"/>
        </w:rPr>
        <w:t>N</w:t>
      </w:r>
      <w:r>
        <w:rPr>
          <w:spacing w:val="-2"/>
          <w:sz w:val="21"/>
        </w:rPr>
        <w:t>；</w:t>
      </w:r>
    </w:p>
    <w:p>
      <w:pPr>
        <w:pStyle w:val="12"/>
        <w:numPr>
          <w:ilvl w:val="3"/>
          <w:numId w:val="32"/>
        </w:numPr>
        <w:tabs>
          <w:tab w:val="left" w:pos="1053"/>
        </w:tabs>
        <w:spacing w:before="0" w:after="0" w:line="269" w:lineRule="exact"/>
        <w:ind w:left="1052" w:right="0" w:hanging="416"/>
        <w:jc w:val="both"/>
        <w:rPr>
          <w:sz w:val="21"/>
        </w:rPr>
      </w:pPr>
      <w:r>
        <w:rPr>
          <w:spacing w:val="-2"/>
          <w:sz w:val="21"/>
        </w:rPr>
        <w:t xml:space="preserve">取纸器应设置在坐便器的侧前方，高度距坐便器的上沿应为 </w:t>
      </w:r>
      <w:r>
        <w:rPr>
          <w:sz w:val="21"/>
        </w:rPr>
        <w:t>150</w:t>
      </w:r>
      <w:r>
        <w:rPr>
          <w:rFonts w:hint="eastAsia" w:ascii="仿宋" w:eastAsia="仿宋"/>
          <w:sz w:val="21"/>
        </w:rPr>
        <w:t>mm</w:t>
      </w:r>
      <w:r>
        <w:rPr>
          <w:sz w:val="21"/>
        </w:rPr>
        <w:t>～450</w:t>
      </w:r>
      <w:r>
        <w:rPr>
          <w:rFonts w:hint="eastAsia" w:ascii="仿宋" w:eastAsia="仿宋"/>
          <w:sz w:val="21"/>
        </w:rPr>
        <w:t>mm</w:t>
      </w:r>
      <w:r>
        <w:rPr>
          <w:sz w:val="21"/>
        </w:rPr>
        <w:t>；</w:t>
      </w:r>
    </w:p>
    <w:p>
      <w:pPr>
        <w:pStyle w:val="5"/>
        <w:spacing w:before="6"/>
        <w:rPr>
          <w:sz w:val="15"/>
        </w:rPr>
      </w:pPr>
    </w:p>
    <w:p>
      <w:pPr>
        <w:pStyle w:val="12"/>
        <w:numPr>
          <w:ilvl w:val="3"/>
          <w:numId w:val="32"/>
        </w:numPr>
        <w:tabs>
          <w:tab w:val="left" w:pos="1052"/>
          <w:tab w:val="left" w:pos="1053"/>
        </w:tabs>
        <w:spacing w:before="0" w:after="0" w:line="240" w:lineRule="auto"/>
        <w:ind w:left="1052" w:right="0" w:hanging="416"/>
        <w:jc w:val="left"/>
        <w:rPr>
          <w:sz w:val="21"/>
        </w:rPr>
      </w:pPr>
      <w:r>
        <w:rPr>
          <w:sz w:val="21"/>
        </w:rPr>
        <w:t>在坐便器附近应设置求助呼叫按钮，并满足在坐便器上和跌倒在地面的人均能够使用。</w:t>
      </w:r>
    </w:p>
    <w:p>
      <w:pPr>
        <w:pStyle w:val="5"/>
        <w:spacing w:before="7"/>
        <w:rPr>
          <w:sz w:val="15"/>
        </w:rPr>
      </w:pPr>
    </w:p>
    <w:p>
      <w:pPr>
        <w:pStyle w:val="12"/>
        <w:numPr>
          <w:ilvl w:val="2"/>
          <w:numId w:val="32"/>
        </w:numPr>
        <w:tabs>
          <w:tab w:val="left" w:pos="1053"/>
        </w:tabs>
        <w:spacing w:before="0" w:after="0" w:line="240" w:lineRule="auto"/>
        <w:ind w:left="1052" w:right="0" w:hanging="841"/>
        <w:jc w:val="both"/>
        <w:rPr>
          <w:sz w:val="21"/>
        </w:rPr>
      </w:pPr>
      <w:bookmarkStart w:id="117" w:name="4.2.9无障碍小便器应符合下列规定："/>
      <w:bookmarkEnd w:id="117"/>
      <w:bookmarkStart w:id="118" w:name="4.2.9无障碍小便器应符合下列规定："/>
      <w:bookmarkEnd w:id="118"/>
      <w:r>
        <w:rPr>
          <w:sz w:val="21"/>
        </w:rPr>
        <w:t>无障碍小便器应符合下列规定：</w:t>
      </w:r>
    </w:p>
    <w:p>
      <w:pPr>
        <w:pStyle w:val="5"/>
        <w:spacing w:before="7"/>
        <w:rPr>
          <w:sz w:val="15"/>
        </w:rPr>
      </w:pPr>
    </w:p>
    <w:p>
      <w:pPr>
        <w:pStyle w:val="12"/>
        <w:numPr>
          <w:ilvl w:val="0"/>
          <w:numId w:val="34"/>
        </w:numPr>
        <w:tabs>
          <w:tab w:val="left" w:pos="1052"/>
          <w:tab w:val="left" w:pos="1053"/>
        </w:tabs>
        <w:spacing w:before="0" w:after="0" w:line="240" w:lineRule="auto"/>
        <w:ind w:left="1052" w:right="0" w:hanging="416"/>
        <w:jc w:val="left"/>
        <w:rPr>
          <w:sz w:val="21"/>
        </w:rPr>
      </w:pPr>
      <w:r>
        <w:rPr>
          <w:spacing w:val="-4"/>
          <w:sz w:val="21"/>
        </w:rPr>
        <w:t xml:space="preserve">小便器下口距地面高度不应大于 </w:t>
      </w:r>
      <w:r>
        <w:rPr>
          <w:sz w:val="21"/>
        </w:rPr>
        <w:t>400</w:t>
      </w:r>
      <w:r>
        <w:rPr>
          <w:rFonts w:hint="eastAsia" w:ascii="仿宋" w:eastAsia="仿宋"/>
          <w:sz w:val="21"/>
        </w:rPr>
        <w:t>mm</w:t>
      </w:r>
      <w:r>
        <w:rPr>
          <w:sz w:val="21"/>
        </w:rPr>
        <w:t>；</w:t>
      </w:r>
    </w:p>
    <w:p>
      <w:pPr>
        <w:pStyle w:val="5"/>
        <w:spacing w:before="7"/>
        <w:rPr>
          <w:sz w:val="15"/>
        </w:rPr>
      </w:pPr>
    </w:p>
    <w:p>
      <w:pPr>
        <w:pStyle w:val="12"/>
        <w:numPr>
          <w:ilvl w:val="0"/>
          <w:numId w:val="34"/>
        </w:numPr>
        <w:tabs>
          <w:tab w:val="left" w:pos="1052"/>
          <w:tab w:val="left" w:pos="1053"/>
        </w:tabs>
        <w:spacing w:before="0" w:after="0" w:line="417" w:lineRule="auto"/>
        <w:ind w:left="212" w:right="307" w:firstLine="424"/>
        <w:jc w:val="left"/>
        <w:rPr>
          <w:sz w:val="21"/>
        </w:rPr>
      </w:pPr>
      <w:r>
        <w:rPr>
          <w:spacing w:val="-5"/>
          <w:sz w:val="21"/>
        </w:rPr>
        <w:t xml:space="preserve">小便器两侧应在距墙面 </w:t>
      </w:r>
      <w:r>
        <w:rPr>
          <w:rFonts w:ascii="Calibri" w:eastAsia="Calibri"/>
          <w:sz w:val="21"/>
        </w:rPr>
        <w:t>250</w:t>
      </w:r>
      <w:r>
        <w:rPr>
          <w:rFonts w:hint="eastAsia" w:ascii="仿宋" w:eastAsia="仿宋"/>
          <w:sz w:val="21"/>
        </w:rPr>
        <w:t>mm</w:t>
      </w:r>
      <w:r>
        <w:rPr>
          <w:rFonts w:hint="eastAsia" w:ascii="仿宋" w:eastAsia="仿宋"/>
          <w:spacing w:val="-51"/>
          <w:sz w:val="21"/>
        </w:rPr>
        <w:t xml:space="preserve"> </w:t>
      </w:r>
      <w:r>
        <w:rPr>
          <w:spacing w:val="-8"/>
          <w:sz w:val="21"/>
        </w:rPr>
        <w:t xml:space="preserve">处，设高度为 </w:t>
      </w:r>
      <w:r>
        <w:rPr>
          <w:rFonts w:ascii="Calibri" w:eastAsia="Calibri"/>
          <w:sz w:val="21"/>
        </w:rPr>
        <w:t>1.20</w:t>
      </w:r>
      <w:r>
        <w:rPr>
          <w:rFonts w:hint="eastAsia" w:ascii="仿宋" w:eastAsia="仿宋"/>
          <w:sz w:val="21"/>
        </w:rPr>
        <w:t>m</w:t>
      </w:r>
      <w:r>
        <w:rPr>
          <w:rFonts w:hint="eastAsia" w:ascii="仿宋" w:eastAsia="仿宋"/>
          <w:spacing w:val="-52"/>
          <w:sz w:val="21"/>
        </w:rPr>
        <w:t xml:space="preserve"> </w:t>
      </w:r>
      <w:r>
        <w:rPr>
          <w:spacing w:val="-4"/>
          <w:sz w:val="21"/>
        </w:rPr>
        <w:t xml:space="preserve">的垂直安全抓杆，并在距墙面 </w:t>
      </w:r>
      <w:r>
        <w:rPr>
          <w:rFonts w:ascii="Calibri" w:eastAsia="Calibri"/>
          <w:sz w:val="21"/>
        </w:rPr>
        <w:t>550</w:t>
      </w:r>
      <w:r>
        <w:rPr>
          <w:rFonts w:hint="eastAsia" w:ascii="仿宋" w:eastAsia="仿宋"/>
          <w:sz w:val="21"/>
        </w:rPr>
        <w:t>mm</w:t>
      </w:r>
      <w:r>
        <w:rPr>
          <w:rFonts w:hint="eastAsia" w:ascii="仿宋" w:eastAsia="仿宋"/>
          <w:spacing w:val="-51"/>
          <w:sz w:val="21"/>
        </w:rPr>
        <w:t xml:space="preserve"> </w:t>
      </w:r>
      <w:r>
        <w:rPr>
          <w:sz w:val="21"/>
        </w:rPr>
        <w:t>处，设高</w:t>
      </w:r>
      <w:r>
        <w:rPr>
          <w:spacing w:val="-17"/>
          <w:sz w:val="21"/>
        </w:rPr>
        <w:t xml:space="preserve">度为 </w:t>
      </w:r>
      <w:r>
        <w:rPr>
          <w:rFonts w:ascii="Calibri" w:eastAsia="Calibri"/>
          <w:sz w:val="21"/>
        </w:rPr>
        <w:t>900</w:t>
      </w:r>
      <w:r>
        <w:rPr>
          <w:rFonts w:hint="eastAsia" w:ascii="仿宋" w:eastAsia="仿宋"/>
          <w:sz w:val="21"/>
        </w:rPr>
        <w:t>mm</w:t>
      </w:r>
      <w:r>
        <w:rPr>
          <w:rFonts w:hint="eastAsia" w:ascii="仿宋" w:eastAsia="仿宋"/>
          <w:spacing w:val="-52"/>
          <w:sz w:val="21"/>
        </w:rPr>
        <w:t xml:space="preserve"> </w:t>
      </w:r>
      <w:r>
        <w:rPr>
          <w:sz w:val="21"/>
        </w:rPr>
        <w:t>水平安全抓杆，与垂直安全抓杆连接。</w:t>
      </w:r>
    </w:p>
    <w:p>
      <w:pPr>
        <w:pStyle w:val="12"/>
        <w:numPr>
          <w:ilvl w:val="2"/>
          <w:numId w:val="32"/>
        </w:numPr>
        <w:tabs>
          <w:tab w:val="left" w:pos="1052"/>
          <w:tab w:val="left" w:pos="1053"/>
        </w:tabs>
        <w:spacing w:before="0" w:after="0" w:line="269" w:lineRule="exact"/>
        <w:ind w:left="1052" w:right="0" w:hanging="841"/>
        <w:jc w:val="left"/>
        <w:rPr>
          <w:sz w:val="21"/>
        </w:rPr>
      </w:pPr>
      <w:bookmarkStart w:id="119" w:name="4.2.10无障碍洗手/面盆应符合下列规定："/>
      <w:bookmarkEnd w:id="119"/>
      <w:bookmarkStart w:id="120" w:name="4.2.10无障碍洗手/面盆应符合下列规定："/>
      <w:bookmarkEnd w:id="120"/>
      <w:r>
        <w:rPr>
          <w:sz w:val="21"/>
        </w:rPr>
        <w:t>无障碍洗手/面盆应符合下列规定：</w:t>
      </w:r>
    </w:p>
    <w:p>
      <w:pPr>
        <w:spacing w:after="0" w:line="269" w:lineRule="exact"/>
        <w:jc w:val="left"/>
        <w:rPr>
          <w:sz w:val="21"/>
        </w:rPr>
        <w:sectPr>
          <w:pgSz w:w="11910" w:h="16840"/>
          <w:pgMar w:top="1580" w:right="820" w:bottom="1280" w:left="920" w:header="0" w:footer="1095" w:gutter="0"/>
          <w:cols w:space="720" w:num="1"/>
        </w:sectPr>
      </w:pPr>
    </w:p>
    <w:p>
      <w:pPr>
        <w:pStyle w:val="12"/>
        <w:numPr>
          <w:ilvl w:val="0"/>
          <w:numId w:val="35"/>
        </w:numPr>
        <w:tabs>
          <w:tab w:val="left" w:pos="1052"/>
          <w:tab w:val="left" w:pos="1053"/>
        </w:tabs>
        <w:spacing w:before="60" w:after="0" w:line="240" w:lineRule="auto"/>
        <w:ind w:left="1052" w:right="0" w:hanging="416"/>
        <w:jc w:val="left"/>
        <w:rPr>
          <w:sz w:val="21"/>
        </w:rPr>
      </w:pPr>
      <w:r>
        <w:rPr>
          <w:spacing w:val="-5"/>
          <w:sz w:val="21"/>
        </w:rPr>
        <w:t xml:space="preserve">台面距地面高度不应大于 </w:t>
      </w:r>
      <w:r>
        <w:rPr>
          <w:sz w:val="21"/>
        </w:rPr>
        <w:t>800</w:t>
      </w:r>
      <w:r>
        <w:rPr>
          <w:rFonts w:hint="eastAsia" w:ascii="仿宋" w:eastAsia="仿宋"/>
          <w:sz w:val="21"/>
        </w:rPr>
        <w:t>mm</w:t>
      </w:r>
      <w:r>
        <w:rPr>
          <w:spacing w:val="-5"/>
          <w:sz w:val="21"/>
        </w:rPr>
        <w:t xml:space="preserve">，水嘴中心距侧墙不应小于 </w:t>
      </w:r>
      <w:r>
        <w:rPr>
          <w:sz w:val="21"/>
        </w:rPr>
        <w:t>550</w:t>
      </w:r>
      <w:r>
        <w:rPr>
          <w:rFonts w:hint="eastAsia" w:ascii="仿宋" w:eastAsia="仿宋"/>
          <w:sz w:val="21"/>
        </w:rPr>
        <w:t>mm</w:t>
      </w:r>
      <w:r>
        <w:rPr>
          <w:sz w:val="21"/>
        </w:rPr>
        <w:t>，其下部应留出容膝容脚空间；</w:t>
      </w:r>
    </w:p>
    <w:p>
      <w:pPr>
        <w:pStyle w:val="5"/>
        <w:spacing w:before="6"/>
        <w:rPr>
          <w:sz w:val="15"/>
        </w:rPr>
      </w:pPr>
    </w:p>
    <w:p>
      <w:pPr>
        <w:pStyle w:val="12"/>
        <w:numPr>
          <w:ilvl w:val="0"/>
          <w:numId w:val="35"/>
        </w:numPr>
        <w:tabs>
          <w:tab w:val="left" w:pos="1052"/>
          <w:tab w:val="left" w:pos="1053"/>
        </w:tabs>
        <w:spacing w:before="1" w:after="0" w:line="240" w:lineRule="auto"/>
        <w:ind w:left="1052" w:right="0" w:hanging="416"/>
        <w:jc w:val="left"/>
        <w:rPr>
          <w:sz w:val="21"/>
        </w:rPr>
      </w:pPr>
      <w:r>
        <w:rPr>
          <w:spacing w:val="-5"/>
          <w:sz w:val="21"/>
        </w:rPr>
        <w:t xml:space="preserve">立式无障碍洗手盆两侧 </w:t>
      </w:r>
      <w:r>
        <w:rPr>
          <w:sz w:val="21"/>
        </w:rPr>
        <w:t>50</w:t>
      </w:r>
      <w:r>
        <w:rPr>
          <w:rFonts w:hint="eastAsia" w:ascii="仿宋" w:eastAsia="仿宋"/>
          <w:sz w:val="21"/>
        </w:rPr>
        <w:t>mm</w:t>
      </w:r>
      <w:r>
        <w:rPr>
          <w:rFonts w:hint="eastAsia" w:ascii="仿宋" w:eastAsia="仿宋"/>
          <w:spacing w:val="-55"/>
          <w:sz w:val="21"/>
        </w:rPr>
        <w:t xml:space="preserve"> </w:t>
      </w:r>
      <w:r>
        <w:rPr>
          <w:spacing w:val="-6"/>
          <w:sz w:val="21"/>
        </w:rPr>
        <w:t xml:space="preserve">处应设置距地面高度 </w:t>
      </w:r>
      <w:r>
        <w:rPr>
          <w:sz w:val="21"/>
        </w:rPr>
        <w:t>800</w:t>
      </w:r>
      <w:r>
        <w:rPr>
          <w:rFonts w:hint="eastAsia" w:ascii="仿宋" w:eastAsia="仿宋"/>
          <w:sz w:val="21"/>
        </w:rPr>
        <w:t>mm</w:t>
      </w:r>
      <w:r>
        <w:rPr>
          <w:spacing w:val="-17"/>
          <w:sz w:val="21"/>
        </w:rPr>
        <w:t xml:space="preserve">、长 </w:t>
      </w:r>
      <w:r>
        <w:rPr>
          <w:sz w:val="21"/>
        </w:rPr>
        <w:t>500</w:t>
      </w:r>
      <w:r>
        <w:rPr>
          <w:rFonts w:hint="eastAsia" w:ascii="仿宋" w:eastAsia="仿宋"/>
          <w:sz w:val="21"/>
        </w:rPr>
        <w:t>mm</w:t>
      </w:r>
      <w:r>
        <w:rPr>
          <w:rFonts w:hint="eastAsia" w:ascii="仿宋" w:eastAsia="仿宋"/>
          <w:spacing w:val="-53"/>
          <w:sz w:val="21"/>
        </w:rPr>
        <w:t xml:space="preserve"> </w:t>
      </w:r>
      <w:r>
        <w:rPr>
          <w:sz w:val="21"/>
        </w:rPr>
        <w:t>的水平安全抓杆；</w:t>
      </w:r>
    </w:p>
    <w:p>
      <w:pPr>
        <w:pStyle w:val="5"/>
        <w:spacing w:before="6"/>
        <w:rPr>
          <w:sz w:val="15"/>
        </w:rPr>
      </w:pPr>
    </w:p>
    <w:p>
      <w:pPr>
        <w:pStyle w:val="12"/>
        <w:numPr>
          <w:ilvl w:val="0"/>
          <w:numId w:val="35"/>
        </w:numPr>
        <w:tabs>
          <w:tab w:val="left" w:pos="1052"/>
          <w:tab w:val="left" w:pos="1053"/>
        </w:tabs>
        <w:spacing w:before="0" w:after="0" w:line="240" w:lineRule="auto"/>
        <w:ind w:left="1052" w:right="0" w:hanging="416"/>
        <w:jc w:val="left"/>
        <w:rPr>
          <w:sz w:val="21"/>
        </w:rPr>
      </w:pPr>
      <w:r>
        <w:rPr>
          <w:sz w:val="21"/>
        </w:rPr>
        <w:t>应在洗手/面盆上方安装镜子；</w:t>
      </w:r>
    </w:p>
    <w:p>
      <w:pPr>
        <w:pStyle w:val="5"/>
        <w:spacing w:before="7"/>
        <w:rPr>
          <w:sz w:val="15"/>
        </w:rPr>
      </w:pPr>
    </w:p>
    <w:p>
      <w:pPr>
        <w:pStyle w:val="12"/>
        <w:numPr>
          <w:ilvl w:val="0"/>
          <w:numId w:val="35"/>
        </w:numPr>
        <w:tabs>
          <w:tab w:val="left" w:pos="1052"/>
          <w:tab w:val="left" w:pos="1053"/>
        </w:tabs>
        <w:spacing w:before="0" w:after="0" w:line="417" w:lineRule="auto"/>
        <w:ind w:left="212" w:right="315" w:firstLine="424"/>
        <w:jc w:val="left"/>
        <w:rPr>
          <w:sz w:val="21"/>
        </w:rPr>
      </w:pPr>
      <w:r>
        <w:rPr>
          <w:spacing w:val="-2"/>
          <w:w w:val="95"/>
          <w:sz w:val="21"/>
        </w:rPr>
        <w:t xml:space="preserve">出水龙头应采用杠杆式水龙头或感应式自动出水方式；当采用杠杆式水龙头，操作所需的力度不   </w:t>
      </w:r>
      <w:r>
        <w:rPr>
          <w:spacing w:val="-15"/>
          <w:sz w:val="21"/>
        </w:rPr>
        <w:t xml:space="preserve">应大于 </w:t>
      </w:r>
      <w:r>
        <w:rPr>
          <w:sz w:val="21"/>
        </w:rPr>
        <w:t>25</w:t>
      </w:r>
      <w:r>
        <w:rPr>
          <w:rFonts w:hint="eastAsia" w:ascii="仿宋" w:eastAsia="仿宋"/>
          <w:sz w:val="21"/>
        </w:rPr>
        <w:t>N</w:t>
      </w:r>
      <w:r>
        <w:rPr>
          <w:sz w:val="21"/>
        </w:rPr>
        <w:t>。</w:t>
      </w:r>
    </w:p>
    <w:p>
      <w:pPr>
        <w:pStyle w:val="12"/>
        <w:numPr>
          <w:ilvl w:val="2"/>
          <w:numId w:val="32"/>
        </w:numPr>
        <w:tabs>
          <w:tab w:val="left" w:pos="1052"/>
          <w:tab w:val="left" w:pos="1053"/>
        </w:tabs>
        <w:spacing w:before="0" w:after="0" w:line="269" w:lineRule="exact"/>
        <w:ind w:left="1052" w:right="0" w:hanging="841"/>
        <w:jc w:val="left"/>
        <w:rPr>
          <w:sz w:val="21"/>
        </w:rPr>
      </w:pPr>
      <w:bookmarkStart w:id="121" w:name="4.2.11供儿童使用的服务设施应符合下列规定："/>
      <w:bookmarkEnd w:id="121"/>
      <w:bookmarkStart w:id="122" w:name="4.2.11供儿童使用的服务设施应符合下列规定："/>
      <w:bookmarkEnd w:id="122"/>
      <w:r>
        <w:rPr>
          <w:sz w:val="21"/>
        </w:rPr>
        <w:t>供儿童使用的服务设施应符合下列规定：</w:t>
      </w:r>
    </w:p>
    <w:p>
      <w:pPr>
        <w:pStyle w:val="5"/>
        <w:spacing w:before="7"/>
        <w:rPr>
          <w:sz w:val="15"/>
        </w:rPr>
      </w:pPr>
    </w:p>
    <w:p>
      <w:pPr>
        <w:pStyle w:val="12"/>
        <w:numPr>
          <w:ilvl w:val="0"/>
          <w:numId w:val="36"/>
        </w:numPr>
        <w:tabs>
          <w:tab w:val="left" w:pos="1052"/>
          <w:tab w:val="left" w:pos="1053"/>
        </w:tabs>
        <w:spacing w:before="0" w:after="0" w:line="240" w:lineRule="auto"/>
        <w:ind w:left="1052" w:right="0" w:hanging="416"/>
        <w:jc w:val="left"/>
        <w:rPr>
          <w:sz w:val="21"/>
        </w:rPr>
      </w:pPr>
      <w:r>
        <w:rPr>
          <w:spacing w:val="-4"/>
          <w:sz w:val="21"/>
        </w:rPr>
        <w:t xml:space="preserve">婴儿护理台面尺寸(长×宽)宜为 </w:t>
      </w:r>
      <w:r>
        <w:rPr>
          <w:sz w:val="21"/>
        </w:rPr>
        <w:t>900</w:t>
      </w:r>
      <w:r>
        <w:rPr>
          <w:rFonts w:hint="eastAsia" w:ascii="仿宋" w:hAnsi="仿宋" w:eastAsia="仿宋"/>
          <w:sz w:val="21"/>
        </w:rPr>
        <w:t>mm</w:t>
      </w:r>
      <w:r>
        <w:rPr>
          <w:sz w:val="21"/>
        </w:rPr>
        <w:t>×600</w:t>
      </w:r>
      <w:r>
        <w:rPr>
          <w:rFonts w:hint="eastAsia" w:ascii="仿宋" w:hAnsi="仿宋" w:eastAsia="仿宋"/>
          <w:sz w:val="21"/>
        </w:rPr>
        <w:t>mm</w:t>
      </w:r>
      <w:r>
        <w:rPr>
          <w:spacing w:val="-5"/>
          <w:sz w:val="21"/>
        </w:rPr>
        <w:t xml:space="preserve">，台面距地面高度宜为 </w:t>
      </w:r>
      <w:r>
        <w:rPr>
          <w:sz w:val="21"/>
        </w:rPr>
        <w:t>850</w:t>
      </w:r>
      <w:r>
        <w:rPr>
          <w:rFonts w:hint="eastAsia" w:ascii="仿宋" w:hAnsi="仿宋" w:eastAsia="仿宋"/>
          <w:sz w:val="21"/>
        </w:rPr>
        <w:t>mm</w:t>
      </w:r>
      <w:r>
        <w:rPr>
          <w:sz w:val="21"/>
        </w:rPr>
        <w:t>～950</w:t>
      </w:r>
      <w:r>
        <w:rPr>
          <w:rFonts w:hint="eastAsia" w:ascii="仿宋" w:hAnsi="仿宋" w:eastAsia="仿宋"/>
          <w:sz w:val="21"/>
        </w:rPr>
        <w:t>mm</w:t>
      </w:r>
      <w:r>
        <w:rPr>
          <w:sz w:val="21"/>
        </w:rPr>
        <w:t>；</w:t>
      </w:r>
    </w:p>
    <w:p>
      <w:pPr>
        <w:pStyle w:val="5"/>
        <w:spacing w:before="6"/>
        <w:rPr>
          <w:sz w:val="15"/>
        </w:rPr>
      </w:pPr>
    </w:p>
    <w:p>
      <w:pPr>
        <w:pStyle w:val="12"/>
        <w:numPr>
          <w:ilvl w:val="0"/>
          <w:numId w:val="36"/>
        </w:numPr>
        <w:tabs>
          <w:tab w:val="left" w:pos="1052"/>
          <w:tab w:val="left" w:pos="1053"/>
        </w:tabs>
        <w:spacing w:before="1" w:after="0" w:line="240" w:lineRule="auto"/>
        <w:ind w:left="1052" w:right="0" w:hanging="416"/>
        <w:jc w:val="left"/>
        <w:rPr>
          <w:sz w:val="21"/>
        </w:rPr>
      </w:pPr>
      <w:r>
        <w:rPr>
          <w:spacing w:val="-5"/>
          <w:sz w:val="21"/>
        </w:rPr>
        <w:t xml:space="preserve">儿童安全座椅长度宜为 </w:t>
      </w:r>
      <w:r>
        <w:rPr>
          <w:sz w:val="21"/>
        </w:rPr>
        <w:t>280</w:t>
      </w:r>
      <w:r>
        <w:rPr>
          <w:rFonts w:hint="eastAsia" w:ascii="仿宋" w:eastAsia="仿宋"/>
          <w:sz w:val="21"/>
        </w:rPr>
        <w:t>mm</w:t>
      </w:r>
      <w:r>
        <w:rPr>
          <w:spacing w:val="-9"/>
          <w:sz w:val="21"/>
        </w:rPr>
        <w:t xml:space="preserve">，宽度宜为 </w:t>
      </w:r>
      <w:r>
        <w:rPr>
          <w:sz w:val="21"/>
        </w:rPr>
        <w:t>260</w:t>
      </w:r>
      <w:r>
        <w:rPr>
          <w:spacing w:val="-2"/>
          <w:sz w:val="21"/>
        </w:rPr>
        <w:t xml:space="preserve"> </w:t>
      </w:r>
      <w:r>
        <w:rPr>
          <w:rFonts w:hint="eastAsia" w:ascii="仿宋" w:eastAsia="仿宋"/>
          <w:sz w:val="21"/>
        </w:rPr>
        <w:t>mm</w:t>
      </w:r>
      <w:r>
        <w:rPr>
          <w:spacing w:val="-6"/>
          <w:sz w:val="21"/>
        </w:rPr>
        <w:t xml:space="preserve">，距地面高度宜为 </w:t>
      </w:r>
      <w:r>
        <w:rPr>
          <w:sz w:val="21"/>
        </w:rPr>
        <w:t>400</w:t>
      </w:r>
      <w:r>
        <w:rPr>
          <w:rFonts w:hint="eastAsia" w:ascii="仿宋" w:eastAsia="仿宋"/>
          <w:sz w:val="21"/>
        </w:rPr>
        <w:t>mm</w:t>
      </w:r>
      <w:r>
        <w:rPr>
          <w:sz w:val="21"/>
        </w:rPr>
        <w:t>；</w:t>
      </w:r>
    </w:p>
    <w:p>
      <w:pPr>
        <w:pStyle w:val="5"/>
        <w:spacing w:before="6"/>
        <w:rPr>
          <w:sz w:val="15"/>
        </w:rPr>
      </w:pPr>
    </w:p>
    <w:p>
      <w:pPr>
        <w:pStyle w:val="12"/>
        <w:numPr>
          <w:ilvl w:val="0"/>
          <w:numId w:val="36"/>
        </w:numPr>
        <w:tabs>
          <w:tab w:val="left" w:pos="1052"/>
          <w:tab w:val="left" w:pos="1053"/>
        </w:tabs>
        <w:spacing w:before="0" w:after="0" w:line="240" w:lineRule="auto"/>
        <w:ind w:left="1052" w:right="0" w:hanging="416"/>
        <w:jc w:val="left"/>
        <w:rPr>
          <w:sz w:val="21"/>
        </w:rPr>
      </w:pPr>
      <w:r>
        <w:rPr>
          <w:sz w:val="21"/>
        </w:rPr>
        <w:t>儿童洗手/</w:t>
      </w:r>
      <w:r>
        <w:rPr>
          <w:spacing w:val="-4"/>
          <w:sz w:val="21"/>
        </w:rPr>
        <w:t xml:space="preserve">面盆上表面距地面高度宜为 </w:t>
      </w:r>
      <w:r>
        <w:rPr>
          <w:sz w:val="21"/>
        </w:rPr>
        <w:t>500</w:t>
      </w:r>
      <w:r>
        <w:rPr>
          <w:rFonts w:hint="eastAsia" w:ascii="仿宋" w:eastAsia="仿宋"/>
          <w:sz w:val="21"/>
        </w:rPr>
        <w:t>mm</w:t>
      </w:r>
      <w:r>
        <w:rPr>
          <w:sz w:val="21"/>
        </w:rPr>
        <w:t>～550</w:t>
      </w:r>
      <w:r>
        <w:rPr>
          <w:rFonts w:hint="eastAsia" w:ascii="仿宋" w:eastAsia="仿宋"/>
          <w:sz w:val="21"/>
        </w:rPr>
        <w:t>mm</w:t>
      </w:r>
      <w:r>
        <w:rPr>
          <w:spacing w:val="-9"/>
          <w:sz w:val="21"/>
        </w:rPr>
        <w:t xml:space="preserve">，宽度宜为 </w:t>
      </w:r>
      <w:r>
        <w:rPr>
          <w:sz w:val="21"/>
        </w:rPr>
        <w:t>400</w:t>
      </w:r>
      <w:r>
        <w:rPr>
          <w:rFonts w:hint="eastAsia" w:ascii="仿宋" w:eastAsia="仿宋"/>
          <w:sz w:val="21"/>
        </w:rPr>
        <w:t>mm</w:t>
      </w:r>
      <w:r>
        <w:rPr>
          <w:sz w:val="21"/>
        </w:rPr>
        <w:t>～450</w:t>
      </w:r>
      <w:r>
        <w:rPr>
          <w:rFonts w:hint="eastAsia" w:ascii="仿宋" w:eastAsia="仿宋"/>
          <w:sz w:val="21"/>
        </w:rPr>
        <w:t>mm</w:t>
      </w:r>
      <w:r>
        <w:rPr>
          <w:sz w:val="21"/>
        </w:rPr>
        <w:t>。</w:t>
      </w:r>
    </w:p>
    <w:p>
      <w:pPr>
        <w:pStyle w:val="5"/>
        <w:spacing w:before="7"/>
        <w:rPr>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123" w:name="4.2.12无障碍淋浴间应符合下列规定："/>
      <w:bookmarkEnd w:id="123"/>
      <w:bookmarkStart w:id="124" w:name="4.2.12无障碍淋浴间应符合下列规定："/>
      <w:bookmarkEnd w:id="124"/>
      <w:r>
        <w:rPr>
          <w:sz w:val="21"/>
        </w:rPr>
        <w:t>无障碍淋浴间应符合下列规定：</w:t>
      </w:r>
    </w:p>
    <w:p>
      <w:pPr>
        <w:pStyle w:val="5"/>
        <w:spacing w:before="7"/>
        <w:rPr>
          <w:sz w:val="15"/>
        </w:rPr>
      </w:pPr>
    </w:p>
    <w:p>
      <w:pPr>
        <w:pStyle w:val="12"/>
        <w:numPr>
          <w:ilvl w:val="0"/>
          <w:numId w:val="37"/>
        </w:numPr>
        <w:tabs>
          <w:tab w:val="left" w:pos="1052"/>
          <w:tab w:val="left" w:pos="1053"/>
        </w:tabs>
        <w:spacing w:before="0" w:after="0" w:line="240" w:lineRule="auto"/>
        <w:ind w:left="1052" w:right="0" w:hanging="416"/>
        <w:jc w:val="left"/>
        <w:rPr>
          <w:sz w:val="21"/>
        </w:rPr>
      </w:pPr>
      <w:r>
        <w:rPr>
          <w:sz w:val="21"/>
        </w:rPr>
        <w:t>内部空间应方便乘轮椅者进出和使用；</w:t>
      </w:r>
    </w:p>
    <w:p>
      <w:pPr>
        <w:pStyle w:val="5"/>
        <w:spacing w:before="6"/>
        <w:rPr>
          <w:sz w:val="15"/>
        </w:rPr>
      </w:pPr>
    </w:p>
    <w:p>
      <w:pPr>
        <w:pStyle w:val="12"/>
        <w:numPr>
          <w:ilvl w:val="0"/>
          <w:numId w:val="37"/>
        </w:numPr>
        <w:tabs>
          <w:tab w:val="left" w:pos="1052"/>
          <w:tab w:val="left" w:pos="1053"/>
        </w:tabs>
        <w:spacing w:before="1" w:after="0" w:line="240" w:lineRule="auto"/>
        <w:ind w:left="1052" w:right="0" w:hanging="416"/>
        <w:jc w:val="left"/>
        <w:rPr>
          <w:sz w:val="21"/>
        </w:rPr>
      </w:pPr>
      <w:r>
        <w:rPr>
          <w:sz w:val="21"/>
        </w:rPr>
        <w:t>淋浴间前应设便于乘轮椅者通行的净空间；</w:t>
      </w:r>
    </w:p>
    <w:p>
      <w:pPr>
        <w:pStyle w:val="5"/>
        <w:spacing w:before="6"/>
        <w:rPr>
          <w:sz w:val="15"/>
        </w:rPr>
      </w:pPr>
    </w:p>
    <w:p>
      <w:pPr>
        <w:pStyle w:val="12"/>
        <w:numPr>
          <w:ilvl w:val="0"/>
          <w:numId w:val="37"/>
        </w:numPr>
        <w:tabs>
          <w:tab w:val="left" w:pos="1052"/>
          <w:tab w:val="left" w:pos="1053"/>
        </w:tabs>
        <w:spacing w:before="0" w:after="0" w:line="240" w:lineRule="auto"/>
        <w:ind w:left="1052" w:right="0" w:hanging="416"/>
        <w:jc w:val="left"/>
        <w:rPr>
          <w:sz w:val="21"/>
        </w:rPr>
      </w:pPr>
      <w:r>
        <w:rPr>
          <w:spacing w:val="-10"/>
          <w:w w:val="99"/>
          <w:sz w:val="21"/>
        </w:rPr>
        <w:t>浴间坐台应安装牢固，高度应为</w:t>
      </w:r>
      <w:r>
        <w:rPr>
          <w:spacing w:val="-50"/>
          <w:sz w:val="21"/>
        </w:rPr>
        <w:t xml:space="preserve"> </w:t>
      </w:r>
      <w:r>
        <w:rPr>
          <w:spacing w:val="1"/>
          <w:w w:val="99"/>
          <w:sz w:val="21"/>
        </w:rPr>
        <w:t>40</w:t>
      </w:r>
      <w:r>
        <w:rPr>
          <w:spacing w:val="-2"/>
          <w:w w:val="99"/>
          <w:sz w:val="21"/>
        </w:rPr>
        <w:t>0</w:t>
      </w:r>
      <w:r>
        <w:rPr>
          <w:rFonts w:hint="eastAsia" w:ascii="仿宋" w:eastAsia="仿宋"/>
          <w:spacing w:val="1"/>
          <w:w w:val="99"/>
          <w:sz w:val="21"/>
        </w:rPr>
        <w:t>m</w:t>
      </w:r>
      <w:r>
        <w:rPr>
          <w:rFonts w:hint="eastAsia" w:ascii="仿宋" w:eastAsia="仿宋"/>
          <w:spacing w:val="-2"/>
          <w:w w:val="99"/>
          <w:sz w:val="21"/>
        </w:rPr>
        <w:t>m</w:t>
      </w:r>
      <w:r>
        <w:rPr>
          <w:spacing w:val="2"/>
          <w:w w:val="99"/>
          <w:sz w:val="21"/>
        </w:rPr>
        <w:t>～</w:t>
      </w:r>
      <w:r>
        <w:rPr>
          <w:spacing w:val="1"/>
          <w:w w:val="99"/>
          <w:sz w:val="21"/>
        </w:rPr>
        <w:t>45</w:t>
      </w:r>
      <w:r>
        <w:rPr>
          <w:spacing w:val="-2"/>
          <w:w w:val="99"/>
          <w:sz w:val="21"/>
        </w:rPr>
        <w:t>0</w:t>
      </w:r>
      <w:r>
        <w:rPr>
          <w:rFonts w:hint="eastAsia" w:ascii="仿宋" w:eastAsia="仿宋"/>
          <w:spacing w:val="1"/>
          <w:w w:val="99"/>
          <w:sz w:val="21"/>
        </w:rPr>
        <w:t>mm</w:t>
      </w:r>
      <w:r>
        <w:rPr>
          <w:spacing w:val="-20"/>
          <w:w w:val="99"/>
          <w:sz w:val="21"/>
        </w:rPr>
        <w:t>，深度应为</w:t>
      </w:r>
      <w:r>
        <w:rPr>
          <w:spacing w:val="-48"/>
          <w:sz w:val="21"/>
        </w:rPr>
        <w:t xml:space="preserve"> </w:t>
      </w:r>
      <w:r>
        <w:rPr>
          <w:spacing w:val="1"/>
          <w:w w:val="99"/>
          <w:sz w:val="21"/>
        </w:rPr>
        <w:t>40</w:t>
      </w:r>
      <w:r>
        <w:rPr>
          <w:spacing w:val="-2"/>
          <w:w w:val="99"/>
          <w:sz w:val="21"/>
        </w:rPr>
        <w:t>0</w:t>
      </w:r>
      <w:r>
        <w:rPr>
          <w:rFonts w:hint="eastAsia" w:ascii="仿宋" w:eastAsia="仿宋"/>
          <w:spacing w:val="1"/>
          <w:w w:val="99"/>
          <w:sz w:val="21"/>
        </w:rPr>
        <w:t>m</w:t>
      </w:r>
      <w:r>
        <w:rPr>
          <w:rFonts w:hint="eastAsia" w:ascii="仿宋" w:eastAsia="仿宋"/>
          <w:spacing w:val="-2"/>
          <w:w w:val="99"/>
          <w:sz w:val="21"/>
        </w:rPr>
        <w:t>m</w:t>
      </w:r>
      <w:r>
        <w:rPr>
          <w:spacing w:val="2"/>
          <w:w w:val="99"/>
          <w:sz w:val="21"/>
        </w:rPr>
        <w:t>～</w:t>
      </w:r>
      <w:r>
        <w:rPr>
          <w:spacing w:val="1"/>
          <w:w w:val="99"/>
          <w:sz w:val="21"/>
        </w:rPr>
        <w:t>50</w:t>
      </w:r>
      <w:r>
        <w:rPr>
          <w:spacing w:val="-2"/>
          <w:w w:val="99"/>
          <w:sz w:val="21"/>
        </w:rPr>
        <w:t>0</w:t>
      </w:r>
      <w:r>
        <w:rPr>
          <w:rFonts w:hint="eastAsia" w:ascii="仿宋" w:eastAsia="仿宋"/>
          <w:spacing w:val="1"/>
          <w:w w:val="99"/>
          <w:sz w:val="21"/>
        </w:rPr>
        <w:t>mm</w:t>
      </w:r>
      <w:r>
        <w:rPr>
          <w:spacing w:val="-20"/>
          <w:w w:val="99"/>
          <w:sz w:val="21"/>
        </w:rPr>
        <w:t>，宽度应为</w:t>
      </w:r>
      <w:r>
        <w:rPr>
          <w:spacing w:val="-48"/>
          <w:sz w:val="21"/>
        </w:rPr>
        <w:t xml:space="preserve"> </w:t>
      </w:r>
      <w:r>
        <w:rPr>
          <w:spacing w:val="1"/>
          <w:w w:val="99"/>
          <w:sz w:val="21"/>
        </w:rPr>
        <w:t>50</w:t>
      </w:r>
      <w:r>
        <w:rPr>
          <w:spacing w:val="-2"/>
          <w:w w:val="99"/>
          <w:sz w:val="21"/>
        </w:rPr>
        <w:t>0</w:t>
      </w:r>
      <w:r>
        <w:rPr>
          <w:rFonts w:hint="eastAsia" w:ascii="仿宋" w:eastAsia="仿宋"/>
          <w:spacing w:val="1"/>
          <w:w w:val="99"/>
          <w:sz w:val="21"/>
        </w:rPr>
        <w:t>m</w:t>
      </w:r>
      <w:r>
        <w:rPr>
          <w:rFonts w:hint="eastAsia" w:ascii="仿宋" w:eastAsia="仿宋"/>
          <w:spacing w:val="-2"/>
          <w:w w:val="99"/>
          <w:sz w:val="21"/>
        </w:rPr>
        <w:t>m</w:t>
      </w:r>
      <w:r>
        <w:rPr>
          <w:spacing w:val="2"/>
          <w:w w:val="99"/>
          <w:sz w:val="21"/>
        </w:rPr>
        <w:t>～</w:t>
      </w:r>
      <w:r>
        <w:rPr>
          <w:spacing w:val="1"/>
          <w:w w:val="99"/>
          <w:sz w:val="21"/>
        </w:rPr>
        <w:t>55</w:t>
      </w:r>
      <w:r>
        <w:rPr>
          <w:spacing w:val="-2"/>
          <w:w w:val="99"/>
          <w:sz w:val="21"/>
        </w:rPr>
        <w:t>0</w:t>
      </w:r>
      <w:r>
        <w:rPr>
          <w:rFonts w:hint="eastAsia" w:ascii="仿宋" w:eastAsia="仿宋"/>
          <w:spacing w:val="1"/>
          <w:w w:val="99"/>
          <w:sz w:val="21"/>
        </w:rPr>
        <w:t>mm</w:t>
      </w:r>
      <w:r>
        <w:rPr>
          <w:w w:val="99"/>
          <w:sz w:val="21"/>
        </w:rPr>
        <w:t>；</w:t>
      </w:r>
    </w:p>
    <w:p>
      <w:pPr>
        <w:pStyle w:val="5"/>
        <w:spacing w:before="7"/>
        <w:rPr>
          <w:sz w:val="15"/>
        </w:rPr>
      </w:pPr>
    </w:p>
    <w:p>
      <w:pPr>
        <w:pStyle w:val="12"/>
        <w:numPr>
          <w:ilvl w:val="0"/>
          <w:numId w:val="37"/>
        </w:numPr>
        <w:tabs>
          <w:tab w:val="left" w:pos="1052"/>
          <w:tab w:val="left" w:pos="1053"/>
        </w:tabs>
        <w:spacing w:before="0" w:after="0" w:line="417" w:lineRule="auto"/>
        <w:ind w:left="212" w:right="103" w:firstLine="424"/>
        <w:jc w:val="left"/>
        <w:rPr>
          <w:sz w:val="21"/>
        </w:rPr>
      </w:pPr>
      <w:r>
        <w:rPr>
          <w:spacing w:val="5"/>
          <w:w w:val="99"/>
          <w:sz w:val="21"/>
        </w:rPr>
        <w:t>应沿实体墙面设置</w:t>
      </w:r>
      <w:r>
        <w:rPr>
          <w:rFonts w:hint="eastAsia" w:ascii="仿宋" w:eastAsia="仿宋"/>
          <w:w w:val="99"/>
          <w:sz w:val="21"/>
        </w:rPr>
        <w:t>L</w:t>
      </w:r>
      <w:r>
        <w:rPr>
          <w:rFonts w:hint="eastAsia" w:ascii="仿宋" w:eastAsia="仿宋"/>
          <w:spacing w:val="-59"/>
          <w:sz w:val="21"/>
        </w:rPr>
        <w:t xml:space="preserve"> </w:t>
      </w:r>
      <w:r>
        <w:rPr>
          <w:spacing w:val="-11"/>
          <w:w w:val="99"/>
          <w:sz w:val="21"/>
        </w:rPr>
        <w:t>型安全抓杆，其水平部分距地面高度应为</w:t>
      </w:r>
      <w:r>
        <w:rPr>
          <w:spacing w:val="-58"/>
          <w:sz w:val="21"/>
        </w:rPr>
        <w:t xml:space="preserve"> </w:t>
      </w:r>
      <w:r>
        <w:rPr>
          <w:spacing w:val="1"/>
          <w:w w:val="99"/>
          <w:sz w:val="21"/>
        </w:rPr>
        <w:t>70</w:t>
      </w:r>
      <w:r>
        <w:rPr>
          <w:spacing w:val="-2"/>
          <w:w w:val="99"/>
          <w:sz w:val="21"/>
        </w:rPr>
        <w:t>0</w:t>
      </w:r>
      <w:r>
        <w:rPr>
          <w:rFonts w:hint="eastAsia" w:ascii="仿宋" w:eastAsia="仿宋"/>
          <w:spacing w:val="1"/>
          <w:w w:val="99"/>
          <w:sz w:val="21"/>
        </w:rPr>
        <w:t>mm</w:t>
      </w:r>
      <w:r>
        <w:rPr>
          <w:spacing w:val="-1"/>
          <w:w w:val="99"/>
          <w:sz w:val="21"/>
        </w:rPr>
        <w:t>～</w:t>
      </w:r>
      <w:r>
        <w:rPr>
          <w:spacing w:val="1"/>
          <w:w w:val="99"/>
          <w:sz w:val="21"/>
        </w:rPr>
        <w:t>750</w:t>
      </w:r>
      <w:r>
        <w:rPr>
          <w:rFonts w:hint="eastAsia" w:ascii="仿宋" w:eastAsia="仿宋"/>
          <w:spacing w:val="1"/>
          <w:w w:val="99"/>
          <w:sz w:val="21"/>
        </w:rPr>
        <w:t>m</w:t>
      </w:r>
      <w:r>
        <w:rPr>
          <w:rFonts w:hint="eastAsia" w:ascii="仿宋" w:eastAsia="仿宋"/>
          <w:spacing w:val="-2"/>
          <w:w w:val="99"/>
          <w:sz w:val="21"/>
        </w:rPr>
        <w:t>m</w:t>
      </w:r>
      <w:r>
        <w:rPr>
          <w:spacing w:val="-17"/>
          <w:w w:val="99"/>
          <w:sz w:val="21"/>
        </w:rPr>
        <w:t>，长度不应小于</w:t>
      </w:r>
      <w:r>
        <w:rPr>
          <w:spacing w:val="-55"/>
          <w:sz w:val="21"/>
        </w:rPr>
        <w:t xml:space="preserve"> </w:t>
      </w:r>
      <w:r>
        <w:rPr>
          <w:spacing w:val="1"/>
          <w:w w:val="99"/>
          <w:sz w:val="21"/>
        </w:rPr>
        <w:t>70</w:t>
      </w:r>
      <w:r>
        <w:rPr>
          <w:spacing w:val="-2"/>
          <w:w w:val="99"/>
          <w:sz w:val="21"/>
        </w:rPr>
        <w:t>0</w:t>
      </w:r>
      <w:r>
        <w:rPr>
          <w:rFonts w:hint="eastAsia" w:ascii="仿宋" w:eastAsia="仿宋"/>
          <w:spacing w:val="1"/>
          <w:w w:val="99"/>
          <w:sz w:val="21"/>
        </w:rPr>
        <w:t>m</w:t>
      </w:r>
      <w:r>
        <w:rPr>
          <w:rFonts w:hint="eastAsia" w:ascii="仿宋" w:eastAsia="仿宋"/>
          <w:spacing w:val="-2"/>
          <w:w w:val="99"/>
          <w:sz w:val="21"/>
        </w:rPr>
        <w:t>m</w:t>
      </w:r>
      <w:r>
        <w:rPr>
          <w:w w:val="99"/>
          <w:sz w:val="21"/>
        </w:rPr>
        <w:t>，</w:t>
      </w:r>
      <w:r>
        <w:rPr>
          <w:spacing w:val="-3"/>
          <w:sz w:val="21"/>
        </w:rPr>
        <w:t xml:space="preserve">其垂直部分应设置在坐台前端，顶部距地面高度应为 </w:t>
      </w:r>
      <w:r>
        <w:rPr>
          <w:sz w:val="21"/>
        </w:rPr>
        <w:t>1.40</w:t>
      </w:r>
      <w:r>
        <w:rPr>
          <w:rFonts w:hint="eastAsia" w:ascii="仿宋" w:eastAsia="仿宋"/>
          <w:sz w:val="21"/>
        </w:rPr>
        <w:t>m</w:t>
      </w:r>
      <w:r>
        <w:rPr>
          <w:sz w:val="21"/>
        </w:rPr>
        <w:t>～1.60</w:t>
      </w:r>
      <w:r>
        <w:rPr>
          <w:rFonts w:hint="eastAsia" w:ascii="仿宋" w:eastAsia="仿宋"/>
          <w:sz w:val="21"/>
        </w:rPr>
        <w:t>m</w:t>
      </w:r>
      <w:r>
        <w:rPr>
          <w:sz w:val="21"/>
        </w:rPr>
        <w:t>；</w:t>
      </w:r>
    </w:p>
    <w:p>
      <w:pPr>
        <w:pStyle w:val="12"/>
        <w:numPr>
          <w:ilvl w:val="0"/>
          <w:numId w:val="37"/>
        </w:numPr>
        <w:tabs>
          <w:tab w:val="left" w:pos="1052"/>
          <w:tab w:val="left" w:pos="1053"/>
        </w:tabs>
        <w:spacing w:before="0" w:after="0" w:line="417" w:lineRule="auto"/>
        <w:ind w:left="212" w:right="310" w:firstLine="424"/>
        <w:jc w:val="left"/>
        <w:rPr>
          <w:sz w:val="21"/>
        </w:rPr>
      </w:pPr>
      <w:r>
        <w:rPr>
          <w:spacing w:val="-4"/>
          <w:sz w:val="21"/>
        </w:rPr>
        <w:t xml:space="preserve">淋浴控制开关的距地面高度不应大于 </w:t>
      </w:r>
      <w:r>
        <w:rPr>
          <w:sz w:val="21"/>
        </w:rPr>
        <w:t>1.00</w:t>
      </w:r>
      <w:r>
        <w:rPr>
          <w:rFonts w:hint="eastAsia" w:ascii="仿宋" w:eastAsia="仿宋"/>
          <w:sz w:val="21"/>
        </w:rPr>
        <w:t>m</w:t>
      </w:r>
      <w:r>
        <w:rPr>
          <w:spacing w:val="-15"/>
          <w:sz w:val="21"/>
        </w:rPr>
        <w:t xml:space="preserve">； 应设置有 </w:t>
      </w:r>
      <w:r>
        <w:rPr>
          <w:sz w:val="21"/>
        </w:rPr>
        <w:t>1</w:t>
      </w:r>
      <w:r>
        <w:rPr>
          <w:spacing w:val="-10"/>
          <w:sz w:val="21"/>
        </w:rPr>
        <w:t xml:space="preserve"> 个可手持的花洒，其支架高度距地面高</w:t>
      </w:r>
      <w:r>
        <w:rPr>
          <w:spacing w:val="-17"/>
          <w:sz w:val="21"/>
        </w:rPr>
        <w:t xml:space="preserve">度不应大于 </w:t>
      </w:r>
      <w:r>
        <w:rPr>
          <w:sz w:val="21"/>
        </w:rPr>
        <w:t>1.20</w:t>
      </w:r>
      <w:r>
        <w:rPr>
          <w:rFonts w:hint="eastAsia" w:ascii="仿宋" w:eastAsia="仿宋"/>
          <w:sz w:val="21"/>
        </w:rPr>
        <w:t>m</w:t>
      </w:r>
      <w:r>
        <w:rPr>
          <w:spacing w:val="-5"/>
          <w:sz w:val="21"/>
        </w:rPr>
        <w:t xml:space="preserve">，淋浴软管长度不应小于 </w:t>
      </w:r>
      <w:r>
        <w:rPr>
          <w:sz w:val="21"/>
        </w:rPr>
        <w:t>1.50</w:t>
      </w:r>
      <w:r>
        <w:rPr>
          <w:rFonts w:hint="eastAsia" w:ascii="仿宋" w:eastAsia="仿宋"/>
          <w:sz w:val="21"/>
        </w:rPr>
        <w:t>m</w:t>
      </w:r>
      <w:r>
        <w:rPr>
          <w:sz w:val="21"/>
        </w:rPr>
        <w:t>。</w:t>
      </w:r>
    </w:p>
    <w:p>
      <w:pPr>
        <w:pStyle w:val="12"/>
        <w:numPr>
          <w:ilvl w:val="2"/>
          <w:numId w:val="32"/>
        </w:numPr>
        <w:tabs>
          <w:tab w:val="left" w:pos="1052"/>
          <w:tab w:val="left" w:pos="1053"/>
        </w:tabs>
        <w:spacing w:before="0" w:after="0" w:line="269" w:lineRule="exact"/>
        <w:ind w:left="1052" w:right="0" w:hanging="841"/>
        <w:jc w:val="left"/>
        <w:rPr>
          <w:sz w:val="21"/>
        </w:rPr>
      </w:pPr>
      <w:bookmarkStart w:id="125" w:name="4.2.13无障碍盆浴间应符合下列规定："/>
      <w:bookmarkEnd w:id="125"/>
      <w:bookmarkStart w:id="126" w:name="4.2.13无障碍盆浴间应符合下列规定："/>
      <w:bookmarkEnd w:id="126"/>
      <w:r>
        <w:rPr>
          <w:sz w:val="21"/>
        </w:rPr>
        <w:t>无障碍盆浴间应符合下列规定：</w:t>
      </w:r>
    </w:p>
    <w:p>
      <w:pPr>
        <w:pStyle w:val="5"/>
        <w:spacing w:before="6"/>
        <w:rPr>
          <w:sz w:val="15"/>
        </w:rPr>
      </w:pPr>
    </w:p>
    <w:p>
      <w:pPr>
        <w:pStyle w:val="12"/>
        <w:numPr>
          <w:ilvl w:val="0"/>
          <w:numId w:val="38"/>
        </w:numPr>
        <w:tabs>
          <w:tab w:val="left" w:pos="1052"/>
          <w:tab w:val="left" w:pos="1053"/>
        </w:tabs>
        <w:spacing w:before="1" w:after="0" w:line="240" w:lineRule="auto"/>
        <w:ind w:left="1052" w:right="0" w:hanging="416"/>
        <w:jc w:val="left"/>
        <w:rPr>
          <w:sz w:val="21"/>
        </w:rPr>
      </w:pPr>
      <w:r>
        <w:rPr>
          <w:spacing w:val="-6"/>
          <w:sz w:val="21"/>
        </w:rPr>
        <w:t xml:space="preserve">浴缸侧面应设不小于 </w:t>
      </w:r>
      <w:r>
        <w:rPr>
          <w:sz w:val="21"/>
        </w:rPr>
        <w:t>1.50</w:t>
      </w:r>
      <w:r>
        <w:rPr>
          <w:rFonts w:hint="eastAsia" w:ascii="仿宋" w:hAnsi="仿宋" w:eastAsia="仿宋"/>
          <w:sz w:val="21"/>
        </w:rPr>
        <w:t>m</w:t>
      </w:r>
      <w:r>
        <w:rPr>
          <w:sz w:val="21"/>
        </w:rPr>
        <w:t>×0.80</w:t>
      </w:r>
      <w:r>
        <w:rPr>
          <w:rFonts w:hint="eastAsia" w:ascii="仿宋" w:hAnsi="仿宋" w:eastAsia="仿宋"/>
          <w:sz w:val="21"/>
        </w:rPr>
        <w:t>m</w:t>
      </w:r>
      <w:r>
        <w:rPr>
          <w:rFonts w:hint="eastAsia" w:ascii="仿宋" w:hAnsi="仿宋" w:eastAsia="仿宋"/>
          <w:spacing w:val="-53"/>
          <w:sz w:val="21"/>
        </w:rPr>
        <w:t xml:space="preserve"> </w:t>
      </w:r>
      <w:r>
        <w:rPr>
          <w:spacing w:val="-3"/>
          <w:sz w:val="21"/>
        </w:rPr>
        <w:t xml:space="preserve">的净空间，和浴缸平行的一边的长度不应小于 </w:t>
      </w:r>
      <w:r>
        <w:rPr>
          <w:sz w:val="21"/>
        </w:rPr>
        <w:t>1.50</w:t>
      </w:r>
      <w:r>
        <w:rPr>
          <w:rFonts w:hint="eastAsia" w:ascii="仿宋" w:hAnsi="仿宋" w:eastAsia="仿宋"/>
          <w:sz w:val="21"/>
        </w:rPr>
        <w:t>m</w:t>
      </w:r>
      <w:r>
        <w:rPr>
          <w:sz w:val="21"/>
        </w:rPr>
        <w:t>；</w:t>
      </w:r>
    </w:p>
    <w:p>
      <w:pPr>
        <w:pStyle w:val="5"/>
        <w:spacing w:before="6"/>
        <w:rPr>
          <w:sz w:val="15"/>
        </w:rPr>
      </w:pPr>
    </w:p>
    <w:p>
      <w:pPr>
        <w:pStyle w:val="12"/>
        <w:numPr>
          <w:ilvl w:val="0"/>
          <w:numId w:val="38"/>
        </w:numPr>
        <w:tabs>
          <w:tab w:val="left" w:pos="1052"/>
          <w:tab w:val="left" w:pos="1053"/>
        </w:tabs>
        <w:spacing w:before="0" w:after="0" w:line="240" w:lineRule="auto"/>
        <w:ind w:left="1052" w:right="0" w:hanging="416"/>
        <w:jc w:val="left"/>
        <w:rPr>
          <w:sz w:val="21"/>
        </w:rPr>
      </w:pPr>
      <w:r>
        <w:rPr>
          <w:spacing w:val="-5"/>
          <w:sz w:val="21"/>
        </w:rPr>
        <w:t xml:space="preserve">浴缸距地面高度不应大于 </w:t>
      </w:r>
      <w:r>
        <w:rPr>
          <w:sz w:val="21"/>
        </w:rPr>
        <w:t>450</w:t>
      </w:r>
      <w:r>
        <w:rPr>
          <w:spacing w:val="-2"/>
          <w:sz w:val="21"/>
        </w:rPr>
        <w:t xml:space="preserve"> </w:t>
      </w:r>
      <w:r>
        <w:rPr>
          <w:rFonts w:hint="eastAsia" w:ascii="仿宋" w:eastAsia="仿宋"/>
          <w:sz w:val="21"/>
        </w:rPr>
        <w:t>mm</w:t>
      </w:r>
      <w:r>
        <w:rPr>
          <w:sz w:val="21"/>
        </w:rPr>
        <w:t>，在浴盆一端应设置方便进入和使用的坐台；</w:t>
      </w:r>
    </w:p>
    <w:p>
      <w:pPr>
        <w:pStyle w:val="5"/>
        <w:spacing w:before="7"/>
        <w:rPr>
          <w:sz w:val="15"/>
        </w:rPr>
      </w:pPr>
    </w:p>
    <w:p>
      <w:pPr>
        <w:pStyle w:val="12"/>
        <w:numPr>
          <w:ilvl w:val="0"/>
          <w:numId w:val="38"/>
        </w:numPr>
        <w:tabs>
          <w:tab w:val="left" w:pos="1052"/>
          <w:tab w:val="left" w:pos="1053"/>
        </w:tabs>
        <w:spacing w:before="0" w:after="0" w:line="240" w:lineRule="auto"/>
        <w:ind w:left="1052" w:right="0" w:hanging="416"/>
        <w:jc w:val="left"/>
        <w:rPr>
          <w:sz w:val="21"/>
        </w:rPr>
      </w:pPr>
      <w:r>
        <w:rPr>
          <w:sz w:val="21"/>
        </w:rPr>
        <w:t>应沿浴盆长边和洗浴坐台旁设置安全抓杆。</w:t>
      </w:r>
    </w:p>
    <w:p>
      <w:pPr>
        <w:pStyle w:val="5"/>
        <w:spacing w:before="7"/>
        <w:rPr>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127" w:name="4.2.14无障碍卫生设施与背景饰面应有亮度或颜色对比。"/>
      <w:bookmarkEnd w:id="127"/>
      <w:bookmarkStart w:id="128" w:name="4.2.14无障碍卫生设施与背景饰面应有亮度或颜色对比。"/>
      <w:bookmarkEnd w:id="128"/>
      <w:r>
        <w:rPr>
          <w:sz w:val="21"/>
        </w:rPr>
        <w:t>无障碍卫生设施与背景饰面应有亮度或颜色对比。</w:t>
      </w:r>
    </w:p>
    <w:p>
      <w:pPr>
        <w:pStyle w:val="5"/>
        <w:spacing w:before="6"/>
        <w:rPr>
          <w:sz w:val="15"/>
        </w:rPr>
      </w:pPr>
    </w:p>
    <w:p>
      <w:pPr>
        <w:pStyle w:val="12"/>
        <w:numPr>
          <w:ilvl w:val="2"/>
          <w:numId w:val="32"/>
        </w:numPr>
        <w:tabs>
          <w:tab w:val="left" w:pos="1052"/>
          <w:tab w:val="left" w:pos="1053"/>
        </w:tabs>
        <w:spacing w:before="1" w:after="0" w:line="240" w:lineRule="auto"/>
        <w:ind w:left="1052" w:right="0" w:hanging="841"/>
        <w:jc w:val="left"/>
        <w:rPr>
          <w:sz w:val="21"/>
        </w:rPr>
      </w:pPr>
      <w:bookmarkStart w:id="129" w:name="4.2.15无障碍厨房应符合下列规定："/>
      <w:bookmarkEnd w:id="129"/>
      <w:bookmarkStart w:id="130" w:name="4.2.15无障碍厨房应符合下列规定："/>
      <w:bookmarkEnd w:id="130"/>
      <w:r>
        <w:rPr>
          <w:sz w:val="21"/>
        </w:rPr>
        <w:t>无障碍厨房应符合下列规定：</w:t>
      </w:r>
    </w:p>
    <w:p>
      <w:pPr>
        <w:pStyle w:val="5"/>
        <w:spacing w:before="6"/>
        <w:rPr>
          <w:sz w:val="15"/>
        </w:rPr>
      </w:pPr>
    </w:p>
    <w:p>
      <w:pPr>
        <w:pStyle w:val="12"/>
        <w:numPr>
          <w:ilvl w:val="0"/>
          <w:numId w:val="39"/>
        </w:numPr>
        <w:tabs>
          <w:tab w:val="left" w:pos="1052"/>
          <w:tab w:val="left" w:pos="1053"/>
        </w:tabs>
        <w:spacing w:before="0" w:after="0" w:line="240" w:lineRule="auto"/>
        <w:ind w:left="1052" w:right="0" w:hanging="416"/>
        <w:jc w:val="left"/>
        <w:rPr>
          <w:sz w:val="21"/>
        </w:rPr>
      </w:pPr>
      <w:r>
        <w:rPr>
          <w:sz w:val="21"/>
        </w:rPr>
        <w:t>厨房设施和电器应方便乘轮椅者靠近和使用；</w:t>
      </w:r>
    </w:p>
    <w:p>
      <w:pPr>
        <w:pStyle w:val="5"/>
        <w:spacing w:before="7"/>
        <w:rPr>
          <w:sz w:val="15"/>
        </w:rPr>
      </w:pPr>
    </w:p>
    <w:p>
      <w:pPr>
        <w:pStyle w:val="12"/>
        <w:numPr>
          <w:ilvl w:val="0"/>
          <w:numId w:val="39"/>
        </w:numPr>
        <w:tabs>
          <w:tab w:val="left" w:pos="1052"/>
          <w:tab w:val="left" w:pos="1053"/>
        </w:tabs>
        <w:spacing w:before="0" w:after="0" w:line="240" w:lineRule="auto"/>
        <w:ind w:left="1052" w:right="0" w:hanging="416"/>
        <w:jc w:val="left"/>
        <w:rPr>
          <w:sz w:val="21"/>
        </w:rPr>
      </w:pPr>
      <w:r>
        <w:rPr>
          <w:sz w:val="21"/>
        </w:rPr>
        <w:t>操作台面距地面高度应易于操作，其下部应留出容膝容脚空间；</w:t>
      </w:r>
    </w:p>
    <w:p>
      <w:pPr>
        <w:pStyle w:val="5"/>
        <w:spacing w:before="7"/>
        <w:rPr>
          <w:sz w:val="15"/>
        </w:rPr>
      </w:pPr>
    </w:p>
    <w:p>
      <w:pPr>
        <w:pStyle w:val="12"/>
        <w:numPr>
          <w:ilvl w:val="0"/>
          <w:numId w:val="39"/>
        </w:numPr>
        <w:tabs>
          <w:tab w:val="left" w:pos="1052"/>
          <w:tab w:val="left" w:pos="1053"/>
        </w:tabs>
        <w:spacing w:before="0" w:after="0" w:line="240" w:lineRule="auto"/>
        <w:ind w:left="1052" w:right="0" w:hanging="416"/>
        <w:jc w:val="left"/>
        <w:rPr>
          <w:sz w:val="21"/>
        </w:rPr>
      </w:pPr>
      <w:r>
        <w:rPr>
          <w:sz w:val="21"/>
        </w:rPr>
        <w:t>水槽应与工作台底部隔开。</w:t>
      </w:r>
    </w:p>
    <w:p>
      <w:pPr>
        <w:pStyle w:val="5"/>
        <w:spacing w:before="6"/>
        <w:rPr>
          <w:sz w:val="15"/>
        </w:rPr>
      </w:pPr>
    </w:p>
    <w:p>
      <w:pPr>
        <w:pStyle w:val="12"/>
        <w:numPr>
          <w:ilvl w:val="0"/>
          <w:numId w:val="40"/>
        </w:numPr>
        <w:tabs>
          <w:tab w:val="left" w:pos="4533"/>
        </w:tabs>
        <w:spacing w:before="1" w:after="0" w:line="240" w:lineRule="auto"/>
        <w:ind w:left="4532" w:right="102" w:hanging="4533"/>
        <w:jc w:val="left"/>
        <w:rPr>
          <w:rFonts w:hint="eastAsia" w:ascii="黑体" w:eastAsia="黑体"/>
          <w:sz w:val="21"/>
        </w:rPr>
      </w:pPr>
      <w:bookmarkStart w:id="131" w:name="II无障碍卫生间"/>
      <w:bookmarkEnd w:id="131"/>
      <w:bookmarkStart w:id="132" w:name="II无障碍卫生间"/>
      <w:bookmarkEnd w:id="132"/>
      <w:r>
        <w:rPr>
          <w:rFonts w:hint="eastAsia" w:ascii="黑体" w:eastAsia="黑体"/>
          <w:sz w:val="21"/>
        </w:rPr>
        <w:t>无障碍卫生间</w:t>
      </w:r>
    </w:p>
    <w:p>
      <w:pPr>
        <w:pStyle w:val="5"/>
        <w:spacing w:before="6"/>
        <w:rPr>
          <w:rFonts w:ascii="黑体"/>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133" w:name="4.2.16无障碍卫生间位置应靠近公共卫生间，面积不应小于4.00m2，内部应设"/>
      <w:bookmarkEnd w:id="133"/>
      <w:bookmarkStart w:id="134" w:name="4.2.16无障碍卫生间位置应靠近公共卫生间，面积不应小于4.00m2，内部应设"/>
      <w:bookmarkEnd w:id="134"/>
      <w:r>
        <w:rPr>
          <w:spacing w:val="-1"/>
          <w:w w:val="99"/>
          <w:sz w:val="21"/>
        </w:rPr>
        <w:t>无障碍卫生间位置应靠近公共卫生间，面积不应小于</w:t>
      </w:r>
      <w:r>
        <w:rPr>
          <w:spacing w:val="-50"/>
          <w:sz w:val="21"/>
        </w:rPr>
        <w:t xml:space="preserve"> </w:t>
      </w:r>
      <w:r>
        <w:rPr>
          <w:spacing w:val="1"/>
          <w:w w:val="99"/>
          <w:sz w:val="21"/>
        </w:rPr>
        <w:t>4</w:t>
      </w:r>
      <w:r>
        <w:rPr>
          <w:spacing w:val="-2"/>
          <w:w w:val="99"/>
          <w:sz w:val="21"/>
        </w:rPr>
        <w:t>.</w:t>
      </w:r>
      <w:r>
        <w:rPr>
          <w:spacing w:val="1"/>
          <w:w w:val="99"/>
          <w:sz w:val="21"/>
        </w:rPr>
        <w:t>00</w:t>
      </w:r>
      <w:r>
        <w:rPr>
          <w:rFonts w:hint="eastAsia" w:ascii="仿宋" w:eastAsia="仿宋"/>
          <w:spacing w:val="-2"/>
          <w:w w:val="99"/>
          <w:sz w:val="21"/>
        </w:rPr>
        <w:t>m</w:t>
      </w:r>
      <w:r>
        <w:rPr>
          <w:spacing w:val="-1"/>
          <w:w w:val="106"/>
          <w:position w:val="11"/>
          <w:sz w:val="10"/>
        </w:rPr>
        <w:t>2</w:t>
      </w:r>
      <w:r>
        <w:rPr>
          <w:spacing w:val="-1"/>
          <w:w w:val="99"/>
          <w:sz w:val="21"/>
        </w:rPr>
        <w:t>，内部应设有轮椅回转空间。</w:t>
      </w:r>
    </w:p>
    <w:p>
      <w:pPr>
        <w:pStyle w:val="5"/>
        <w:spacing w:before="7"/>
        <w:rPr>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135" w:name="4.2.17无障碍卫生间应设置水平滑动式门或向外开启的平开门。"/>
      <w:bookmarkEnd w:id="135"/>
      <w:bookmarkStart w:id="136" w:name="4.2.17无障碍卫生间应设置水平滑动式门或向外开启的平开门。"/>
      <w:bookmarkEnd w:id="136"/>
      <w:r>
        <w:rPr>
          <w:sz w:val="21"/>
        </w:rPr>
        <w:t>无障碍卫生间应设置水平滑动式门或向外开启的平开门。</w:t>
      </w:r>
    </w:p>
    <w:p>
      <w:pPr>
        <w:spacing w:after="0" w:line="240" w:lineRule="auto"/>
        <w:jc w:val="left"/>
        <w:rPr>
          <w:sz w:val="21"/>
        </w:rPr>
        <w:sectPr>
          <w:footerReference r:id="rId7" w:type="default"/>
          <w:pgSz w:w="11910" w:h="16840"/>
          <w:pgMar w:top="1580" w:right="820" w:bottom="1280" w:left="920" w:header="0" w:footer="1095" w:gutter="0"/>
          <w:pgNumType w:start="20"/>
          <w:cols w:space="720" w:num="1"/>
        </w:sectPr>
      </w:pPr>
    </w:p>
    <w:p>
      <w:pPr>
        <w:pStyle w:val="12"/>
        <w:numPr>
          <w:ilvl w:val="2"/>
          <w:numId w:val="32"/>
        </w:numPr>
        <w:tabs>
          <w:tab w:val="left" w:pos="1052"/>
          <w:tab w:val="left" w:pos="1053"/>
        </w:tabs>
        <w:spacing w:before="60" w:after="0" w:line="417" w:lineRule="auto"/>
        <w:ind w:left="212" w:right="312" w:firstLine="0"/>
        <w:jc w:val="left"/>
        <w:rPr>
          <w:sz w:val="21"/>
        </w:rPr>
      </w:pPr>
      <w:bookmarkStart w:id="137" w:name="4.2.18无障碍卫生间内部应设置无障碍坐便器、无障碍洗手/面盆、多功能台、低位"/>
      <w:bookmarkEnd w:id="137"/>
      <w:bookmarkStart w:id="138" w:name="4.2.18无障碍卫生间内部应设置无障碍坐便器、无障碍洗手/面盆、多功能台、低位"/>
      <w:bookmarkEnd w:id="138"/>
      <w:r>
        <w:rPr>
          <w:sz w:val="21"/>
        </w:rPr>
        <w:t>无障碍卫生间内部应设置无障碍坐便器、无障碍洗手</w:t>
      </w:r>
      <w:r>
        <w:rPr>
          <w:spacing w:val="3"/>
          <w:sz w:val="21"/>
        </w:rPr>
        <w:t>/</w:t>
      </w:r>
      <w:r>
        <w:rPr>
          <w:sz w:val="21"/>
        </w:rPr>
        <w:t>面盆、多功能台、低位挂衣钩和求助呼叫按钮。</w:t>
      </w:r>
    </w:p>
    <w:p>
      <w:pPr>
        <w:pStyle w:val="12"/>
        <w:numPr>
          <w:ilvl w:val="2"/>
          <w:numId w:val="32"/>
        </w:numPr>
        <w:tabs>
          <w:tab w:val="left" w:pos="1052"/>
          <w:tab w:val="left" w:pos="1053"/>
        </w:tabs>
        <w:spacing w:before="0" w:after="0" w:line="269" w:lineRule="exact"/>
        <w:ind w:left="1052" w:right="0" w:hanging="841"/>
        <w:jc w:val="left"/>
        <w:rPr>
          <w:sz w:val="21"/>
        </w:rPr>
      </w:pPr>
      <w:bookmarkStart w:id="139" w:name="4.2.19无障碍卫生间入口应设置标识设施。"/>
      <w:bookmarkEnd w:id="139"/>
      <w:bookmarkStart w:id="140" w:name="4.2.19无障碍卫生间入口应设置标识设施。"/>
      <w:bookmarkEnd w:id="140"/>
      <w:r>
        <w:rPr>
          <w:sz w:val="21"/>
        </w:rPr>
        <w:t>无障碍卫生间入口应设置标识设施。</w:t>
      </w:r>
    </w:p>
    <w:p>
      <w:pPr>
        <w:pStyle w:val="5"/>
        <w:spacing w:before="6"/>
        <w:rPr>
          <w:sz w:val="15"/>
        </w:rPr>
      </w:pPr>
    </w:p>
    <w:p>
      <w:pPr>
        <w:pStyle w:val="12"/>
        <w:numPr>
          <w:ilvl w:val="0"/>
          <w:numId w:val="40"/>
        </w:numPr>
        <w:tabs>
          <w:tab w:val="left" w:pos="4692"/>
        </w:tabs>
        <w:spacing w:before="1" w:after="0" w:line="240" w:lineRule="auto"/>
        <w:ind w:left="4691" w:right="99" w:hanging="4692"/>
        <w:jc w:val="left"/>
        <w:rPr>
          <w:rFonts w:hint="eastAsia" w:ascii="仿宋" w:eastAsia="仿宋"/>
          <w:sz w:val="21"/>
        </w:rPr>
      </w:pPr>
      <w:bookmarkStart w:id="141" w:name="III第三卫生间"/>
      <w:bookmarkEnd w:id="141"/>
      <w:bookmarkStart w:id="142" w:name="III第三卫生间"/>
      <w:bookmarkEnd w:id="142"/>
      <w:r>
        <w:rPr>
          <w:rFonts w:hint="eastAsia" w:ascii="黑体" w:eastAsia="黑体"/>
          <w:sz w:val="21"/>
        </w:rPr>
        <w:t>第三卫生间</w:t>
      </w:r>
    </w:p>
    <w:p>
      <w:pPr>
        <w:pStyle w:val="5"/>
        <w:spacing w:before="6"/>
        <w:rPr>
          <w:rFonts w:ascii="黑体"/>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143" w:name="4.2.20第三卫生间设计应符合现行行业标准《城市公共厕所设计标准》CJJ 14"/>
      <w:bookmarkEnd w:id="143"/>
      <w:bookmarkStart w:id="144" w:name="4.2.20第三卫生间设计应符合现行行业标准《城市公共厕所设计标准》CJJ 14"/>
      <w:bookmarkEnd w:id="144"/>
      <w:r>
        <w:rPr>
          <w:sz w:val="21"/>
        </w:rPr>
        <w:t>第三卫生间设计应符合现行行业标准《城市公共厕所设计标准》</w:t>
      </w:r>
      <w:r>
        <w:rPr>
          <w:rFonts w:hint="eastAsia" w:ascii="仿宋" w:eastAsia="仿宋"/>
          <w:sz w:val="21"/>
        </w:rPr>
        <w:t>CJJ</w:t>
      </w:r>
      <w:r>
        <w:rPr>
          <w:rFonts w:hint="eastAsia" w:ascii="仿宋" w:eastAsia="仿宋"/>
          <w:spacing w:val="-3"/>
          <w:sz w:val="21"/>
        </w:rPr>
        <w:t xml:space="preserve"> </w:t>
      </w:r>
      <w:r>
        <w:rPr>
          <w:sz w:val="21"/>
        </w:rPr>
        <w:t>14</w:t>
      </w:r>
      <w:r>
        <w:rPr>
          <w:spacing w:val="-10"/>
          <w:sz w:val="21"/>
        </w:rPr>
        <w:t xml:space="preserve"> 有关规定。</w:t>
      </w:r>
    </w:p>
    <w:p>
      <w:pPr>
        <w:pStyle w:val="5"/>
        <w:spacing w:before="7"/>
        <w:rPr>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145" w:name="4.2.21第三卫生间应符合下列规定："/>
      <w:bookmarkEnd w:id="145"/>
      <w:bookmarkStart w:id="146" w:name="4.2.21第三卫生间应符合下列规定："/>
      <w:bookmarkEnd w:id="146"/>
      <w:r>
        <w:rPr>
          <w:sz w:val="21"/>
        </w:rPr>
        <w:t>第三卫生间应符合下列规定：</w:t>
      </w:r>
    </w:p>
    <w:p>
      <w:pPr>
        <w:pStyle w:val="5"/>
        <w:spacing w:before="7"/>
        <w:rPr>
          <w:sz w:val="15"/>
        </w:rPr>
      </w:pPr>
    </w:p>
    <w:p>
      <w:pPr>
        <w:pStyle w:val="12"/>
        <w:numPr>
          <w:ilvl w:val="0"/>
          <w:numId w:val="41"/>
        </w:numPr>
        <w:tabs>
          <w:tab w:val="left" w:pos="1052"/>
          <w:tab w:val="left" w:pos="1053"/>
        </w:tabs>
        <w:spacing w:before="0" w:after="0" w:line="240" w:lineRule="auto"/>
        <w:ind w:left="1052" w:right="0" w:hanging="416"/>
        <w:jc w:val="left"/>
        <w:rPr>
          <w:sz w:val="21"/>
        </w:rPr>
      </w:pPr>
      <w:r>
        <w:rPr>
          <w:spacing w:val="-1"/>
          <w:w w:val="99"/>
          <w:sz w:val="21"/>
        </w:rPr>
        <w:t>位置宜靠近公共卫生间，面积不应小于</w:t>
      </w:r>
      <w:r>
        <w:rPr>
          <w:spacing w:val="-50"/>
          <w:sz w:val="21"/>
        </w:rPr>
        <w:t xml:space="preserve"> </w:t>
      </w:r>
      <w:r>
        <w:rPr>
          <w:spacing w:val="-2"/>
          <w:w w:val="99"/>
          <w:sz w:val="21"/>
        </w:rPr>
        <w:t>6</w:t>
      </w:r>
      <w:r>
        <w:rPr>
          <w:spacing w:val="1"/>
          <w:w w:val="99"/>
          <w:sz w:val="21"/>
        </w:rPr>
        <w:t>.50</w:t>
      </w:r>
      <w:r>
        <w:rPr>
          <w:rFonts w:hint="eastAsia" w:ascii="仿宋" w:eastAsia="仿宋"/>
          <w:spacing w:val="-2"/>
          <w:w w:val="99"/>
          <w:sz w:val="21"/>
        </w:rPr>
        <w:t>m</w:t>
      </w:r>
      <w:r>
        <w:rPr>
          <w:spacing w:val="-1"/>
          <w:w w:val="106"/>
          <w:position w:val="11"/>
          <w:sz w:val="10"/>
        </w:rPr>
        <w:t>2</w:t>
      </w:r>
      <w:r>
        <w:rPr>
          <w:w w:val="99"/>
          <w:sz w:val="21"/>
        </w:rPr>
        <w:t>；</w:t>
      </w:r>
    </w:p>
    <w:p>
      <w:pPr>
        <w:pStyle w:val="5"/>
        <w:spacing w:before="6"/>
        <w:rPr>
          <w:sz w:val="15"/>
        </w:rPr>
      </w:pPr>
    </w:p>
    <w:p>
      <w:pPr>
        <w:pStyle w:val="12"/>
        <w:numPr>
          <w:ilvl w:val="0"/>
          <w:numId w:val="41"/>
        </w:numPr>
        <w:tabs>
          <w:tab w:val="left" w:pos="1052"/>
          <w:tab w:val="left" w:pos="1053"/>
        </w:tabs>
        <w:spacing w:before="1" w:after="0" w:line="417" w:lineRule="auto"/>
        <w:ind w:left="212" w:right="312" w:firstLine="424"/>
        <w:jc w:val="left"/>
        <w:rPr>
          <w:sz w:val="21"/>
        </w:rPr>
      </w:pPr>
      <w:r>
        <w:rPr>
          <w:spacing w:val="-2"/>
          <w:w w:val="95"/>
          <w:sz w:val="21"/>
        </w:rPr>
        <w:t xml:space="preserve">宜设置水平滑动式门或向外开启的平开门；如采用外开的手动平开门，在关闭的门扇里侧宜设置   </w:t>
      </w:r>
      <w:r>
        <w:rPr>
          <w:spacing w:val="-27"/>
          <w:sz w:val="21"/>
        </w:rPr>
        <w:t xml:space="preserve">高 </w:t>
      </w:r>
      <w:r>
        <w:rPr>
          <w:sz w:val="21"/>
        </w:rPr>
        <w:t>0.85</w:t>
      </w:r>
      <w:r>
        <w:rPr>
          <w:rFonts w:hint="eastAsia" w:ascii="仿宋" w:eastAsia="仿宋"/>
          <w:sz w:val="21"/>
        </w:rPr>
        <w:t>m</w:t>
      </w:r>
      <w:r>
        <w:rPr>
          <w:sz w:val="21"/>
        </w:rPr>
        <w:t>～1.00</w:t>
      </w:r>
      <w:r>
        <w:rPr>
          <w:rFonts w:hint="eastAsia" w:ascii="仿宋" w:eastAsia="仿宋"/>
          <w:sz w:val="21"/>
        </w:rPr>
        <w:t>m</w:t>
      </w:r>
      <w:r>
        <w:rPr>
          <w:rFonts w:hint="eastAsia" w:ascii="仿宋" w:eastAsia="仿宋"/>
          <w:spacing w:val="-52"/>
          <w:sz w:val="21"/>
        </w:rPr>
        <w:t xml:space="preserve"> </w:t>
      </w:r>
      <w:r>
        <w:rPr>
          <w:sz w:val="21"/>
        </w:rPr>
        <w:t>的关门拉手；</w:t>
      </w:r>
    </w:p>
    <w:p>
      <w:pPr>
        <w:pStyle w:val="12"/>
        <w:numPr>
          <w:ilvl w:val="0"/>
          <w:numId w:val="41"/>
        </w:numPr>
        <w:tabs>
          <w:tab w:val="left" w:pos="1052"/>
          <w:tab w:val="left" w:pos="1053"/>
        </w:tabs>
        <w:spacing w:before="0" w:after="0" w:line="269" w:lineRule="exact"/>
        <w:ind w:left="1052" w:right="0" w:hanging="416"/>
        <w:jc w:val="left"/>
        <w:rPr>
          <w:sz w:val="21"/>
        </w:rPr>
      </w:pPr>
      <w:r>
        <w:rPr>
          <w:sz w:val="21"/>
        </w:rPr>
        <w:t>内部应留有轮椅回转空间；</w:t>
      </w:r>
    </w:p>
    <w:p>
      <w:pPr>
        <w:pStyle w:val="5"/>
        <w:spacing w:before="6"/>
        <w:rPr>
          <w:sz w:val="15"/>
        </w:rPr>
      </w:pPr>
    </w:p>
    <w:p>
      <w:pPr>
        <w:pStyle w:val="12"/>
        <w:numPr>
          <w:ilvl w:val="0"/>
          <w:numId w:val="41"/>
        </w:numPr>
        <w:tabs>
          <w:tab w:val="left" w:pos="1052"/>
          <w:tab w:val="left" w:pos="1053"/>
        </w:tabs>
        <w:spacing w:before="0" w:after="0" w:line="417" w:lineRule="auto"/>
        <w:ind w:left="212" w:right="312" w:firstLine="424"/>
        <w:jc w:val="left"/>
        <w:rPr>
          <w:sz w:val="21"/>
        </w:rPr>
      </w:pPr>
      <w:r>
        <w:rPr>
          <w:sz w:val="21"/>
        </w:rPr>
        <w:t>内部可设置无障碍坐便器、无障碍洗手</w:t>
      </w:r>
      <w:r>
        <w:rPr>
          <w:spacing w:val="3"/>
          <w:sz w:val="21"/>
        </w:rPr>
        <w:t>/</w:t>
      </w:r>
      <w:r>
        <w:rPr>
          <w:sz w:val="21"/>
        </w:rPr>
        <w:t>面盆、低位挂衣钩、求助呼叫按钮、婴儿护理台、儿童安全座椅、儿童坐便器、儿童洗手/面盆；</w:t>
      </w:r>
    </w:p>
    <w:p>
      <w:pPr>
        <w:pStyle w:val="12"/>
        <w:numPr>
          <w:ilvl w:val="0"/>
          <w:numId w:val="41"/>
        </w:numPr>
        <w:tabs>
          <w:tab w:val="left" w:pos="1052"/>
          <w:tab w:val="left" w:pos="1053"/>
        </w:tabs>
        <w:spacing w:before="0" w:after="0" w:line="269" w:lineRule="exact"/>
        <w:ind w:left="1052" w:right="0" w:hanging="416"/>
        <w:jc w:val="left"/>
        <w:rPr>
          <w:sz w:val="21"/>
        </w:rPr>
      </w:pPr>
      <w:r>
        <w:rPr>
          <w:sz w:val="21"/>
        </w:rPr>
        <w:t>婴儿护理台和儿童安全座椅应可折叠并设有安全带；</w:t>
      </w:r>
    </w:p>
    <w:p>
      <w:pPr>
        <w:pStyle w:val="5"/>
        <w:spacing w:before="7"/>
        <w:rPr>
          <w:sz w:val="15"/>
        </w:rPr>
      </w:pPr>
    </w:p>
    <w:p>
      <w:pPr>
        <w:pStyle w:val="12"/>
        <w:numPr>
          <w:ilvl w:val="0"/>
          <w:numId w:val="41"/>
        </w:numPr>
        <w:tabs>
          <w:tab w:val="left" w:pos="1052"/>
          <w:tab w:val="left" w:pos="1053"/>
        </w:tabs>
        <w:spacing w:before="0" w:after="0" w:line="240" w:lineRule="auto"/>
        <w:ind w:left="1052" w:right="0" w:hanging="416"/>
        <w:jc w:val="left"/>
        <w:rPr>
          <w:sz w:val="21"/>
        </w:rPr>
      </w:pPr>
      <w:r>
        <w:rPr>
          <w:sz w:val="21"/>
        </w:rPr>
        <w:t>入口应设置标识设施。</w:t>
      </w:r>
    </w:p>
    <w:p>
      <w:pPr>
        <w:pStyle w:val="5"/>
        <w:spacing w:before="7"/>
        <w:rPr>
          <w:sz w:val="15"/>
        </w:rPr>
      </w:pPr>
    </w:p>
    <w:p>
      <w:pPr>
        <w:pStyle w:val="12"/>
        <w:numPr>
          <w:ilvl w:val="0"/>
          <w:numId w:val="40"/>
        </w:numPr>
        <w:tabs>
          <w:tab w:val="left" w:pos="4639"/>
        </w:tabs>
        <w:spacing w:before="0" w:after="0" w:line="240" w:lineRule="auto"/>
        <w:ind w:left="4638" w:right="99" w:hanging="4639"/>
        <w:jc w:val="left"/>
        <w:rPr>
          <w:rFonts w:hint="eastAsia" w:ascii="黑体" w:eastAsia="黑体"/>
          <w:sz w:val="21"/>
        </w:rPr>
      </w:pPr>
      <w:bookmarkStart w:id="147" w:name="IV公共卫生间"/>
      <w:bookmarkEnd w:id="147"/>
      <w:bookmarkStart w:id="148" w:name="IV公共卫生间"/>
      <w:bookmarkEnd w:id="148"/>
      <w:r>
        <w:rPr>
          <w:rFonts w:hint="eastAsia" w:ascii="黑体" w:eastAsia="黑体"/>
          <w:sz w:val="21"/>
        </w:rPr>
        <w:t>公共卫生间</w:t>
      </w:r>
    </w:p>
    <w:p>
      <w:pPr>
        <w:pStyle w:val="5"/>
        <w:spacing w:before="6"/>
        <w:rPr>
          <w:rFonts w:ascii="黑体"/>
          <w:sz w:val="15"/>
        </w:rPr>
      </w:pPr>
    </w:p>
    <w:p>
      <w:pPr>
        <w:pStyle w:val="12"/>
        <w:numPr>
          <w:ilvl w:val="2"/>
          <w:numId w:val="32"/>
        </w:numPr>
        <w:tabs>
          <w:tab w:val="left" w:pos="1052"/>
          <w:tab w:val="left" w:pos="1053"/>
        </w:tabs>
        <w:spacing w:before="1" w:after="0" w:line="417" w:lineRule="auto"/>
        <w:ind w:left="212" w:right="312" w:firstLine="0"/>
        <w:jc w:val="left"/>
        <w:rPr>
          <w:sz w:val="21"/>
        </w:rPr>
      </w:pPr>
      <w:bookmarkStart w:id="149" w:name="4.2.22没有条件单独配置无障碍卫生间或第三卫生间的公共建筑，其每层男、女公共"/>
      <w:bookmarkEnd w:id="149"/>
      <w:bookmarkStart w:id="150" w:name="4.2.22没有条件单独配置无障碍卫生间或第三卫生间的公共建筑，其每层男、女公共"/>
      <w:bookmarkEnd w:id="150"/>
      <w:r>
        <w:rPr>
          <w:spacing w:val="-2"/>
          <w:w w:val="95"/>
          <w:sz w:val="21"/>
        </w:rPr>
        <w:t xml:space="preserve">没有条件单独配置无障碍卫生间或第三卫生间的公共建筑，其每层男、女公共卫生间应至少分别   </w:t>
      </w:r>
      <w:r>
        <w:rPr>
          <w:spacing w:val="-19"/>
          <w:sz w:val="21"/>
        </w:rPr>
        <w:t xml:space="preserve">设置 </w:t>
      </w:r>
      <w:r>
        <w:rPr>
          <w:sz w:val="21"/>
        </w:rPr>
        <w:t>1</w:t>
      </w:r>
      <w:r>
        <w:rPr>
          <w:spacing w:val="-8"/>
          <w:sz w:val="21"/>
        </w:rPr>
        <w:t xml:space="preserve"> 个满足无障碍要求的公共卫生间。</w:t>
      </w:r>
    </w:p>
    <w:p>
      <w:pPr>
        <w:pStyle w:val="12"/>
        <w:numPr>
          <w:ilvl w:val="2"/>
          <w:numId w:val="32"/>
        </w:numPr>
        <w:tabs>
          <w:tab w:val="left" w:pos="1052"/>
          <w:tab w:val="left" w:pos="1053"/>
        </w:tabs>
        <w:spacing w:before="0" w:after="0" w:line="269" w:lineRule="exact"/>
        <w:ind w:left="1052" w:right="0" w:hanging="841"/>
        <w:jc w:val="left"/>
        <w:rPr>
          <w:sz w:val="21"/>
        </w:rPr>
      </w:pPr>
      <w:bookmarkStart w:id="151" w:name="4.2.23满足无障碍要求的公共卫生间应符合下列规定："/>
      <w:bookmarkEnd w:id="151"/>
      <w:bookmarkStart w:id="152" w:name="4.2.23满足无障碍要求的公共卫生间应符合下列规定："/>
      <w:bookmarkEnd w:id="152"/>
      <w:r>
        <w:rPr>
          <w:sz w:val="21"/>
        </w:rPr>
        <w:t>满足无障碍要求的公共卫生间应符合下列规定：</w:t>
      </w:r>
    </w:p>
    <w:p>
      <w:pPr>
        <w:pStyle w:val="5"/>
        <w:spacing w:before="6"/>
        <w:rPr>
          <w:sz w:val="15"/>
        </w:rPr>
      </w:pPr>
    </w:p>
    <w:p>
      <w:pPr>
        <w:pStyle w:val="12"/>
        <w:numPr>
          <w:ilvl w:val="0"/>
          <w:numId w:val="42"/>
        </w:numPr>
        <w:tabs>
          <w:tab w:val="left" w:pos="1052"/>
          <w:tab w:val="left" w:pos="1053"/>
        </w:tabs>
        <w:spacing w:before="0" w:after="0" w:line="417" w:lineRule="auto"/>
        <w:ind w:left="212" w:right="315" w:firstLine="424"/>
        <w:jc w:val="left"/>
        <w:rPr>
          <w:sz w:val="21"/>
        </w:rPr>
      </w:pPr>
      <w:r>
        <w:rPr>
          <w:spacing w:val="-1"/>
          <w:w w:val="95"/>
          <w:sz w:val="21"/>
        </w:rPr>
        <w:t>女卫生间应设置有无障碍厕位、无障碍洗手</w:t>
      </w:r>
      <w:r>
        <w:rPr>
          <w:w w:val="95"/>
          <w:sz w:val="21"/>
        </w:rPr>
        <w:t>/面盆和儿童洗手/</w:t>
      </w:r>
      <w:r>
        <w:rPr>
          <w:spacing w:val="-3"/>
          <w:w w:val="95"/>
          <w:sz w:val="21"/>
        </w:rPr>
        <w:t xml:space="preserve">面盆；男卫生间应设置有无障碍厕   </w:t>
      </w:r>
      <w:r>
        <w:rPr>
          <w:spacing w:val="-3"/>
          <w:sz w:val="21"/>
        </w:rPr>
        <w:t>位、无障碍小便器、无障碍洗手/面盆和儿童洗手/面盆；</w:t>
      </w:r>
    </w:p>
    <w:p>
      <w:pPr>
        <w:pStyle w:val="12"/>
        <w:numPr>
          <w:ilvl w:val="0"/>
          <w:numId w:val="42"/>
        </w:numPr>
        <w:tabs>
          <w:tab w:val="left" w:pos="1052"/>
          <w:tab w:val="left" w:pos="1053"/>
        </w:tabs>
        <w:spacing w:before="0" w:after="0" w:line="269" w:lineRule="exact"/>
        <w:ind w:left="1052" w:right="0" w:hanging="416"/>
        <w:jc w:val="left"/>
        <w:rPr>
          <w:sz w:val="21"/>
        </w:rPr>
      </w:pPr>
      <w:r>
        <w:rPr>
          <w:sz w:val="21"/>
        </w:rPr>
        <w:t>内部应留有轮椅回转空间；</w:t>
      </w:r>
    </w:p>
    <w:p>
      <w:pPr>
        <w:pStyle w:val="5"/>
        <w:spacing w:before="7"/>
        <w:rPr>
          <w:sz w:val="15"/>
        </w:rPr>
      </w:pPr>
    </w:p>
    <w:p>
      <w:pPr>
        <w:pStyle w:val="12"/>
        <w:numPr>
          <w:ilvl w:val="0"/>
          <w:numId w:val="42"/>
        </w:numPr>
        <w:tabs>
          <w:tab w:val="left" w:pos="1052"/>
          <w:tab w:val="left" w:pos="1053"/>
        </w:tabs>
        <w:spacing w:before="0" w:after="0" w:line="240" w:lineRule="auto"/>
        <w:ind w:left="1052" w:right="0" w:hanging="416"/>
        <w:jc w:val="left"/>
        <w:rPr>
          <w:sz w:val="21"/>
        </w:rPr>
      </w:pPr>
      <w:r>
        <w:rPr>
          <w:sz w:val="21"/>
        </w:rPr>
        <w:t>人流密集场所公共卫生间内女厕位数量应为男厕位（大、小便器之和）</w:t>
      </w:r>
      <w:r>
        <w:rPr>
          <w:spacing w:val="-26"/>
          <w:sz w:val="21"/>
        </w:rPr>
        <w:t xml:space="preserve">的 </w:t>
      </w:r>
      <w:r>
        <w:rPr>
          <w:sz w:val="21"/>
        </w:rPr>
        <w:t>2</w:t>
      </w:r>
      <w:r>
        <w:rPr>
          <w:spacing w:val="-12"/>
          <w:sz w:val="21"/>
        </w:rPr>
        <w:t xml:space="preserve"> 倍以上；</w:t>
      </w:r>
    </w:p>
    <w:p>
      <w:pPr>
        <w:pStyle w:val="5"/>
        <w:spacing w:before="7"/>
        <w:rPr>
          <w:sz w:val="15"/>
        </w:rPr>
      </w:pPr>
    </w:p>
    <w:p>
      <w:pPr>
        <w:pStyle w:val="12"/>
        <w:numPr>
          <w:ilvl w:val="0"/>
          <w:numId w:val="42"/>
        </w:numPr>
        <w:tabs>
          <w:tab w:val="left" w:pos="1052"/>
          <w:tab w:val="left" w:pos="1053"/>
        </w:tabs>
        <w:spacing w:before="0" w:after="0" w:line="240" w:lineRule="auto"/>
        <w:ind w:left="1052" w:right="0" w:hanging="416"/>
        <w:jc w:val="left"/>
        <w:rPr>
          <w:sz w:val="21"/>
        </w:rPr>
      </w:pPr>
      <w:r>
        <w:rPr>
          <w:spacing w:val="-3"/>
          <w:sz w:val="21"/>
        </w:rPr>
        <w:t xml:space="preserve">门应方便开启，通行净宽度不应小于 </w:t>
      </w:r>
      <w:r>
        <w:rPr>
          <w:sz w:val="21"/>
        </w:rPr>
        <w:t>800</w:t>
      </w:r>
      <w:r>
        <w:rPr>
          <w:rFonts w:hint="eastAsia" w:ascii="仿宋" w:eastAsia="仿宋"/>
          <w:sz w:val="21"/>
        </w:rPr>
        <w:t>mm</w:t>
      </w:r>
      <w:r>
        <w:rPr>
          <w:sz w:val="21"/>
        </w:rPr>
        <w:t>；</w:t>
      </w:r>
    </w:p>
    <w:p>
      <w:pPr>
        <w:pStyle w:val="5"/>
        <w:spacing w:before="6"/>
        <w:rPr>
          <w:sz w:val="15"/>
        </w:rPr>
      </w:pPr>
    </w:p>
    <w:p>
      <w:pPr>
        <w:pStyle w:val="12"/>
        <w:numPr>
          <w:ilvl w:val="0"/>
          <w:numId w:val="42"/>
        </w:numPr>
        <w:tabs>
          <w:tab w:val="left" w:pos="1052"/>
          <w:tab w:val="left" w:pos="1053"/>
        </w:tabs>
        <w:spacing w:before="1" w:after="0" w:line="240" w:lineRule="auto"/>
        <w:ind w:left="1052" w:right="0" w:hanging="416"/>
        <w:jc w:val="left"/>
        <w:rPr>
          <w:sz w:val="21"/>
        </w:rPr>
      </w:pPr>
      <w:r>
        <w:rPr>
          <w:sz w:val="21"/>
        </w:rPr>
        <w:t>地面应防滑。</w:t>
      </w:r>
    </w:p>
    <w:p>
      <w:pPr>
        <w:pStyle w:val="5"/>
        <w:spacing w:before="6"/>
        <w:rPr>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153" w:name="4.2.24无障碍厕位应符合下列规定："/>
      <w:bookmarkEnd w:id="153"/>
      <w:bookmarkStart w:id="154" w:name="4.2.24无障碍厕位应符合下列规定："/>
      <w:bookmarkEnd w:id="154"/>
      <w:r>
        <w:rPr>
          <w:sz w:val="21"/>
        </w:rPr>
        <w:t>无障碍厕位应符合下列规定：</w:t>
      </w:r>
    </w:p>
    <w:p>
      <w:pPr>
        <w:pStyle w:val="5"/>
        <w:spacing w:before="7"/>
        <w:rPr>
          <w:sz w:val="15"/>
        </w:rPr>
      </w:pPr>
    </w:p>
    <w:p>
      <w:pPr>
        <w:pStyle w:val="12"/>
        <w:numPr>
          <w:ilvl w:val="0"/>
          <w:numId w:val="43"/>
        </w:numPr>
        <w:tabs>
          <w:tab w:val="left" w:pos="1052"/>
          <w:tab w:val="left" w:pos="1053"/>
        </w:tabs>
        <w:spacing w:before="0" w:after="0" w:line="240" w:lineRule="auto"/>
        <w:ind w:left="1052" w:right="0" w:hanging="416"/>
        <w:jc w:val="left"/>
        <w:rPr>
          <w:sz w:val="21"/>
        </w:rPr>
      </w:pPr>
      <w:r>
        <w:rPr>
          <w:spacing w:val="-3"/>
          <w:sz w:val="21"/>
        </w:rPr>
        <w:t xml:space="preserve">应方便乘轮椅者到达和进出，尺寸不应小于 </w:t>
      </w:r>
      <w:r>
        <w:rPr>
          <w:sz w:val="21"/>
        </w:rPr>
        <w:t>1.80</w:t>
      </w:r>
      <w:r>
        <w:rPr>
          <w:rFonts w:hint="eastAsia" w:ascii="仿宋" w:hAnsi="仿宋" w:eastAsia="仿宋"/>
          <w:sz w:val="21"/>
        </w:rPr>
        <w:t>m</w:t>
      </w:r>
      <w:r>
        <w:rPr>
          <w:sz w:val="21"/>
        </w:rPr>
        <w:t>×1.50</w:t>
      </w:r>
      <w:r>
        <w:rPr>
          <w:rFonts w:hint="eastAsia" w:ascii="仿宋" w:hAnsi="仿宋" w:eastAsia="仿宋"/>
          <w:sz w:val="21"/>
        </w:rPr>
        <w:t>m</w:t>
      </w:r>
      <w:r>
        <w:rPr>
          <w:sz w:val="21"/>
        </w:rPr>
        <w:t>；</w:t>
      </w:r>
    </w:p>
    <w:p>
      <w:pPr>
        <w:pStyle w:val="5"/>
        <w:spacing w:before="7"/>
        <w:rPr>
          <w:sz w:val="15"/>
        </w:rPr>
      </w:pPr>
    </w:p>
    <w:p>
      <w:pPr>
        <w:pStyle w:val="12"/>
        <w:numPr>
          <w:ilvl w:val="0"/>
          <w:numId w:val="43"/>
        </w:numPr>
        <w:tabs>
          <w:tab w:val="left" w:pos="1052"/>
          <w:tab w:val="left" w:pos="1053"/>
        </w:tabs>
        <w:spacing w:before="0" w:after="0" w:line="240" w:lineRule="auto"/>
        <w:ind w:left="1052" w:right="0" w:hanging="416"/>
        <w:jc w:val="left"/>
        <w:rPr>
          <w:sz w:val="21"/>
        </w:rPr>
      </w:pPr>
      <w:r>
        <w:rPr>
          <w:spacing w:val="-2"/>
          <w:sz w:val="21"/>
        </w:rPr>
        <w:t>如采用向内开启的平开门，应在开启后厕位内留有轮椅回转空间；并应采用门外可紧急开启的门</w:t>
      </w:r>
    </w:p>
    <w:p>
      <w:pPr>
        <w:pStyle w:val="5"/>
        <w:spacing w:before="6"/>
        <w:rPr>
          <w:sz w:val="15"/>
        </w:rPr>
      </w:pPr>
    </w:p>
    <w:p>
      <w:pPr>
        <w:pStyle w:val="5"/>
        <w:spacing w:before="1"/>
        <w:ind w:left="212"/>
      </w:pPr>
      <w:r>
        <w:t>栓；</w:t>
      </w:r>
    </w:p>
    <w:p>
      <w:pPr>
        <w:pStyle w:val="5"/>
        <w:spacing w:before="6"/>
        <w:rPr>
          <w:sz w:val="15"/>
        </w:rPr>
      </w:pPr>
    </w:p>
    <w:p>
      <w:pPr>
        <w:pStyle w:val="12"/>
        <w:numPr>
          <w:ilvl w:val="0"/>
          <w:numId w:val="43"/>
        </w:numPr>
        <w:tabs>
          <w:tab w:val="left" w:pos="1052"/>
          <w:tab w:val="left" w:pos="1053"/>
        </w:tabs>
        <w:spacing w:before="0" w:after="0" w:line="240" w:lineRule="auto"/>
        <w:ind w:left="1052" w:right="0" w:hanging="416"/>
        <w:jc w:val="left"/>
        <w:rPr>
          <w:sz w:val="21"/>
        </w:rPr>
      </w:pPr>
      <w:r>
        <w:rPr>
          <w:sz w:val="21"/>
        </w:rPr>
        <w:t>应设置无障碍坐便器；</w:t>
      </w:r>
    </w:p>
    <w:p>
      <w:pPr>
        <w:spacing w:after="0" w:line="240" w:lineRule="auto"/>
        <w:jc w:val="left"/>
        <w:rPr>
          <w:sz w:val="21"/>
        </w:rPr>
        <w:sectPr>
          <w:pgSz w:w="11910" w:h="16840"/>
          <w:pgMar w:top="1580" w:right="820" w:bottom="1280" w:left="920" w:header="0" w:footer="1095" w:gutter="0"/>
          <w:cols w:space="720" w:num="1"/>
        </w:sectPr>
      </w:pPr>
    </w:p>
    <w:p>
      <w:pPr>
        <w:pStyle w:val="12"/>
        <w:numPr>
          <w:ilvl w:val="0"/>
          <w:numId w:val="43"/>
        </w:numPr>
        <w:tabs>
          <w:tab w:val="left" w:pos="1052"/>
          <w:tab w:val="left" w:pos="1053"/>
        </w:tabs>
        <w:spacing w:before="60" w:after="0" w:line="240" w:lineRule="auto"/>
        <w:ind w:left="1052" w:right="0" w:hanging="416"/>
        <w:jc w:val="left"/>
        <w:rPr>
          <w:sz w:val="21"/>
        </w:rPr>
      </w:pPr>
      <w:r>
        <w:rPr>
          <w:sz w:val="21"/>
        </w:rPr>
        <w:t>门上应设置标识设施。</w:t>
      </w:r>
    </w:p>
    <w:p>
      <w:pPr>
        <w:pStyle w:val="5"/>
        <w:spacing w:before="1"/>
        <w:rPr>
          <w:sz w:val="10"/>
        </w:rPr>
      </w:pPr>
    </w:p>
    <w:p>
      <w:pPr>
        <w:pStyle w:val="12"/>
        <w:numPr>
          <w:ilvl w:val="0"/>
          <w:numId w:val="40"/>
        </w:numPr>
        <w:tabs>
          <w:tab w:val="left" w:pos="4797"/>
        </w:tabs>
        <w:spacing w:before="70" w:after="0" w:line="240" w:lineRule="auto"/>
        <w:ind w:left="4796" w:right="99" w:hanging="4797"/>
        <w:jc w:val="left"/>
        <w:rPr>
          <w:rFonts w:hint="eastAsia" w:ascii="黑体" w:eastAsia="黑体"/>
          <w:sz w:val="21"/>
        </w:rPr>
      </w:pPr>
      <w:bookmarkStart w:id="155" w:name="V母婴室"/>
      <w:bookmarkEnd w:id="155"/>
      <w:bookmarkStart w:id="156" w:name="V母婴室"/>
      <w:bookmarkEnd w:id="156"/>
      <w:r>
        <w:rPr>
          <w:rFonts w:hint="eastAsia" w:ascii="黑体" w:eastAsia="黑体"/>
          <w:sz w:val="21"/>
        </w:rPr>
        <w:t>母婴室</w:t>
      </w:r>
    </w:p>
    <w:p>
      <w:pPr>
        <w:pStyle w:val="5"/>
        <w:spacing w:before="6"/>
        <w:rPr>
          <w:rFonts w:ascii="黑体"/>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157" w:name="4.2.25母婴室设计应符合现行地方标准《深圳市公共场所母婴室设计规程》SJG "/>
      <w:bookmarkEnd w:id="157"/>
      <w:bookmarkStart w:id="158" w:name="4.2.25母婴室设计应符合现行地方标准《深圳市公共场所母婴室设计规程》SJG "/>
      <w:bookmarkEnd w:id="158"/>
      <w:r>
        <w:rPr>
          <w:sz w:val="21"/>
        </w:rPr>
        <w:t>母婴室设计应符合现行地方标准《深圳市公共场所母婴室设计规程》</w:t>
      </w:r>
      <w:r>
        <w:rPr>
          <w:rFonts w:hint="eastAsia" w:ascii="仿宋" w:eastAsia="仿宋"/>
          <w:sz w:val="21"/>
        </w:rPr>
        <w:t>SJG</w:t>
      </w:r>
      <w:r>
        <w:rPr>
          <w:rFonts w:hint="eastAsia" w:ascii="仿宋" w:eastAsia="仿宋"/>
          <w:spacing w:val="-3"/>
          <w:sz w:val="21"/>
        </w:rPr>
        <w:t xml:space="preserve"> </w:t>
      </w:r>
      <w:r>
        <w:rPr>
          <w:rFonts w:ascii="Calibri" w:eastAsia="Calibri"/>
          <w:sz w:val="21"/>
        </w:rPr>
        <w:t>54</w:t>
      </w:r>
      <w:r>
        <w:rPr>
          <w:rFonts w:ascii="Calibri" w:eastAsia="Calibri"/>
          <w:spacing w:val="6"/>
          <w:sz w:val="21"/>
        </w:rPr>
        <w:t xml:space="preserve"> </w:t>
      </w:r>
      <w:r>
        <w:rPr>
          <w:sz w:val="21"/>
        </w:rPr>
        <w:t>有关规定。</w:t>
      </w:r>
    </w:p>
    <w:p>
      <w:pPr>
        <w:pStyle w:val="5"/>
        <w:spacing w:before="7"/>
        <w:rPr>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159" w:name="4.2.26所有母婴经常逗留的公共场所，宜设置使用面积不小于6㎡的母婴室；"/>
      <w:bookmarkEnd w:id="159"/>
      <w:bookmarkStart w:id="160" w:name="4.2.26所有母婴经常逗留的公共场所，宜设置使用面积不小于6㎡的母婴室；"/>
      <w:bookmarkEnd w:id="160"/>
      <w:r>
        <w:rPr>
          <w:spacing w:val="-3"/>
          <w:sz w:val="21"/>
        </w:rPr>
        <w:t xml:space="preserve">所有母婴经常逗留的公共场所，宜设置使用面积不小于 </w:t>
      </w:r>
      <w:r>
        <w:rPr>
          <w:sz w:val="21"/>
        </w:rPr>
        <w:t>6</w:t>
      </w:r>
      <w:r>
        <w:rPr>
          <w:spacing w:val="-9"/>
          <w:sz w:val="21"/>
        </w:rPr>
        <w:t xml:space="preserve"> ㎡的母婴室；</w:t>
      </w:r>
    </w:p>
    <w:p>
      <w:pPr>
        <w:pStyle w:val="5"/>
        <w:spacing w:before="7"/>
        <w:rPr>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161" w:name="4.2.27母婴室应符合下列规定："/>
      <w:bookmarkEnd w:id="161"/>
      <w:bookmarkStart w:id="162" w:name="4.2.27母婴室应符合下列规定："/>
      <w:bookmarkEnd w:id="162"/>
      <w:r>
        <w:rPr>
          <w:sz w:val="21"/>
        </w:rPr>
        <w:t>母婴室应符合下列规定：</w:t>
      </w:r>
    </w:p>
    <w:p>
      <w:pPr>
        <w:pStyle w:val="5"/>
        <w:spacing w:before="7"/>
        <w:rPr>
          <w:sz w:val="15"/>
        </w:rPr>
      </w:pPr>
    </w:p>
    <w:p>
      <w:pPr>
        <w:pStyle w:val="12"/>
        <w:numPr>
          <w:ilvl w:val="0"/>
          <w:numId w:val="44"/>
        </w:numPr>
        <w:tabs>
          <w:tab w:val="left" w:pos="1052"/>
          <w:tab w:val="left" w:pos="1053"/>
        </w:tabs>
        <w:spacing w:before="0" w:after="0" w:line="240" w:lineRule="auto"/>
        <w:ind w:left="1052" w:right="0" w:hanging="416"/>
        <w:jc w:val="left"/>
        <w:rPr>
          <w:rFonts w:ascii="Calibri" w:eastAsia="Calibri"/>
          <w:sz w:val="21"/>
        </w:rPr>
      </w:pPr>
      <w:r>
        <w:rPr>
          <w:sz w:val="21"/>
        </w:rPr>
        <w:t>应有独立的出入口，如必须与公共卫生间贴邻的，其出入口应错开布置且互不干扰；</w:t>
      </w:r>
    </w:p>
    <w:p>
      <w:pPr>
        <w:pStyle w:val="5"/>
        <w:spacing w:before="6"/>
        <w:rPr>
          <w:sz w:val="15"/>
        </w:rPr>
      </w:pPr>
    </w:p>
    <w:p>
      <w:pPr>
        <w:pStyle w:val="12"/>
        <w:numPr>
          <w:ilvl w:val="0"/>
          <w:numId w:val="44"/>
        </w:numPr>
        <w:tabs>
          <w:tab w:val="left" w:pos="1052"/>
          <w:tab w:val="left" w:pos="1053"/>
        </w:tabs>
        <w:spacing w:before="0" w:after="0" w:line="240" w:lineRule="auto"/>
        <w:ind w:left="1052" w:right="0" w:hanging="416"/>
        <w:jc w:val="left"/>
        <w:rPr>
          <w:sz w:val="21"/>
        </w:rPr>
      </w:pPr>
      <w:r>
        <w:rPr>
          <w:sz w:val="21"/>
        </w:rPr>
        <w:t>内部哺乳区与护理区、休憩区之间，或哺乳单间之间，宜采用隔墙或拉帘（空间受限时）隔开；</w:t>
      </w:r>
    </w:p>
    <w:p>
      <w:pPr>
        <w:pStyle w:val="5"/>
        <w:spacing w:before="7"/>
        <w:rPr>
          <w:sz w:val="15"/>
        </w:rPr>
      </w:pPr>
    </w:p>
    <w:p>
      <w:pPr>
        <w:pStyle w:val="12"/>
        <w:numPr>
          <w:ilvl w:val="0"/>
          <w:numId w:val="44"/>
        </w:numPr>
        <w:tabs>
          <w:tab w:val="left" w:pos="1052"/>
          <w:tab w:val="left" w:pos="1053"/>
        </w:tabs>
        <w:spacing w:before="0" w:after="0" w:line="417" w:lineRule="auto"/>
        <w:ind w:left="212" w:right="310" w:firstLine="424"/>
        <w:jc w:val="left"/>
        <w:rPr>
          <w:sz w:val="21"/>
        </w:rPr>
      </w:pPr>
      <w:r>
        <w:rPr>
          <w:spacing w:val="-4"/>
          <w:sz w:val="21"/>
        </w:rPr>
        <w:t>哺乳区入口宜安装封闭门；空间受限情况下，可采用拉帘，拉帘轨道设置应牢固，拉帘两边需有固定装置；</w:t>
      </w:r>
    </w:p>
    <w:p>
      <w:pPr>
        <w:pStyle w:val="12"/>
        <w:numPr>
          <w:ilvl w:val="0"/>
          <w:numId w:val="44"/>
        </w:numPr>
        <w:tabs>
          <w:tab w:val="left" w:pos="1052"/>
          <w:tab w:val="left" w:pos="1053"/>
        </w:tabs>
        <w:spacing w:before="0" w:after="0" w:line="269" w:lineRule="exact"/>
        <w:ind w:left="1052" w:right="0" w:hanging="416"/>
        <w:jc w:val="left"/>
        <w:rPr>
          <w:sz w:val="21"/>
        </w:rPr>
      </w:pPr>
      <w:r>
        <w:rPr>
          <w:sz w:val="21"/>
        </w:rPr>
        <w:t>护理区应设置婴儿护理台；</w:t>
      </w:r>
    </w:p>
    <w:p>
      <w:pPr>
        <w:pStyle w:val="5"/>
        <w:spacing w:before="7"/>
        <w:rPr>
          <w:sz w:val="15"/>
        </w:rPr>
      </w:pPr>
    </w:p>
    <w:p>
      <w:pPr>
        <w:pStyle w:val="12"/>
        <w:numPr>
          <w:ilvl w:val="0"/>
          <w:numId w:val="44"/>
        </w:numPr>
        <w:tabs>
          <w:tab w:val="left" w:pos="1052"/>
          <w:tab w:val="left" w:pos="1053"/>
        </w:tabs>
        <w:spacing w:before="0" w:after="0" w:line="240" w:lineRule="auto"/>
        <w:ind w:left="1052" w:right="0" w:hanging="416"/>
        <w:jc w:val="left"/>
        <w:rPr>
          <w:sz w:val="21"/>
        </w:rPr>
      </w:pPr>
      <w:r>
        <w:rPr>
          <w:sz w:val="21"/>
        </w:rPr>
        <w:t>大、中型母婴室护理区应设置成人洗手/面盆；大型母婴室应设置儿童洗手/面盆；</w:t>
      </w:r>
    </w:p>
    <w:p>
      <w:pPr>
        <w:pStyle w:val="5"/>
        <w:spacing w:before="7"/>
        <w:rPr>
          <w:sz w:val="15"/>
        </w:rPr>
      </w:pPr>
    </w:p>
    <w:p>
      <w:pPr>
        <w:pStyle w:val="12"/>
        <w:numPr>
          <w:ilvl w:val="0"/>
          <w:numId w:val="44"/>
        </w:numPr>
        <w:tabs>
          <w:tab w:val="left" w:pos="1052"/>
          <w:tab w:val="left" w:pos="1053"/>
        </w:tabs>
        <w:spacing w:before="0" w:after="0" w:line="240" w:lineRule="auto"/>
        <w:ind w:left="1052" w:right="0" w:hanging="416"/>
        <w:jc w:val="left"/>
        <w:rPr>
          <w:sz w:val="21"/>
        </w:rPr>
      </w:pPr>
      <w:r>
        <w:rPr>
          <w:sz w:val="21"/>
        </w:rPr>
        <w:t>婴儿安全座椅不可设置在转角处，当设置在隔墙处时，需保证隔墙坚固稳定；</w:t>
      </w:r>
    </w:p>
    <w:p>
      <w:pPr>
        <w:pStyle w:val="5"/>
        <w:spacing w:before="6"/>
        <w:rPr>
          <w:sz w:val="15"/>
        </w:rPr>
      </w:pPr>
    </w:p>
    <w:p>
      <w:pPr>
        <w:pStyle w:val="12"/>
        <w:numPr>
          <w:ilvl w:val="0"/>
          <w:numId w:val="44"/>
        </w:numPr>
        <w:tabs>
          <w:tab w:val="left" w:pos="1052"/>
          <w:tab w:val="left" w:pos="1053"/>
        </w:tabs>
        <w:spacing w:before="0" w:after="0" w:line="240" w:lineRule="auto"/>
        <w:ind w:left="1052" w:right="0" w:hanging="416"/>
        <w:jc w:val="left"/>
        <w:rPr>
          <w:sz w:val="21"/>
        </w:rPr>
      </w:pPr>
      <w:r>
        <w:rPr>
          <w:sz w:val="21"/>
        </w:rPr>
        <w:t>内部宜设置求助呼叫按钮；</w:t>
      </w:r>
    </w:p>
    <w:p>
      <w:pPr>
        <w:pStyle w:val="5"/>
        <w:spacing w:before="7"/>
        <w:rPr>
          <w:sz w:val="15"/>
        </w:rPr>
      </w:pPr>
    </w:p>
    <w:p>
      <w:pPr>
        <w:pStyle w:val="12"/>
        <w:numPr>
          <w:ilvl w:val="0"/>
          <w:numId w:val="44"/>
        </w:numPr>
        <w:tabs>
          <w:tab w:val="left" w:pos="1052"/>
          <w:tab w:val="left" w:pos="1053"/>
        </w:tabs>
        <w:spacing w:before="0" w:after="0" w:line="240" w:lineRule="auto"/>
        <w:ind w:left="1052" w:right="0" w:hanging="416"/>
        <w:jc w:val="left"/>
        <w:rPr>
          <w:sz w:val="21"/>
        </w:rPr>
      </w:pPr>
      <w:r>
        <w:rPr>
          <w:spacing w:val="-9"/>
          <w:sz w:val="21"/>
        </w:rPr>
        <w:t xml:space="preserve">距地面高度 </w:t>
      </w:r>
      <w:r>
        <w:rPr>
          <w:sz w:val="21"/>
        </w:rPr>
        <w:t>1.30</w:t>
      </w:r>
      <w:r>
        <w:rPr>
          <w:rFonts w:hint="eastAsia" w:ascii="仿宋" w:eastAsia="仿宋"/>
          <w:sz w:val="21"/>
        </w:rPr>
        <w:t>m</w:t>
      </w:r>
      <w:r>
        <w:rPr>
          <w:rFonts w:hint="eastAsia" w:ascii="仿宋" w:eastAsia="仿宋"/>
          <w:spacing w:val="-54"/>
          <w:sz w:val="21"/>
        </w:rPr>
        <w:t xml:space="preserve"> </w:t>
      </w:r>
      <w:r>
        <w:rPr>
          <w:sz w:val="21"/>
        </w:rPr>
        <w:t>以下的内墙、窗台及窗口竖边等阳角处，应做成圆角；</w:t>
      </w:r>
    </w:p>
    <w:p>
      <w:pPr>
        <w:pStyle w:val="5"/>
        <w:spacing w:before="7"/>
        <w:rPr>
          <w:sz w:val="15"/>
        </w:rPr>
      </w:pPr>
    </w:p>
    <w:p>
      <w:pPr>
        <w:pStyle w:val="12"/>
        <w:numPr>
          <w:ilvl w:val="0"/>
          <w:numId w:val="44"/>
        </w:numPr>
        <w:tabs>
          <w:tab w:val="left" w:pos="1052"/>
          <w:tab w:val="left" w:pos="1053"/>
        </w:tabs>
        <w:spacing w:before="0" w:after="0" w:line="240" w:lineRule="auto"/>
        <w:ind w:left="1052" w:right="0" w:hanging="416"/>
        <w:jc w:val="left"/>
        <w:rPr>
          <w:sz w:val="21"/>
        </w:rPr>
      </w:pPr>
      <w:r>
        <w:rPr>
          <w:sz w:val="21"/>
        </w:rPr>
        <w:t>入口应设置标识设施。</w:t>
      </w:r>
    </w:p>
    <w:p>
      <w:pPr>
        <w:pStyle w:val="5"/>
        <w:spacing w:before="7"/>
        <w:rPr>
          <w:sz w:val="15"/>
        </w:rPr>
      </w:pPr>
    </w:p>
    <w:p>
      <w:pPr>
        <w:pStyle w:val="12"/>
        <w:numPr>
          <w:ilvl w:val="0"/>
          <w:numId w:val="40"/>
        </w:numPr>
        <w:tabs>
          <w:tab w:val="left" w:pos="4324"/>
        </w:tabs>
        <w:spacing w:before="0" w:after="0" w:line="240" w:lineRule="auto"/>
        <w:ind w:left="4324" w:right="99" w:hanging="4324"/>
        <w:jc w:val="left"/>
        <w:rPr>
          <w:rFonts w:hint="eastAsia" w:ascii="黑体" w:eastAsia="黑体"/>
          <w:sz w:val="21"/>
        </w:rPr>
      </w:pPr>
      <w:bookmarkStart w:id="163" w:name="VI公共浴室及更衣室"/>
      <w:bookmarkEnd w:id="163"/>
      <w:bookmarkStart w:id="164" w:name="VI公共浴室及更衣室"/>
      <w:bookmarkEnd w:id="164"/>
      <w:r>
        <w:rPr>
          <w:rFonts w:hint="eastAsia" w:ascii="黑体" w:eastAsia="黑体"/>
          <w:sz w:val="21"/>
        </w:rPr>
        <w:t>公共浴室及更衣室</w:t>
      </w:r>
    </w:p>
    <w:p>
      <w:pPr>
        <w:pStyle w:val="5"/>
        <w:spacing w:before="6"/>
        <w:rPr>
          <w:rFonts w:ascii="黑体"/>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165" w:name="4.2.28满足无障碍要求的公共浴室应符合下列规定："/>
      <w:bookmarkEnd w:id="165"/>
      <w:bookmarkStart w:id="166" w:name="4.2.28满足无障碍要求的公共浴室应符合下列规定："/>
      <w:bookmarkEnd w:id="166"/>
      <w:r>
        <w:rPr>
          <w:sz w:val="21"/>
        </w:rPr>
        <w:t>满足无障碍要求的公共浴室应符合下列规定：</w:t>
      </w:r>
    </w:p>
    <w:p>
      <w:pPr>
        <w:pStyle w:val="5"/>
        <w:spacing w:before="7"/>
        <w:rPr>
          <w:sz w:val="15"/>
        </w:rPr>
      </w:pPr>
    </w:p>
    <w:p>
      <w:pPr>
        <w:pStyle w:val="12"/>
        <w:numPr>
          <w:ilvl w:val="0"/>
          <w:numId w:val="45"/>
        </w:numPr>
        <w:tabs>
          <w:tab w:val="left" w:pos="1052"/>
          <w:tab w:val="left" w:pos="1053"/>
        </w:tabs>
        <w:spacing w:before="0" w:after="0" w:line="240" w:lineRule="auto"/>
        <w:ind w:left="1052" w:right="0" w:hanging="416"/>
        <w:jc w:val="left"/>
        <w:rPr>
          <w:sz w:val="21"/>
        </w:rPr>
      </w:pPr>
      <w:r>
        <w:rPr>
          <w:spacing w:val="-9"/>
          <w:sz w:val="21"/>
        </w:rPr>
        <w:t xml:space="preserve">应至少设置 </w:t>
      </w:r>
      <w:r>
        <w:rPr>
          <w:sz w:val="21"/>
        </w:rPr>
        <w:t>1</w:t>
      </w:r>
      <w:r>
        <w:rPr>
          <w:spacing w:val="-8"/>
          <w:sz w:val="21"/>
        </w:rPr>
        <w:t xml:space="preserve"> 个无障碍淋浴间</w:t>
      </w:r>
      <w:r>
        <w:rPr>
          <w:sz w:val="21"/>
        </w:rPr>
        <w:t>（或无障碍盆浴间）</w:t>
      </w:r>
      <w:r>
        <w:rPr>
          <w:spacing w:val="-26"/>
          <w:sz w:val="21"/>
        </w:rPr>
        <w:t xml:space="preserve">和 </w:t>
      </w:r>
      <w:r>
        <w:rPr>
          <w:sz w:val="21"/>
        </w:rPr>
        <w:t>1</w:t>
      </w:r>
      <w:r>
        <w:rPr>
          <w:spacing w:val="-9"/>
          <w:sz w:val="21"/>
        </w:rPr>
        <w:t xml:space="preserve"> 个无障碍洗手</w:t>
      </w:r>
      <w:r>
        <w:rPr>
          <w:sz w:val="21"/>
        </w:rPr>
        <w:t>/面盆；</w:t>
      </w:r>
    </w:p>
    <w:p>
      <w:pPr>
        <w:pStyle w:val="5"/>
        <w:spacing w:before="7"/>
        <w:rPr>
          <w:sz w:val="15"/>
        </w:rPr>
      </w:pPr>
    </w:p>
    <w:p>
      <w:pPr>
        <w:pStyle w:val="12"/>
        <w:numPr>
          <w:ilvl w:val="0"/>
          <w:numId w:val="45"/>
        </w:numPr>
        <w:tabs>
          <w:tab w:val="left" w:pos="1052"/>
          <w:tab w:val="left" w:pos="1053"/>
        </w:tabs>
        <w:spacing w:before="0" w:after="0" w:line="417" w:lineRule="auto"/>
        <w:ind w:left="212" w:right="310" w:firstLine="424"/>
        <w:jc w:val="left"/>
        <w:rPr>
          <w:sz w:val="21"/>
        </w:rPr>
      </w:pPr>
      <w:r>
        <w:rPr>
          <w:spacing w:val="-3"/>
          <w:sz w:val="21"/>
        </w:rPr>
        <w:t xml:space="preserve">无障碍淋浴间的短边宽度不应小于 </w:t>
      </w:r>
      <w:r>
        <w:rPr>
          <w:sz w:val="21"/>
        </w:rPr>
        <w:t>1.50</w:t>
      </w:r>
      <w:r>
        <w:rPr>
          <w:rFonts w:hint="eastAsia" w:ascii="仿宋" w:hAnsi="仿宋" w:eastAsia="仿宋"/>
          <w:sz w:val="21"/>
        </w:rPr>
        <w:t>m</w:t>
      </w:r>
      <w:r>
        <w:rPr>
          <w:spacing w:val="-4"/>
          <w:sz w:val="21"/>
        </w:rPr>
        <w:t xml:space="preserve">，淋浴间前应设一块不小于 </w:t>
      </w:r>
      <w:r>
        <w:rPr>
          <w:sz w:val="21"/>
        </w:rPr>
        <w:t>1500</w:t>
      </w:r>
      <w:r>
        <w:rPr>
          <w:rFonts w:hint="eastAsia" w:ascii="仿宋" w:hAnsi="仿宋" w:eastAsia="仿宋"/>
          <w:sz w:val="21"/>
        </w:rPr>
        <w:t>mm</w:t>
      </w:r>
      <w:r>
        <w:rPr>
          <w:sz w:val="21"/>
        </w:rPr>
        <w:t>×800</w:t>
      </w:r>
      <w:r>
        <w:rPr>
          <w:rFonts w:hint="eastAsia" w:ascii="仿宋" w:hAnsi="仿宋" w:eastAsia="仿宋"/>
          <w:sz w:val="21"/>
        </w:rPr>
        <w:t>mm</w:t>
      </w:r>
      <w:r>
        <w:rPr>
          <w:rFonts w:hint="eastAsia" w:ascii="仿宋" w:hAnsi="仿宋" w:eastAsia="仿宋"/>
          <w:spacing w:val="-46"/>
          <w:sz w:val="21"/>
        </w:rPr>
        <w:t xml:space="preserve"> </w:t>
      </w:r>
      <w:r>
        <w:rPr>
          <w:sz w:val="21"/>
        </w:rPr>
        <w:t xml:space="preserve">的净空间， </w:t>
      </w:r>
      <w:r>
        <w:rPr>
          <w:spacing w:val="-3"/>
          <w:sz w:val="21"/>
        </w:rPr>
        <w:t xml:space="preserve">和淋浴间入口平行的一边的长度不应小于 </w:t>
      </w:r>
      <w:r>
        <w:rPr>
          <w:sz w:val="21"/>
        </w:rPr>
        <w:t>1.50</w:t>
      </w:r>
      <w:r>
        <w:rPr>
          <w:rFonts w:hint="eastAsia" w:ascii="仿宋" w:hAnsi="仿宋" w:eastAsia="仿宋"/>
          <w:sz w:val="21"/>
        </w:rPr>
        <w:t>m</w:t>
      </w:r>
      <w:r>
        <w:rPr>
          <w:sz w:val="21"/>
        </w:rPr>
        <w:t>；</w:t>
      </w:r>
    </w:p>
    <w:p>
      <w:pPr>
        <w:pStyle w:val="12"/>
        <w:numPr>
          <w:ilvl w:val="0"/>
          <w:numId w:val="45"/>
        </w:numPr>
        <w:tabs>
          <w:tab w:val="left" w:pos="1052"/>
          <w:tab w:val="left" w:pos="1053"/>
        </w:tabs>
        <w:spacing w:before="0" w:after="0" w:line="269" w:lineRule="exact"/>
        <w:ind w:left="1052" w:right="0" w:hanging="416"/>
        <w:jc w:val="left"/>
        <w:rPr>
          <w:sz w:val="21"/>
        </w:rPr>
      </w:pPr>
      <w:r>
        <w:rPr>
          <w:sz w:val="21"/>
        </w:rPr>
        <w:t>浴间入口应采用活动门帘。</w:t>
      </w:r>
    </w:p>
    <w:p>
      <w:pPr>
        <w:pStyle w:val="5"/>
        <w:spacing w:before="7"/>
        <w:rPr>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167" w:name="4.2.29无障碍更衣室应符合下列规定："/>
      <w:bookmarkEnd w:id="167"/>
      <w:bookmarkStart w:id="168" w:name="4.2.29无障碍更衣室应符合下列规定："/>
      <w:bookmarkEnd w:id="168"/>
      <w:r>
        <w:rPr>
          <w:sz w:val="21"/>
        </w:rPr>
        <w:t>无障碍更衣室应符合下列规定：</w:t>
      </w:r>
    </w:p>
    <w:p>
      <w:pPr>
        <w:pStyle w:val="5"/>
        <w:spacing w:before="6"/>
        <w:rPr>
          <w:sz w:val="15"/>
        </w:rPr>
      </w:pPr>
    </w:p>
    <w:p>
      <w:pPr>
        <w:pStyle w:val="12"/>
        <w:numPr>
          <w:ilvl w:val="0"/>
          <w:numId w:val="46"/>
        </w:numPr>
        <w:tabs>
          <w:tab w:val="left" w:pos="1052"/>
          <w:tab w:val="left" w:pos="1053"/>
        </w:tabs>
        <w:spacing w:before="0" w:after="0" w:line="240" w:lineRule="auto"/>
        <w:ind w:left="1052" w:right="0" w:hanging="416"/>
        <w:jc w:val="left"/>
        <w:rPr>
          <w:sz w:val="21"/>
        </w:rPr>
      </w:pPr>
      <w:r>
        <w:rPr>
          <w:sz w:val="21"/>
        </w:rPr>
        <w:t>乘轮椅者使用的储物柜前应留有轮椅回转空间；</w:t>
      </w:r>
    </w:p>
    <w:p>
      <w:pPr>
        <w:pStyle w:val="5"/>
        <w:spacing w:before="7"/>
        <w:rPr>
          <w:sz w:val="15"/>
        </w:rPr>
      </w:pPr>
    </w:p>
    <w:p>
      <w:pPr>
        <w:pStyle w:val="12"/>
        <w:numPr>
          <w:ilvl w:val="0"/>
          <w:numId w:val="46"/>
        </w:numPr>
        <w:tabs>
          <w:tab w:val="left" w:pos="1052"/>
          <w:tab w:val="left" w:pos="1053"/>
        </w:tabs>
        <w:spacing w:before="0" w:after="0" w:line="240" w:lineRule="auto"/>
        <w:ind w:left="1052" w:right="0" w:hanging="416"/>
        <w:jc w:val="left"/>
        <w:rPr>
          <w:sz w:val="21"/>
        </w:rPr>
      </w:pPr>
      <w:r>
        <w:rPr>
          <w:spacing w:val="-5"/>
          <w:sz w:val="21"/>
        </w:rPr>
        <w:t xml:space="preserve">更衣室长椅的高度应为 </w:t>
      </w:r>
      <w:r>
        <w:rPr>
          <w:sz w:val="21"/>
        </w:rPr>
        <w:t>400</w:t>
      </w:r>
      <w:r>
        <w:rPr>
          <w:rFonts w:hint="eastAsia" w:ascii="仿宋" w:eastAsia="仿宋"/>
          <w:sz w:val="21"/>
        </w:rPr>
        <w:t>mm</w:t>
      </w:r>
      <w:r>
        <w:rPr>
          <w:sz w:val="21"/>
        </w:rPr>
        <w:t>～450</w:t>
      </w:r>
      <w:r>
        <w:rPr>
          <w:spacing w:val="-1"/>
          <w:sz w:val="21"/>
        </w:rPr>
        <w:t xml:space="preserve"> </w:t>
      </w:r>
      <w:r>
        <w:rPr>
          <w:rFonts w:hint="eastAsia" w:ascii="仿宋" w:eastAsia="仿宋"/>
          <w:sz w:val="21"/>
        </w:rPr>
        <w:t>mm</w:t>
      </w:r>
      <w:r>
        <w:rPr>
          <w:sz w:val="21"/>
        </w:rPr>
        <w:t>。</w:t>
      </w:r>
    </w:p>
    <w:p>
      <w:pPr>
        <w:pStyle w:val="5"/>
        <w:spacing w:before="7"/>
        <w:rPr>
          <w:sz w:val="15"/>
        </w:rPr>
      </w:pPr>
    </w:p>
    <w:p>
      <w:pPr>
        <w:pStyle w:val="12"/>
        <w:numPr>
          <w:ilvl w:val="0"/>
          <w:numId w:val="40"/>
        </w:numPr>
        <w:tabs>
          <w:tab w:val="left" w:pos="4692"/>
        </w:tabs>
        <w:spacing w:before="0" w:after="0" w:line="240" w:lineRule="auto"/>
        <w:ind w:left="4691" w:right="99" w:hanging="4692"/>
        <w:jc w:val="left"/>
        <w:rPr>
          <w:rFonts w:hint="eastAsia" w:ascii="黑体" w:eastAsia="黑体"/>
          <w:sz w:val="21"/>
        </w:rPr>
      </w:pPr>
      <w:bookmarkStart w:id="169" w:name="VII无障碍客房"/>
      <w:bookmarkEnd w:id="169"/>
      <w:bookmarkStart w:id="170" w:name="VII无障碍客房"/>
      <w:bookmarkEnd w:id="170"/>
      <w:r>
        <w:rPr>
          <w:rFonts w:hint="eastAsia" w:ascii="黑体" w:eastAsia="黑体"/>
          <w:sz w:val="21"/>
        </w:rPr>
        <w:t>无障碍客房</w:t>
      </w:r>
    </w:p>
    <w:p>
      <w:pPr>
        <w:pStyle w:val="5"/>
        <w:spacing w:before="7"/>
        <w:rPr>
          <w:rFonts w:ascii="黑体"/>
          <w:sz w:val="15"/>
        </w:rPr>
      </w:pPr>
    </w:p>
    <w:p>
      <w:pPr>
        <w:pStyle w:val="12"/>
        <w:numPr>
          <w:ilvl w:val="2"/>
          <w:numId w:val="32"/>
        </w:numPr>
        <w:tabs>
          <w:tab w:val="left" w:pos="1052"/>
          <w:tab w:val="left" w:pos="1053"/>
        </w:tabs>
        <w:spacing w:before="0" w:after="0" w:line="417" w:lineRule="auto"/>
        <w:ind w:left="212" w:right="312" w:firstLine="0"/>
        <w:jc w:val="left"/>
        <w:rPr>
          <w:sz w:val="21"/>
        </w:rPr>
      </w:pPr>
      <w:bookmarkStart w:id="171" w:name="4.2.30无障碍客房应设于底层或无障碍电梯可达的楼层，应设在便于到达、疏散和进"/>
      <w:bookmarkEnd w:id="171"/>
      <w:bookmarkStart w:id="172" w:name="4.2.30无障碍客房应设于底层或无障碍电梯可达的楼层，应设在便于到达、疏散和进"/>
      <w:bookmarkEnd w:id="172"/>
      <w:r>
        <w:rPr>
          <w:spacing w:val="-3"/>
          <w:w w:val="95"/>
          <w:sz w:val="21"/>
        </w:rPr>
        <w:t xml:space="preserve">无障碍客房应设于底层或无障碍电梯可达的楼层，应设在便于到达、疏散和进出的位置，并以无   </w:t>
      </w:r>
      <w:r>
        <w:rPr>
          <w:spacing w:val="-3"/>
          <w:sz w:val="21"/>
        </w:rPr>
        <w:t>障碍通道连接。</w:t>
      </w:r>
    </w:p>
    <w:p>
      <w:pPr>
        <w:pStyle w:val="12"/>
        <w:numPr>
          <w:ilvl w:val="2"/>
          <w:numId w:val="32"/>
        </w:numPr>
        <w:tabs>
          <w:tab w:val="left" w:pos="1052"/>
          <w:tab w:val="left" w:pos="1053"/>
        </w:tabs>
        <w:spacing w:before="0" w:after="0" w:line="269" w:lineRule="exact"/>
        <w:ind w:left="1052" w:right="0" w:hanging="841"/>
        <w:jc w:val="left"/>
        <w:rPr>
          <w:sz w:val="21"/>
        </w:rPr>
      </w:pPr>
      <w:bookmarkStart w:id="173" w:name="4.2.31人员活动空间应保证轮椅进出，内部留有轮椅回转空间。"/>
      <w:bookmarkEnd w:id="173"/>
      <w:bookmarkStart w:id="174" w:name="4.2.31人员活动空间应保证轮椅进出，内部留有轮椅回转空间。"/>
      <w:bookmarkEnd w:id="174"/>
      <w:r>
        <w:rPr>
          <w:sz w:val="21"/>
        </w:rPr>
        <w:t>人员活动空间应保证轮椅进出，内部留有轮椅回转空间。</w:t>
      </w:r>
    </w:p>
    <w:p>
      <w:pPr>
        <w:pStyle w:val="5"/>
        <w:spacing w:before="6"/>
        <w:rPr>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175" w:name="4.2.32无障碍客房卫生间应符合下列规定："/>
      <w:bookmarkEnd w:id="175"/>
      <w:bookmarkStart w:id="176" w:name="4.2.32无障碍客房卫生间应符合下列规定："/>
      <w:bookmarkEnd w:id="176"/>
      <w:r>
        <w:rPr>
          <w:sz w:val="21"/>
        </w:rPr>
        <w:t>无障碍客房卫生间应符合下列规定：</w:t>
      </w:r>
    </w:p>
    <w:p>
      <w:pPr>
        <w:spacing w:after="0" w:line="240" w:lineRule="auto"/>
        <w:jc w:val="left"/>
        <w:rPr>
          <w:sz w:val="21"/>
        </w:rPr>
        <w:sectPr>
          <w:pgSz w:w="11910" w:h="16840"/>
          <w:pgMar w:top="1580" w:right="820" w:bottom="1280" w:left="920" w:header="0" w:footer="1095" w:gutter="0"/>
          <w:cols w:space="720" w:num="1"/>
        </w:sectPr>
      </w:pPr>
    </w:p>
    <w:p>
      <w:pPr>
        <w:pStyle w:val="12"/>
        <w:numPr>
          <w:ilvl w:val="0"/>
          <w:numId w:val="47"/>
        </w:numPr>
        <w:tabs>
          <w:tab w:val="left" w:pos="1052"/>
          <w:tab w:val="left" w:pos="1053"/>
        </w:tabs>
        <w:spacing w:before="60" w:after="0" w:line="240" w:lineRule="auto"/>
        <w:ind w:left="1052" w:right="0" w:hanging="416"/>
        <w:jc w:val="left"/>
        <w:rPr>
          <w:sz w:val="21"/>
        </w:rPr>
      </w:pPr>
      <w:r>
        <w:rPr>
          <w:sz w:val="21"/>
        </w:rPr>
        <w:t>应保证轮椅进出，内部留有轮椅回转空间；</w:t>
      </w:r>
    </w:p>
    <w:p>
      <w:pPr>
        <w:pStyle w:val="5"/>
        <w:spacing w:before="6"/>
        <w:rPr>
          <w:sz w:val="15"/>
        </w:rPr>
      </w:pPr>
    </w:p>
    <w:p>
      <w:pPr>
        <w:pStyle w:val="12"/>
        <w:numPr>
          <w:ilvl w:val="0"/>
          <w:numId w:val="47"/>
        </w:numPr>
        <w:tabs>
          <w:tab w:val="left" w:pos="1052"/>
          <w:tab w:val="left" w:pos="1053"/>
        </w:tabs>
        <w:spacing w:before="1" w:after="0" w:line="417" w:lineRule="auto"/>
        <w:ind w:left="212" w:right="310" w:firstLine="424"/>
        <w:jc w:val="left"/>
        <w:rPr>
          <w:sz w:val="21"/>
        </w:rPr>
      </w:pPr>
      <w:r>
        <w:rPr>
          <w:spacing w:val="-2"/>
          <w:w w:val="95"/>
          <w:sz w:val="21"/>
        </w:rPr>
        <w:t>应设置无障碍坐便器、无障碍洗手</w:t>
      </w:r>
      <w:r>
        <w:rPr>
          <w:rFonts w:ascii="Calibri" w:eastAsia="Calibri"/>
          <w:w w:val="95"/>
          <w:sz w:val="21"/>
        </w:rPr>
        <w:t>/</w:t>
      </w:r>
      <w:r>
        <w:rPr>
          <w:spacing w:val="-9"/>
          <w:w w:val="95"/>
          <w:sz w:val="21"/>
        </w:rPr>
        <w:t xml:space="preserve">面盆、无障碍淋浴或盆浴间、低位挂衣钩、低位毛巾架、低位   </w:t>
      </w:r>
      <w:r>
        <w:rPr>
          <w:spacing w:val="-9"/>
          <w:sz w:val="21"/>
        </w:rPr>
        <w:t>搁物架和求助呼叫按钮；</w:t>
      </w:r>
    </w:p>
    <w:p>
      <w:pPr>
        <w:pStyle w:val="12"/>
        <w:numPr>
          <w:ilvl w:val="0"/>
          <w:numId w:val="47"/>
        </w:numPr>
        <w:tabs>
          <w:tab w:val="left" w:pos="1052"/>
          <w:tab w:val="left" w:pos="1053"/>
        </w:tabs>
        <w:spacing w:before="0" w:after="0" w:line="269" w:lineRule="exact"/>
        <w:ind w:left="1052" w:right="0" w:hanging="416"/>
        <w:jc w:val="left"/>
        <w:rPr>
          <w:sz w:val="21"/>
        </w:rPr>
      </w:pPr>
      <w:r>
        <w:rPr>
          <w:sz w:val="21"/>
        </w:rPr>
        <w:t>应设置水平滑动式门或向外开启的平开门。</w:t>
      </w:r>
    </w:p>
    <w:p>
      <w:pPr>
        <w:pStyle w:val="5"/>
        <w:spacing w:before="6"/>
        <w:rPr>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177" w:name="4.2.33无障碍客房尚应符合下列规定："/>
      <w:bookmarkEnd w:id="177"/>
      <w:bookmarkStart w:id="178" w:name="4.2.33无障碍客房尚应符合下列规定："/>
      <w:bookmarkEnd w:id="178"/>
      <w:r>
        <w:rPr>
          <w:sz w:val="21"/>
        </w:rPr>
        <w:t>无障碍客房尚应符合下列规定：</w:t>
      </w:r>
    </w:p>
    <w:p>
      <w:pPr>
        <w:pStyle w:val="5"/>
        <w:spacing w:before="7"/>
        <w:rPr>
          <w:sz w:val="15"/>
        </w:rPr>
      </w:pPr>
    </w:p>
    <w:p>
      <w:pPr>
        <w:pStyle w:val="12"/>
        <w:numPr>
          <w:ilvl w:val="0"/>
          <w:numId w:val="48"/>
        </w:numPr>
        <w:tabs>
          <w:tab w:val="left" w:pos="1052"/>
          <w:tab w:val="left" w:pos="1053"/>
        </w:tabs>
        <w:spacing w:before="0" w:after="0" w:line="417" w:lineRule="auto"/>
        <w:ind w:left="212" w:right="311" w:firstLine="424"/>
        <w:jc w:val="left"/>
        <w:rPr>
          <w:sz w:val="21"/>
        </w:rPr>
      </w:pPr>
      <w:r>
        <w:rPr>
          <w:spacing w:val="-7"/>
          <w:sz w:val="21"/>
        </w:rPr>
        <w:t xml:space="preserve">门应符合本标准第 </w:t>
      </w:r>
      <w:r>
        <w:rPr>
          <w:sz w:val="21"/>
        </w:rPr>
        <w:t>4.1</w:t>
      </w:r>
      <w:r>
        <w:rPr>
          <w:spacing w:val="-14"/>
          <w:sz w:val="21"/>
        </w:rPr>
        <w:t xml:space="preserve"> 节中门的有关规定；门外宜设置盲文门牌；户门距地面高度 </w:t>
      </w:r>
      <w:r>
        <w:rPr>
          <w:sz w:val="21"/>
        </w:rPr>
        <w:t>1.00</w:t>
      </w:r>
      <w:r>
        <w:rPr>
          <w:rFonts w:hint="eastAsia" w:ascii="仿宋" w:eastAsia="仿宋"/>
          <w:sz w:val="21"/>
        </w:rPr>
        <w:t>m</w:t>
      </w:r>
      <w:r>
        <w:rPr>
          <w:sz w:val="21"/>
        </w:rPr>
        <w:t>～1.10</w:t>
      </w:r>
      <w:r>
        <w:rPr>
          <w:rFonts w:hint="eastAsia" w:ascii="仿宋" w:eastAsia="仿宋"/>
          <w:sz w:val="21"/>
        </w:rPr>
        <w:t xml:space="preserve">m </w:t>
      </w:r>
      <w:r>
        <w:rPr>
          <w:sz w:val="21"/>
        </w:rPr>
        <w:t>处宜设置低位猫眼；</w:t>
      </w:r>
    </w:p>
    <w:p>
      <w:pPr>
        <w:pStyle w:val="12"/>
        <w:numPr>
          <w:ilvl w:val="0"/>
          <w:numId w:val="48"/>
        </w:numPr>
        <w:tabs>
          <w:tab w:val="left" w:pos="1052"/>
          <w:tab w:val="left" w:pos="1053"/>
        </w:tabs>
        <w:spacing w:before="0" w:after="0" w:line="269" w:lineRule="exact"/>
        <w:ind w:left="1052" w:right="0" w:hanging="416"/>
        <w:jc w:val="left"/>
        <w:rPr>
          <w:sz w:val="21"/>
        </w:rPr>
      </w:pPr>
      <w:r>
        <w:rPr>
          <w:sz w:val="21"/>
        </w:rPr>
        <w:t>客房应设置闪光提示门铃；</w:t>
      </w:r>
    </w:p>
    <w:p>
      <w:pPr>
        <w:pStyle w:val="5"/>
        <w:spacing w:before="7"/>
        <w:rPr>
          <w:sz w:val="15"/>
        </w:rPr>
      </w:pPr>
    </w:p>
    <w:p>
      <w:pPr>
        <w:pStyle w:val="12"/>
        <w:numPr>
          <w:ilvl w:val="0"/>
          <w:numId w:val="48"/>
        </w:numPr>
        <w:tabs>
          <w:tab w:val="left" w:pos="1052"/>
          <w:tab w:val="left" w:pos="1053"/>
        </w:tabs>
        <w:spacing w:before="0" w:after="0" w:line="240" w:lineRule="auto"/>
        <w:ind w:left="1052" w:right="0" w:hanging="416"/>
        <w:jc w:val="left"/>
        <w:rPr>
          <w:sz w:val="21"/>
        </w:rPr>
      </w:pPr>
      <w:r>
        <w:rPr>
          <w:sz w:val="21"/>
        </w:rPr>
        <w:t>家具和电器控制开关的位置和高度应方便乘轮椅者靠近和使用；</w:t>
      </w:r>
    </w:p>
    <w:p>
      <w:pPr>
        <w:pStyle w:val="5"/>
        <w:spacing w:before="6"/>
        <w:rPr>
          <w:sz w:val="15"/>
        </w:rPr>
      </w:pPr>
    </w:p>
    <w:p>
      <w:pPr>
        <w:pStyle w:val="12"/>
        <w:numPr>
          <w:ilvl w:val="0"/>
          <w:numId w:val="48"/>
        </w:numPr>
        <w:tabs>
          <w:tab w:val="left" w:pos="1052"/>
          <w:tab w:val="left" w:pos="1053"/>
        </w:tabs>
        <w:spacing w:before="1" w:after="0" w:line="240" w:lineRule="auto"/>
        <w:ind w:left="1052" w:right="0" w:hanging="416"/>
        <w:jc w:val="left"/>
        <w:rPr>
          <w:sz w:val="21"/>
        </w:rPr>
      </w:pPr>
      <w:r>
        <w:rPr>
          <w:spacing w:val="-5"/>
          <w:sz w:val="21"/>
        </w:rPr>
        <w:t xml:space="preserve">床边应设置距地面高度 </w:t>
      </w:r>
      <w:r>
        <w:rPr>
          <w:sz w:val="21"/>
        </w:rPr>
        <w:t>400</w:t>
      </w:r>
      <w:r>
        <w:rPr>
          <w:rFonts w:hint="eastAsia" w:ascii="仿宋" w:eastAsia="仿宋"/>
          <w:sz w:val="21"/>
        </w:rPr>
        <w:t>mm</w:t>
      </w:r>
      <w:r>
        <w:rPr>
          <w:sz w:val="21"/>
        </w:rPr>
        <w:t>～500</w:t>
      </w:r>
      <w:r>
        <w:rPr>
          <w:rFonts w:hint="eastAsia" w:ascii="仿宋" w:eastAsia="仿宋"/>
          <w:sz w:val="21"/>
        </w:rPr>
        <w:t>mm</w:t>
      </w:r>
      <w:r>
        <w:rPr>
          <w:rFonts w:hint="eastAsia" w:ascii="仿宋" w:eastAsia="仿宋"/>
          <w:spacing w:val="-54"/>
          <w:sz w:val="21"/>
        </w:rPr>
        <w:t xml:space="preserve"> </w:t>
      </w:r>
      <w:r>
        <w:rPr>
          <w:sz w:val="21"/>
        </w:rPr>
        <w:t>的求助呼叫按钮；</w:t>
      </w:r>
    </w:p>
    <w:p>
      <w:pPr>
        <w:pStyle w:val="5"/>
        <w:spacing w:before="6"/>
        <w:rPr>
          <w:sz w:val="15"/>
        </w:rPr>
      </w:pPr>
    </w:p>
    <w:p>
      <w:pPr>
        <w:pStyle w:val="12"/>
        <w:numPr>
          <w:ilvl w:val="0"/>
          <w:numId w:val="48"/>
        </w:numPr>
        <w:tabs>
          <w:tab w:val="left" w:pos="1052"/>
          <w:tab w:val="left" w:pos="1053"/>
        </w:tabs>
        <w:spacing w:before="0" w:after="0" w:line="240" w:lineRule="auto"/>
        <w:ind w:left="1052" w:right="0" w:hanging="416"/>
        <w:jc w:val="left"/>
        <w:rPr>
          <w:sz w:val="21"/>
        </w:rPr>
      </w:pPr>
      <w:r>
        <w:rPr>
          <w:spacing w:val="-3"/>
          <w:sz w:val="21"/>
        </w:rPr>
        <w:t xml:space="preserve">乘轮椅者上下床用的床侧通道宽度不应小于 </w:t>
      </w:r>
      <w:r>
        <w:rPr>
          <w:sz w:val="21"/>
        </w:rPr>
        <w:t>1.20</w:t>
      </w:r>
      <w:r>
        <w:rPr>
          <w:rFonts w:hint="eastAsia" w:ascii="仿宋" w:eastAsia="仿宋"/>
          <w:sz w:val="21"/>
        </w:rPr>
        <w:t>m</w:t>
      </w:r>
      <w:r>
        <w:rPr>
          <w:spacing w:val="-6"/>
          <w:sz w:val="21"/>
        </w:rPr>
        <w:t xml:space="preserve">，床的使用高度宜为 </w:t>
      </w:r>
      <w:r>
        <w:rPr>
          <w:sz w:val="21"/>
        </w:rPr>
        <w:t>450</w:t>
      </w:r>
      <w:r>
        <w:rPr>
          <w:rFonts w:hint="eastAsia" w:ascii="仿宋" w:eastAsia="仿宋"/>
          <w:sz w:val="21"/>
        </w:rPr>
        <w:t>mm</w:t>
      </w:r>
      <w:r>
        <w:rPr>
          <w:sz w:val="21"/>
        </w:rPr>
        <w:t>；</w:t>
      </w:r>
    </w:p>
    <w:p>
      <w:pPr>
        <w:pStyle w:val="5"/>
        <w:spacing w:before="7"/>
        <w:rPr>
          <w:sz w:val="15"/>
        </w:rPr>
      </w:pPr>
    </w:p>
    <w:p>
      <w:pPr>
        <w:pStyle w:val="12"/>
        <w:numPr>
          <w:ilvl w:val="0"/>
          <w:numId w:val="48"/>
        </w:numPr>
        <w:tabs>
          <w:tab w:val="left" w:pos="1052"/>
          <w:tab w:val="left" w:pos="1053"/>
        </w:tabs>
        <w:spacing w:before="0" w:after="0" w:line="417" w:lineRule="auto"/>
        <w:ind w:left="212" w:right="312" w:firstLine="424"/>
        <w:jc w:val="left"/>
        <w:rPr>
          <w:sz w:val="21"/>
        </w:rPr>
      </w:pPr>
      <w:r>
        <w:rPr>
          <w:spacing w:val="-4"/>
          <w:sz w:val="21"/>
        </w:rPr>
        <w:t xml:space="preserve">窗户可开启扇的执手距地面高度应为 </w:t>
      </w:r>
      <w:r>
        <w:rPr>
          <w:spacing w:val="-3"/>
          <w:sz w:val="21"/>
        </w:rPr>
        <w:t>0.85</w:t>
      </w:r>
      <w:r>
        <w:rPr>
          <w:rFonts w:hint="eastAsia" w:ascii="仿宋" w:eastAsia="仿宋"/>
          <w:spacing w:val="-3"/>
          <w:sz w:val="21"/>
        </w:rPr>
        <w:t>m</w:t>
      </w:r>
      <w:r>
        <w:rPr>
          <w:spacing w:val="-3"/>
          <w:sz w:val="21"/>
        </w:rPr>
        <w:t>～1.00</w:t>
      </w:r>
      <w:r>
        <w:rPr>
          <w:rFonts w:hint="eastAsia" w:ascii="仿宋" w:eastAsia="仿宋"/>
          <w:spacing w:val="-3"/>
          <w:sz w:val="21"/>
        </w:rPr>
        <w:t>m</w:t>
      </w:r>
      <w:r>
        <w:rPr>
          <w:spacing w:val="-5"/>
          <w:sz w:val="21"/>
        </w:rPr>
        <w:t>，否则应设置自动开闭系统。手动开关窗户操</w:t>
      </w:r>
      <w:r>
        <w:rPr>
          <w:spacing w:val="-10"/>
          <w:sz w:val="21"/>
        </w:rPr>
        <w:t xml:space="preserve">作所需的力度不应大于 </w:t>
      </w:r>
      <w:r>
        <w:rPr>
          <w:sz w:val="21"/>
        </w:rPr>
        <w:t>25</w:t>
      </w:r>
      <w:r>
        <w:rPr>
          <w:rFonts w:hint="eastAsia" w:ascii="仿宋" w:eastAsia="仿宋"/>
          <w:sz w:val="21"/>
        </w:rPr>
        <w:t>N</w:t>
      </w:r>
      <w:r>
        <w:rPr>
          <w:sz w:val="21"/>
        </w:rPr>
        <w:t>。</w:t>
      </w:r>
    </w:p>
    <w:p>
      <w:pPr>
        <w:pStyle w:val="12"/>
        <w:numPr>
          <w:ilvl w:val="0"/>
          <w:numId w:val="40"/>
        </w:numPr>
        <w:tabs>
          <w:tab w:val="left" w:pos="4480"/>
        </w:tabs>
        <w:spacing w:before="0" w:after="0" w:line="269" w:lineRule="exact"/>
        <w:ind w:left="4480" w:right="99" w:hanging="4480"/>
        <w:jc w:val="left"/>
        <w:rPr>
          <w:rFonts w:hint="eastAsia" w:ascii="黑体" w:eastAsia="黑体"/>
          <w:sz w:val="21"/>
        </w:rPr>
      </w:pPr>
      <w:bookmarkStart w:id="179" w:name="VIII无障碍住房/宿舍"/>
      <w:bookmarkEnd w:id="179"/>
      <w:bookmarkStart w:id="180" w:name="VIII无障碍住房/宿舍"/>
      <w:bookmarkEnd w:id="180"/>
      <w:r>
        <w:rPr>
          <w:rFonts w:hint="eastAsia" w:ascii="黑体" w:eastAsia="黑体"/>
          <w:sz w:val="21"/>
        </w:rPr>
        <w:t>无障碍住房/宿舍</w:t>
      </w:r>
    </w:p>
    <w:p>
      <w:pPr>
        <w:pStyle w:val="5"/>
        <w:spacing w:before="7"/>
        <w:rPr>
          <w:rFonts w:ascii="黑体"/>
          <w:sz w:val="15"/>
        </w:rPr>
      </w:pPr>
    </w:p>
    <w:p>
      <w:pPr>
        <w:pStyle w:val="12"/>
        <w:numPr>
          <w:ilvl w:val="2"/>
          <w:numId w:val="32"/>
        </w:numPr>
        <w:tabs>
          <w:tab w:val="left" w:pos="1052"/>
          <w:tab w:val="left" w:pos="1053"/>
        </w:tabs>
        <w:spacing w:before="0" w:after="0" w:line="417" w:lineRule="auto"/>
        <w:ind w:left="212" w:right="312" w:firstLine="0"/>
        <w:jc w:val="left"/>
        <w:rPr>
          <w:sz w:val="21"/>
        </w:rPr>
      </w:pPr>
      <w:bookmarkStart w:id="181" w:name="4.2.34无障碍住房/宿舍应设于底层或无障碍电梯可达的楼层，应设在便于到达、疏"/>
      <w:bookmarkEnd w:id="181"/>
      <w:bookmarkStart w:id="182" w:name="4.2.34无障碍住房/宿舍应设于底层或无障碍电梯可达的楼层，应设在便于到达、疏"/>
      <w:bookmarkEnd w:id="182"/>
      <w:r>
        <w:rPr>
          <w:sz w:val="21"/>
        </w:rPr>
        <w:t>无障碍住房</w:t>
      </w:r>
      <w:r>
        <w:rPr>
          <w:spacing w:val="3"/>
          <w:sz w:val="21"/>
        </w:rPr>
        <w:t>/</w:t>
      </w:r>
      <w:r>
        <w:rPr>
          <w:sz w:val="21"/>
        </w:rPr>
        <w:t>宿舍应设于底层或无障碍电梯可达的楼层，应设在便于到达、疏散和进出的位置， 并以无障碍通道连接。</w:t>
      </w:r>
    </w:p>
    <w:p>
      <w:pPr>
        <w:pStyle w:val="12"/>
        <w:numPr>
          <w:ilvl w:val="2"/>
          <w:numId w:val="32"/>
        </w:numPr>
        <w:tabs>
          <w:tab w:val="left" w:pos="1052"/>
          <w:tab w:val="left" w:pos="1053"/>
        </w:tabs>
        <w:spacing w:before="0" w:after="0" w:line="269" w:lineRule="exact"/>
        <w:ind w:left="1052" w:right="0" w:hanging="841"/>
        <w:jc w:val="left"/>
        <w:rPr>
          <w:sz w:val="21"/>
        </w:rPr>
      </w:pPr>
      <w:bookmarkStart w:id="183" w:name="4.2.35无障碍住房/宿舍的卫生间应符合本标准第4.2.32条有关规定。"/>
      <w:bookmarkEnd w:id="183"/>
      <w:bookmarkStart w:id="184" w:name="4.2.35无障碍住房/宿舍的卫生间应符合本标准第4.2.32条有关规定。"/>
      <w:bookmarkEnd w:id="184"/>
      <w:r>
        <w:rPr>
          <w:sz w:val="21"/>
        </w:rPr>
        <w:t>无障碍住房/</w:t>
      </w:r>
      <w:r>
        <w:rPr>
          <w:spacing w:val="-4"/>
          <w:sz w:val="21"/>
        </w:rPr>
        <w:t xml:space="preserve">宿舍的卫生间应符合本标准第 </w:t>
      </w:r>
      <w:r>
        <w:rPr>
          <w:sz w:val="21"/>
        </w:rPr>
        <w:t>4.2.32</w:t>
      </w:r>
      <w:r>
        <w:rPr>
          <w:spacing w:val="-9"/>
          <w:sz w:val="21"/>
        </w:rPr>
        <w:t xml:space="preserve"> 条有关规定。</w:t>
      </w:r>
    </w:p>
    <w:p>
      <w:pPr>
        <w:pStyle w:val="5"/>
        <w:spacing w:before="6"/>
        <w:rPr>
          <w:sz w:val="15"/>
        </w:rPr>
      </w:pPr>
    </w:p>
    <w:p>
      <w:pPr>
        <w:pStyle w:val="12"/>
        <w:numPr>
          <w:ilvl w:val="2"/>
          <w:numId w:val="32"/>
        </w:numPr>
        <w:tabs>
          <w:tab w:val="left" w:pos="1052"/>
          <w:tab w:val="left" w:pos="1053"/>
        </w:tabs>
        <w:spacing w:before="1" w:after="0" w:line="240" w:lineRule="auto"/>
        <w:ind w:left="1052" w:right="0" w:hanging="841"/>
        <w:jc w:val="left"/>
        <w:rPr>
          <w:sz w:val="21"/>
        </w:rPr>
      </w:pPr>
      <w:bookmarkStart w:id="185" w:name="4.2.36无障碍住房/宿舍的厨房应为无障碍厨房。"/>
      <w:bookmarkEnd w:id="185"/>
      <w:bookmarkStart w:id="186" w:name="4.2.36无障碍住房/宿舍的厨房应为无障碍厨房。"/>
      <w:bookmarkEnd w:id="186"/>
      <w:r>
        <w:rPr>
          <w:sz w:val="21"/>
        </w:rPr>
        <w:t>无障碍住房/宿舍的厨房应为无障碍厨房。</w:t>
      </w:r>
    </w:p>
    <w:p>
      <w:pPr>
        <w:pStyle w:val="5"/>
        <w:spacing w:before="6"/>
        <w:rPr>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187" w:name="4.2.37无障碍住房/宿舍有关面积指标应符合下列规定："/>
      <w:bookmarkEnd w:id="187"/>
      <w:bookmarkStart w:id="188" w:name="4.2.37无障碍住房/宿舍有关面积指标应符合下列规定："/>
      <w:bookmarkEnd w:id="188"/>
      <w:r>
        <w:rPr>
          <w:sz w:val="21"/>
        </w:rPr>
        <w:t>无障碍住房/宿舍有关面积指标应符合下列规定：</w:t>
      </w:r>
    </w:p>
    <w:p>
      <w:pPr>
        <w:pStyle w:val="5"/>
        <w:spacing w:before="7"/>
        <w:rPr>
          <w:sz w:val="15"/>
        </w:rPr>
      </w:pPr>
    </w:p>
    <w:p>
      <w:pPr>
        <w:pStyle w:val="12"/>
        <w:numPr>
          <w:ilvl w:val="0"/>
          <w:numId w:val="49"/>
        </w:numPr>
        <w:tabs>
          <w:tab w:val="left" w:pos="1052"/>
          <w:tab w:val="left" w:pos="1053"/>
        </w:tabs>
        <w:spacing w:before="0" w:after="0" w:line="417" w:lineRule="auto"/>
        <w:ind w:left="212" w:right="310" w:firstLine="424"/>
        <w:jc w:val="left"/>
        <w:rPr>
          <w:sz w:val="21"/>
        </w:rPr>
      </w:pPr>
      <w:r>
        <w:rPr>
          <w:spacing w:val="1"/>
          <w:w w:val="99"/>
          <w:sz w:val="21"/>
        </w:rPr>
        <w:t>单人卧室面积不应小于</w:t>
      </w:r>
      <w:r>
        <w:rPr>
          <w:spacing w:val="-48"/>
          <w:sz w:val="21"/>
        </w:rPr>
        <w:t xml:space="preserve"> </w:t>
      </w:r>
      <w:r>
        <w:rPr>
          <w:spacing w:val="1"/>
          <w:w w:val="99"/>
          <w:sz w:val="21"/>
        </w:rPr>
        <w:t>7.0</w:t>
      </w:r>
      <w:r>
        <w:rPr>
          <w:spacing w:val="-2"/>
          <w:w w:val="99"/>
          <w:sz w:val="21"/>
        </w:rPr>
        <w:t>0</w:t>
      </w:r>
      <w:r>
        <w:rPr>
          <w:rFonts w:hint="eastAsia" w:ascii="仿宋" w:eastAsia="仿宋"/>
          <w:spacing w:val="1"/>
          <w:w w:val="99"/>
          <w:sz w:val="21"/>
        </w:rPr>
        <w:t>m</w:t>
      </w:r>
      <w:r>
        <w:rPr>
          <w:spacing w:val="-1"/>
          <w:w w:val="106"/>
          <w:position w:val="11"/>
          <w:sz w:val="10"/>
        </w:rPr>
        <w:t>2</w:t>
      </w:r>
      <w:r>
        <w:rPr>
          <w:spacing w:val="1"/>
          <w:w w:val="99"/>
          <w:sz w:val="21"/>
        </w:rPr>
        <w:t>，双人卧室面积不应小于</w:t>
      </w:r>
      <w:r>
        <w:rPr>
          <w:spacing w:val="-48"/>
          <w:sz w:val="21"/>
        </w:rPr>
        <w:t xml:space="preserve"> </w:t>
      </w:r>
      <w:r>
        <w:rPr>
          <w:spacing w:val="1"/>
          <w:w w:val="99"/>
          <w:sz w:val="21"/>
        </w:rPr>
        <w:t>10.</w:t>
      </w:r>
      <w:r>
        <w:rPr>
          <w:spacing w:val="-2"/>
          <w:w w:val="99"/>
          <w:sz w:val="21"/>
        </w:rPr>
        <w:t>5</w:t>
      </w:r>
      <w:r>
        <w:rPr>
          <w:spacing w:val="1"/>
          <w:w w:val="99"/>
          <w:sz w:val="21"/>
        </w:rPr>
        <w:t>0</w:t>
      </w:r>
      <w:r>
        <w:rPr>
          <w:rFonts w:hint="eastAsia" w:ascii="仿宋" w:eastAsia="仿宋"/>
          <w:spacing w:val="-2"/>
          <w:w w:val="99"/>
          <w:sz w:val="21"/>
        </w:rPr>
        <w:t>m</w:t>
      </w:r>
      <w:r>
        <w:rPr>
          <w:spacing w:val="2"/>
          <w:w w:val="106"/>
          <w:position w:val="11"/>
          <w:sz w:val="10"/>
        </w:rPr>
        <w:t>2</w:t>
      </w:r>
      <w:r>
        <w:rPr>
          <w:spacing w:val="1"/>
          <w:w w:val="99"/>
          <w:sz w:val="21"/>
        </w:rPr>
        <w:t>，兼起居室的卧室面积不应小于 16.</w:t>
      </w:r>
      <w:r>
        <w:rPr>
          <w:spacing w:val="-2"/>
          <w:w w:val="99"/>
          <w:sz w:val="21"/>
        </w:rPr>
        <w:t>0</w:t>
      </w:r>
      <w:r>
        <w:rPr>
          <w:spacing w:val="1"/>
          <w:w w:val="99"/>
          <w:sz w:val="21"/>
        </w:rPr>
        <w:t>0</w:t>
      </w:r>
      <w:r>
        <w:rPr>
          <w:rFonts w:hint="eastAsia" w:ascii="仿宋" w:eastAsia="仿宋"/>
          <w:spacing w:val="1"/>
          <w:w w:val="99"/>
          <w:sz w:val="21"/>
        </w:rPr>
        <w:t>m</w:t>
      </w:r>
      <w:r>
        <w:rPr>
          <w:spacing w:val="-1"/>
          <w:w w:val="106"/>
          <w:position w:val="11"/>
          <w:sz w:val="10"/>
        </w:rPr>
        <w:t>2</w:t>
      </w:r>
      <w:r>
        <w:rPr>
          <w:spacing w:val="-1"/>
          <w:w w:val="99"/>
          <w:sz w:val="21"/>
        </w:rPr>
        <w:t>，起居室面积不应小于</w:t>
      </w:r>
      <w:r>
        <w:rPr>
          <w:spacing w:val="-50"/>
          <w:sz w:val="21"/>
        </w:rPr>
        <w:t xml:space="preserve"> </w:t>
      </w:r>
      <w:r>
        <w:rPr>
          <w:spacing w:val="1"/>
          <w:w w:val="99"/>
          <w:sz w:val="21"/>
        </w:rPr>
        <w:t>14</w:t>
      </w:r>
      <w:r>
        <w:rPr>
          <w:spacing w:val="-2"/>
          <w:w w:val="99"/>
          <w:sz w:val="21"/>
        </w:rPr>
        <w:t>.</w:t>
      </w:r>
      <w:r>
        <w:rPr>
          <w:spacing w:val="1"/>
          <w:w w:val="99"/>
          <w:sz w:val="21"/>
        </w:rPr>
        <w:t>0</w:t>
      </w:r>
      <w:r>
        <w:rPr>
          <w:spacing w:val="-2"/>
          <w:w w:val="99"/>
          <w:sz w:val="21"/>
        </w:rPr>
        <w:t>0</w:t>
      </w:r>
      <w:r>
        <w:rPr>
          <w:rFonts w:hint="eastAsia" w:ascii="仿宋" w:eastAsia="仿宋"/>
          <w:spacing w:val="1"/>
          <w:w w:val="99"/>
          <w:sz w:val="21"/>
        </w:rPr>
        <w:t>m</w:t>
      </w:r>
      <w:r>
        <w:rPr>
          <w:spacing w:val="-1"/>
          <w:w w:val="106"/>
          <w:position w:val="11"/>
          <w:sz w:val="10"/>
        </w:rPr>
        <w:t>2</w:t>
      </w:r>
      <w:r>
        <w:rPr>
          <w:spacing w:val="-1"/>
          <w:w w:val="99"/>
          <w:sz w:val="21"/>
        </w:rPr>
        <w:t>，厨房面积不应小于</w:t>
      </w:r>
      <w:r>
        <w:rPr>
          <w:spacing w:val="-53"/>
          <w:sz w:val="21"/>
        </w:rPr>
        <w:t xml:space="preserve"> </w:t>
      </w:r>
      <w:r>
        <w:rPr>
          <w:spacing w:val="1"/>
          <w:w w:val="99"/>
          <w:sz w:val="21"/>
        </w:rPr>
        <w:t>6.0</w:t>
      </w:r>
      <w:r>
        <w:rPr>
          <w:spacing w:val="-2"/>
          <w:w w:val="99"/>
          <w:sz w:val="21"/>
        </w:rPr>
        <w:t>0</w:t>
      </w:r>
      <w:r>
        <w:rPr>
          <w:rFonts w:hint="eastAsia" w:ascii="仿宋" w:eastAsia="仿宋"/>
          <w:spacing w:val="1"/>
          <w:w w:val="99"/>
          <w:sz w:val="21"/>
        </w:rPr>
        <w:t>m</w:t>
      </w:r>
      <w:r>
        <w:rPr>
          <w:spacing w:val="-1"/>
          <w:w w:val="106"/>
          <w:position w:val="11"/>
          <w:sz w:val="10"/>
        </w:rPr>
        <w:t>2</w:t>
      </w:r>
      <w:r>
        <w:rPr>
          <w:w w:val="99"/>
          <w:sz w:val="21"/>
        </w:rPr>
        <w:t>；</w:t>
      </w:r>
    </w:p>
    <w:p>
      <w:pPr>
        <w:pStyle w:val="12"/>
        <w:numPr>
          <w:ilvl w:val="0"/>
          <w:numId w:val="49"/>
        </w:numPr>
        <w:tabs>
          <w:tab w:val="left" w:pos="1052"/>
          <w:tab w:val="left" w:pos="1053"/>
        </w:tabs>
        <w:spacing w:before="0" w:after="0" w:line="417" w:lineRule="auto"/>
        <w:ind w:left="212" w:right="204" w:firstLine="424"/>
        <w:jc w:val="left"/>
        <w:rPr>
          <w:sz w:val="21"/>
        </w:rPr>
      </w:pPr>
      <w:r>
        <w:rPr>
          <w:spacing w:val="-9"/>
          <w:w w:val="99"/>
          <w:sz w:val="21"/>
        </w:rPr>
        <w:t>设坐便器、洗浴器(浴盆或淋浴)、洗面盆三件卫生洁具的卫生间面积不应小于</w:t>
      </w:r>
      <w:r>
        <w:rPr>
          <w:spacing w:val="-53"/>
          <w:sz w:val="21"/>
        </w:rPr>
        <w:t xml:space="preserve"> </w:t>
      </w:r>
      <w:r>
        <w:rPr>
          <w:spacing w:val="1"/>
          <w:w w:val="99"/>
          <w:sz w:val="21"/>
        </w:rPr>
        <w:t>4.0</w:t>
      </w:r>
      <w:r>
        <w:rPr>
          <w:spacing w:val="-2"/>
          <w:w w:val="99"/>
          <w:sz w:val="21"/>
        </w:rPr>
        <w:t>0</w:t>
      </w:r>
      <w:r>
        <w:rPr>
          <w:rFonts w:hint="eastAsia" w:ascii="仿宋" w:eastAsia="仿宋"/>
          <w:spacing w:val="1"/>
          <w:w w:val="99"/>
          <w:sz w:val="21"/>
        </w:rPr>
        <w:t>m</w:t>
      </w:r>
      <w:r>
        <w:rPr>
          <w:spacing w:val="-3"/>
          <w:w w:val="106"/>
          <w:position w:val="11"/>
          <w:sz w:val="10"/>
        </w:rPr>
        <w:t>2</w:t>
      </w:r>
      <w:r>
        <w:rPr>
          <w:spacing w:val="-7"/>
          <w:w w:val="99"/>
          <w:sz w:val="21"/>
        </w:rPr>
        <w:t>；设坐便器、</w:t>
      </w:r>
      <w:r>
        <w:rPr>
          <w:spacing w:val="-1"/>
          <w:w w:val="99"/>
          <w:sz w:val="21"/>
        </w:rPr>
        <w:t>洗浴器二件卫生洁具的卫生间面积不应小于</w:t>
      </w:r>
      <w:r>
        <w:rPr>
          <w:spacing w:val="-50"/>
          <w:sz w:val="21"/>
        </w:rPr>
        <w:t xml:space="preserve"> </w:t>
      </w:r>
      <w:r>
        <w:rPr>
          <w:spacing w:val="1"/>
          <w:w w:val="99"/>
          <w:sz w:val="21"/>
        </w:rPr>
        <w:t>3.</w:t>
      </w:r>
      <w:r>
        <w:rPr>
          <w:spacing w:val="-2"/>
          <w:w w:val="99"/>
          <w:sz w:val="21"/>
        </w:rPr>
        <w:t>0</w:t>
      </w:r>
      <w:r>
        <w:rPr>
          <w:spacing w:val="1"/>
          <w:w w:val="99"/>
          <w:sz w:val="21"/>
        </w:rPr>
        <w:t>0</w:t>
      </w:r>
      <w:r>
        <w:rPr>
          <w:rFonts w:hint="eastAsia" w:ascii="仿宋" w:eastAsia="仿宋"/>
          <w:spacing w:val="-2"/>
          <w:w w:val="99"/>
          <w:sz w:val="21"/>
        </w:rPr>
        <w:t>m</w:t>
      </w:r>
      <w:r>
        <w:rPr>
          <w:spacing w:val="-1"/>
          <w:w w:val="106"/>
          <w:position w:val="11"/>
          <w:sz w:val="10"/>
        </w:rPr>
        <w:t>2</w:t>
      </w:r>
      <w:r>
        <w:rPr>
          <w:spacing w:val="-4"/>
          <w:w w:val="99"/>
          <w:sz w:val="21"/>
        </w:rPr>
        <w:t>；设坐便器、洗面盆二件卫生洁具的卫生间面积不应小于</w:t>
      </w:r>
      <w:r>
        <w:rPr>
          <w:spacing w:val="-50"/>
          <w:sz w:val="21"/>
        </w:rPr>
        <w:t xml:space="preserve"> </w:t>
      </w:r>
      <w:r>
        <w:rPr>
          <w:spacing w:val="1"/>
          <w:w w:val="99"/>
          <w:sz w:val="21"/>
        </w:rPr>
        <w:t>2.</w:t>
      </w:r>
      <w:r>
        <w:rPr>
          <w:spacing w:val="-2"/>
          <w:w w:val="99"/>
          <w:sz w:val="21"/>
        </w:rPr>
        <w:t>5</w:t>
      </w:r>
      <w:r>
        <w:rPr>
          <w:spacing w:val="1"/>
          <w:w w:val="99"/>
          <w:sz w:val="21"/>
        </w:rPr>
        <w:t>0</w:t>
      </w:r>
      <w:r>
        <w:rPr>
          <w:rFonts w:hint="eastAsia" w:ascii="仿宋" w:eastAsia="仿宋"/>
          <w:spacing w:val="-2"/>
          <w:w w:val="99"/>
          <w:sz w:val="21"/>
        </w:rPr>
        <w:t>m</w:t>
      </w:r>
      <w:r>
        <w:rPr>
          <w:spacing w:val="-1"/>
          <w:w w:val="106"/>
          <w:position w:val="11"/>
          <w:sz w:val="10"/>
        </w:rPr>
        <w:t>2</w:t>
      </w:r>
      <w:r>
        <w:rPr>
          <w:spacing w:val="-1"/>
          <w:w w:val="99"/>
          <w:sz w:val="21"/>
        </w:rPr>
        <w:t>；单设坐便器的卫生间面积不应小于</w:t>
      </w:r>
      <w:r>
        <w:rPr>
          <w:spacing w:val="-50"/>
          <w:sz w:val="21"/>
        </w:rPr>
        <w:t xml:space="preserve"> </w:t>
      </w:r>
      <w:r>
        <w:rPr>
          <w:spacing w:val="1"/>
          <w:w w:val="99"/>
          <w:sz w:val="21"/>
        </w:rPr>
        <w:t>2.0</w:t>
      </w:r>
      <w:r>
        <w:rPr>
          <w:spacing w:val="-2"/>
          <w:w w:val="99"/>
          <w:sz w:val="21"/>
        </w:rPr>
        <w:t>0</w:t>
      </w:r>
      <w:r>
        <w:rPr>
          <w:rFonts w:hint="eastAsia" w:ascii="仿宋" w:eastAsia="仿宋"/>
          <w:spacing w:val="1"/>
          <w:w w:val="99"/>
          <w:sz w:val="21"/>
        </w:rPr>
        <w:t>m</w:t>
      </w:r>
      <w:r>
        <w:rPr>
          <w:spacing w:val="-1"/>
          <w:w w:val="106"/>
          <w:position w:val="11"/>
          <w:sz w:val="10"/>
        </w:rPr>
        <w:t>2</w:t>
      </w:r>
      <w:r>
        <w:rPr>
          <w:w w:val="99"/>
          <w:sz w:val="21"/>
        </w:rPr>
        <w:t>。</w:t>
      </w:r>
    </w:p>
    <w:p>
      <w:pPr>
        <w:pStyle w:val="12"/>
        <w:numPr>
          <w:ilvl w:val="2"/>
          <w:numId w:val="32"/>
        </w:numPr>
        <w:tabs>
          <w:tab w:val="left" w:pos="1052"/>
          <w:tab w:val="left" w:pos="1053"/>
        </w:tabs>
        <w:spacing w:before="0" w:after="0" w:line="269" w:lineRule="exact"/>
        <w:ind w:left="1052" w:right="0" w:hanging="841"/>
        <w:jc w:val="left"/>
        <w:rPr>
          <w:sz w:val="21"/>
        </w:rPr>
      </w:pPr>
      <w:bookmarkStart w:id="189" w:name="4.2.38无障碍住房/宿舍尚应符合下列规定："/>
      <w:bookmarkEnd w:id="189"/>
      <w:bookmarkStart w:id="190" w:name="4.2.38无障碍住房/宿舍尚应符合下列规定："/>
      <w:bookmarkEnd w:id="190"/>
      <w:r>
        <w:rPr>
          <w:sz w:val="21"/>
        </w:rPr>
        <w:t>无障碍住房/宿舍尚应符合下列规定：</w:t>
      </w:r>
    </w:p>
    <w:p>
      <w:pPr>
        <w:pStyle w:val="5"/>
        <w:spacing w:before="6"/>
        <w:rPr>
          <w:sz w:val="15"/>
        </w:rPr>
      </w:pPr>
    </w:p>
    <w:p>
      <w:pPr>
        <w:pStyle w:val="12"/>
        <w:numPr>
          <w:ilvl w:val="0"/>
          <w:numId w:val="50"/>
        </w:numPr>
        <w:tabs>
          <w:tab w:val="left" w:pos="1052"/>
          <w:tab w:val="left" w:pos="1053"/>
        </w:tabs>
        <w:spacing w:before="1" w:after="0" w:line="417" w:lineRule="auto"/>
        <w:ind w:left="212" w:right="342" w:firstLine="424"/>
        <w:jc w:val="left"/>
        <w:rPr>
          <w:sz w:val="21"/>
        </w:rPr>
      </w:pPr>
      <w:r>
        <w:rPr>
          <w:spacing w:val="-7"/>
          <w:sz w:val="21"/>
        </w:rPr>
        <w:t xml:space="preserve">门应符合本标准第 </w:t>
      </w:r>
      <w:r>
        <w:rPr>
          <w:sz w:val="21"/>
        </w:rPr>
        <w:t>4.1.24</w:t>
      </w:r>
      <w:r>
        <w:rPr>
          <w:spacing w:val="-10"/>
          <w:sz w:val="21"/>
        </w:rPr>
        <w:t xml:space="preserve"> 条的有关规定，门外宜设置盲文门牌，户门距地面高度 </w:t>
      </w:r>
      <w:r>
        <w:rPr>
          <w:sz w:val="21"/>
        </w:rPr>
        <w:t>1.00</w:t>
      </w:r>
      <w:r>
        <w:rPr>
          <w:rFonts w:hint="eastAsia" w:ascii="仿宋" w:eastAsia="仿宋"/>
          <w:sz w:val="21"/>
        </w:rPr>
        <w:t>m</w:t>
      </w:r>
      <w:r>
        <w:rPr>
          <w:sz w:val="21"/>
        </w:rPr>
        <w:t>～1.10</w:t>
      </w:r>
      <w:r>
        <w:rPr>
          <w:rFonts w:hint="eastAsia" w:ascii="仿宋" w:eastAsia="仿宋"/>
          <w:sz w:val="21"/>
        </w:rPr>
        <w:t xml:space="preserve">m </w:t>
      </w:r>
      <w:r>
        <w:rPr>
          <w:sz w:val="21"/>
        </w:rPr>
        <w:t>处宜设置低位猫眼；</w:t>
      </w:r>
    </w:p>
    <w:p>
      <w:pPr>
        <w:pStyle w:val="12"/>
        <w:numPr>
          <w:ilvl w:val="0"/>
          <w:numId w:val="50"/>
        </w:numPr>
        <w:tabs>
          <w:tab w:val="left" w:pos="1052"/>
          <w:tab w:val="left" w:pos="1053"/>
        </w:tabs>
        <w:spacing w:before="0" w:after="0" w:line="269" w:lineRule="exact"/>
        <w:ind w:left="1052" w:right="0" w:hanging="416"/>
        <w:jc w:val="left"/>
        <w:rPr>
          <w:sz w:val="21"/>
        </w:rPr>
      </w:pPr>
      <w:r>
        <w:rPr>
          <w:sz w:val="21"/>
        </w:rPr>
        <w:t>门铃和门禁宜同时满足听觉障碍者、视觉障碍者和言语障碍者使用；</w:t>
      </w:r>
    </w:p>
    <w:p>
      <w:pPr>
        <w:pStyle w:val="5"/>
        <w:spacing w:before="6"/>
        <w:rPr>
          <w:sz w:val="15"/>
        </w:rPr>
      </w:pPr>
    </w:p>
    <w:p>
      <w:pPr>
        <w:pStyle w:val="12"/>
        <w:numPr>
          <w:ilvl w:val="0"/>
          <w:numId w:val="50"/>
        </w:numPr>
        <w:tabs>
          <w:tab w:val="left" w:pos="1052"/>
          <w:tab w:val="left" w:pos="1053"/>
        </w:tabs>
        <w:spacing w:before="0" w:after="0" w:line="240" w:lineRule="auto"/>
        <w:ind w:left="1052" w:right="0" w:hanging="416"/>
        <w:jc w:val="left"/>
        <w:rPr>
          <w:sz w:val="21"/>
        </w:rPr>
      </w:pPr>
      <w:r>
        <w:rPr>
          <w:spacing w:val="-4"/>
          <w:sz w:val="21"/>
        </w:rPr>
        <w:t>通往卧室、起居室(厅)、厨房、卫生间、储藏室及阳台的通道应为无障碍通道，至少在通道一侧</w:t>
      </w:r>
    </w:p>
    <w:p>
      <w:pPr>
        <w:spacing w:after="0" w:line="240" w:lineRule="auto"/>
        <w:jc w:val="left"/>
        <w:rPr>
          <w:sz w:val="21"/>
        </w:rPr>
        <w:sectPr>
          <w:pgSz w:w="11910" w:h="16840"/>
          <w:pgMar w:top="1580" w:right="820" w:bottom="1280" w:left="920" w:header="0" w:footer="1095" w:gutter="0"/>
          <w:cols w:space="720" w:num="1"/>
        </w:sectPr>
      </w:pPr>
    </w:p>
    <w:p>
      <w:pPr>
        <w:pStyle w:val="5"/>
        <w:spacing w:before="60"/>
        <w:ind w:left="212"/>
      </w:pPr>
      <w:r>
        <w:t>墙面设置扶手；</w:t>
      </w:r>
    </w:p>
    <w:p>
      <w:pPr>
        <w:pStyle w:val="5"/>
        <w:spacing w:before="6"/>
        <w:rPr>
          <w:sz w:val="15"/>
        </w:rPr>
      </w:pPr>
    </w:p>
    <w:p>
      <w:pPr>
        <w:pStyle w:val="12"/>
        <w:numPr>
          <w:ilvl w:val="0"/>
          <w:numId w:val="50"/>
        </w:numPr>
        <w:tabs>
          <w:tab w:val="left" w:pos="1052"/>
          <w:tab w:val="left" w:pos="1053"/>
        </w:tabs>
        <w:spacing w:before="1" w:after="0" w:line="240" w:lineRule="auto"/>
        <w:ind w:left="1052" w:right="0" w:hanging="416"/>
        <w:jc w:val="left"/>
        <w:rPr>
          <w:sz w:val="21"/>
        </w:rPr>
      </w:pPr>
      <w:r>
        <w:rPr>
          <w:sz w:val="21"/>
        </w:rPr>
        <w:t>家具和电器控制开关的位置和高度应方便乘轮椅者靠近和使用；</w:t>
      </w:r>
    </w:p>
    <w:p>
      <w:pPr>
        <w:pStyle w:val="5"/>
        <w:spacing w:before="6"/>
        <w:rPr>
          <w:sz w:val="15"/>
        </w:rPr>
      </w:pPr>
    </w:p>
    <w:p>
      <w:pPr>
        <w:pStyle w:val="12"/>
        <w:numPr>
          <w:ilvl w:val="0"/>
          <w:numId w:val="50"/>
        </w:numPr>
        <w:tabs>
          <w:tab w:val="left" w:pos="1052"/>
          <w:tab w:val="left" w:pos="1053"/>
        </w:tabs>
        <w:spacing w:before="0" w:after="0" w:line="240" w:lineRule="auto"/>
        <w:ind w:left="1052" w:right="0" w:hanging="416"/>
        <w:jc w:val="left"/>
        <w:rPr>
          <w:sz w:val="21"/>
        </w:rPr>
      </w:pPr>
      <w:r>
        <w:rPr>
          <w:sz w:val="21"/>
        </w:rPr>
        <w:t>主要人员活动空间及床边应设置求助呼叫按钮；</w:t>
      </w:r>
    </w:p>
    <w:p>
      <w:pPr>
        <w:pStyle w:val="5"/>
        <w:spacing w:before="7"/>
        <w:rPr>
          <w:sz w:val="15"/>
        </w:rPr>
      </w:pPr>
    </w:p>
    <w:p>
      <w:pPr>
        <w:pStyle w:val="12"/>
        <w:numPr>
          <w:ilvl w:val="0"/>
          <w:numId w:val="50"/>
        </w:numPr>
        <w:tabs>
          <w:tab w:val="left" w:pos="1052"/>
          <w:tab w:val="left" w:pos="1053"/>
        </w:tabs>
        <w:spacing w:before="0" w:after="0" w:line="240" w:lineRule="auto"/>
        <w:ind w:left="1052" w:right="0" w:hanging="416"/>
        <w:jc w:val="left"/>
        <w:rPr>
          <w:sz w:val="21"/>
        </w:rPr>
      </w:pPr>
      <w:r>
        <w:rPr>
          <w:spacing w:val="-3"/>
          <w:sz w:val="21"/>
        </w:rPr>
        <w:t xml:space="preserve">乘轮椅者上下床用的床侧通道宽度不应小于 </w:t>
      </w:r>
      <w:r>
        <w:rPr>
          <w:sz w:val="21"/>
        </w:rPr>
        <w:t>1.20</w:t>
      </w:r>
      <w:r>
        <w:rPr>
          <w:rFonts w:hint="eastAsia" w:ascii="仿宋" w:eastAsia="仿宋"/>
          <w:sz w:val="21"/>
        </w:rPr>
        <w:t>m</w:t>
      </w:r>
      <w:r>
        <w:rPr>
          <w:spacing w:val="-6"/>
          <w:sz w:val="21"/>
        </w:rPr>
        <w:t xml:space="preserve">，床的使用高度宜为 </w:t>
      </w:r>
      <w:r>
        <w:rPr>
          <w:sz w:val="21"/>
        </w:rPr>
        <w:t>450</w:t>
      </w:r>
      <w:r>
        <w:rPr>
          <w:rFonts w:hint="eastAsia" w:ascii="仿宋" w:eastAsia="仿宋"/>
          <w:sz w:val="21"/>
        </w:rPr>
        <w:t>mm</w:t>
      </w:r>
      <w:r>
        <w:rPr>
          <w:sz w:val="21"/>
        </w:rPr>
        <w:t>；</w:t>
      </w:r>
    </w:p>
    <w:p>
      <w:pPr>
        <w:pStyle w:val="5"/>
        <w:spacing w:before="7"/>
        <w:rPr>
          <w:sz w:val="15"/>
        </w:rPr>
      </w:pPr>
    </w:p>
    <w:p>
      <w:pPr>
        <w:pStyle w:val="12"/>
        <w:numPr>
          <w:ilvl w:val="0"/>
          <w:numId w:val="50"/>
        </w:numPr>
        <w:tabs>
          <w:tab w:val="left" w:pos="1052"/>
          <w:tab w:val="left" w:pos="1053"/>
        </w:tabs>
        <w:spacing w:before="0" w:after="0" w:line="417" w:lineRule="auto"/>
        <w:ind w:left="212" w:right="312" w:firstLine="424"/>
        <w:jc w:val="left"/>
        <w:rPr>
          <w:sz w:val="21"/>
        </w:rPr>
      </w:pPr>
      <w:r>
        <w:rPr>
          <w:spacing w:val="-4"/>
          <w:sz w:val="21"/>
        </w:rPr>
        <w:t xml:space="preserve">窗户可开启扇的执手距地面高度应为 </w:t>
      </w:r>
      <w:r>
        <w:rPr>
          <w:spacing w:val="-3"/>
          <w:sz w:val="21"/>
        </w:rPr>
        <w:t>0.85</w:t>
      </w:r>
      <w:r>
        <w:rPr>
          <w:rFonts w:hint="eastAsia" w:ascii="仿宋" w:eastAsia="仿宋"/>
          <w:spacing w:val="-3"/>
          <w:sz w:val="21"/>
        </w:rPr>
        <w:t>m</w:t>
      </w:r>
      <w:r>
        <w:rPr>
          <w:spacing w:val="-3"/>
          <w:sz w:val="21"/>
        </w:rPr>
        <w:t>～1.00</w:t>
      </w:r>
      <w:r>
        <w:rPr>
          <w:rFonts w:hint="eastAsia" w:ascii="仿宋" w:eastAsia="仿宋"/>
          <w:spacing w:val="-3"/>
          <w:sz w:val="21"/>
        </w:rPr>
        <w:t>m</w:t>
      </w:r>
      <w:r>
        <w:rPr>
          <w:spacing w:val="-5"/>
          <w:sz w:val="21"/>
        </w:rPr>
        <w:t>，否则应设置自动开闭系统；手动开关窗户操</w:t>
      </w:r>
      <w:r>
        <w:rPr>
          <w:spacing w:val="-10"/>
          <w:sz w:val="21"/>
        </w:rPr>
        <w:t xml:space="preserve">作所需的力度不应大于 </w:t>
      </w:r>
      <w:r>
        <w:rPr>
          <w:sz w:val="21"/>
        </w:rPr>
        <w:t>25</w:t>
      </w:r>
      <w:r>
        <w:rPr>
          <w:rFonts w:hint="eastAsia" w:ascii="仿宋" w:eastAsia="仿宋"/>
          <w:sz w:val="21"/>
        </w:rPr>
        <w:t>N</w:t>
      </w:r>
      <w:r>
        <w:rPr>
          <w:sz w:val="21"/>
        </w:rPr>
        <w:t>。</w:t>
      </w:r>
    </w:p>
    <w:p>
      <w:pPr>
        <w:pStyle w:val="12"/>
        <w:numPr>
          <w:ilvl w:val="0"/>
          <w:numId w:val="40"/>
        </w:numPr>
        <w:tabs>
          <w:tab w:val="left" w:pos="4744"/>
        </w:tabs>
        <w:spacing w:before="0" w:after="0" w:line="269" w:lineRule="exact"/>
        <w:ind w:left="4744" w:right="99" w:hanging="4744"/>
        <w:jc w:val="left"/>
        <w:rPr>
          <w:rFonts w:hint="eastAsia" w:ascii="黑体" w:eastAsia="黑体"/>
          <w:sz w:val="21"/>
        </w:rPr>
      </w:pPr>
      <w:bookmarkStart w:id="191" w:name="IX轮椅席位"/>
      <w:bookmarkEnd w:id="191"/>
      <w:bookmarkStart w:id="192" w:name="IX轮椅席位"/>
      <w:bookmarkEnd w:id="192"/>
      <w:r>
        <w:rPr>
          <w:rFonts w:hint="eastAsia" w:ascii="黑体" w:eastAsia="黑体"/>
          <w:sz w:val="21"/>
        </w:rPr>
        <w:t>轮椅席位</w:t>
      </w:r>
    </w:p>
    <w:p>
      <w:pPr>
        <w:pStyle w:val="5"/>
        <w:spacing w:before="6"/>
        <w:rPr>
          <w:rFonts w:ascii="黑体"/>
          <w:sz w:val="15"/>
        </w:rPr>
      </w:pPr>
    </w:p>
    <w:p>
      <w:pPr>
        <w:pStyle w:val="12"/>
        <w:numPr>
          <w:ilvl w:val="2"/>
          <w:numId w:val="32"/>
        </w:numPr>
        <w:tabs>
          <w:tab w:val="left" w:pos="1052"/>
          <w:tab w:val="left" w:pos="1053"/>
        </w:tabs>
        <w:spacing w:before="1" w:after="0" w:line="240" w:lineRule="auto"/>
        <w:ind w:left="1052" w:right="0" w:hanging="841"/>
        <w:jc w:val="left"/>
        <w:rPr>
          <w:sz w:val="21"/>
        </w:rPr>
      </w:pPr>
      <w:bookmarkStart w:id="193" w:name="4.2.39轮椅席位的观看视线不应受到遮挡，同时也不应遮挡他人视线。"/>
      <w:bookmarkEnd w:id="193"/>
      <w:bookmarkStart w:id="194" w:name="4.2.39轮椅席位的观看视线不应受到遮挡，同时也不应遮挡他人视线。"/>
      <w:bookmarkEnd w:id="194"/>
      <w:r>
        <w:rPr>
          <w:sz w:val="21"/>
        </w:rPr>
        <w:t>轮椅席位的观看视线不应受到遮挡，同时也不应遮挡他人视线。</w:t>
      </w:r>
    </w:p>
    <w:p>
      <w:pPr>
        <w:pStyle w:val="5"/>
        <w:spacing w:before="6"/>
        <w:rPr>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195" w:name="4.2.40轮椅席位应设在便于到达疏散口及通道的附近，不得设置在公共通道范围内。"/>
      <w:bookmarkEnd w:id="195"/>
      <w:bookmarkStart w:id="196" w:name="4.2.40轮椅席位应设在便于到达疏散口及通道的附近，不得设置在公共通道范围内。"/>
      <w:bookmarkEnd w:id="196"/>
      <w:r>
        <w:rPr>
          <w:sz w:val="21"/>
        </w:rPr>
        <w:t>轮椅席位应设在便于到达疏散口及通道的附近，不得设置在公共通道范围内。</w:t>
      </w:r>
    </w:p>
    <w:p>
      <w:pPr>
        <w:pStyle w:val="5"/>
        <w:spacing w:before="7"/>
        <w:rPr>
          <w:sz w:val="15"/>
        </w:rPr>
      </w:pPr>
    </w:p>
    <w:p>
      <w:pPr>
        <w:pStyle w:val="12"/>
        <w:numPr>
          <w:ilvl w:val="2"/>
          <w:numId w:val="32"/>
        </w:numPr>
        <w:tabs>
          <w:tab w:val="left" w:pos="1052"/>
          <w:tab w:val="left" w:pos="1053"/>
        </w:tabs>
        <w:spacing w:before="0" w:after="0" w:line="417" w:lineRule="auto"/>
        <w:ind w:left="212" w:right="310" w:firstLine="0"/>
        <w:jc w:val="left"/>
        <w:rPr>
          <w:sz w:val="21"/>
        </w:rPr>
      </w:pPr>
      <w:bookmarkStart w:id="197" w:name="4.2.41轮椅席位区应通过无障碍通行设施与疏散出口、公共服务、卫生间、讲台等必"/>
      <w:bookmarkEnd w:id="197"/>
      <w:bookmarkStart w:id="198" w:name="4.2.41轮椅席位区应通过无障碍通行设施与疏散出口、公共服务、卫生间、讲台等必"/>
      <w:bookmarkEnd w:id="198"/>
      <w:r>
        <w:rPr>
          <w:spacing w:val="-3"/>
          <w:w w:val="95"/>
          <w:sz w:val="21"/>
        </w:rPr>
        <w:t xml:space="preserve">轮椅席位区应通过无障碍通行设施与疏散出口、公共服务、卫生间、讲台等必要的功能空间和设   </w:t>
      </w:r>
      <w:r>
        <w:rPr>
          <w:spacing w:val="-5"/>
          <w:sz w:val="21"/>
        </w:rPr>
        <w:t xml:space="preserve">施连接。观众厅内通往轮椅席位的通道宽度不应小于 </w:t>
      </w:r>
      <w:r>
        <w:rPr>
          <w:sz w:val="21"/>
        </w:rPr>
        <w:t>1.20</w:t>
      </w:r>
      <w:r>
        <w:rPr>
          <w:rFonts w:hint="eastAsia" w:ascii="仿宋" w:eastAsia="仿宋"/>
          <w:sz w:val="21"/>
        </w:rPr>
        <w:t>m</w:t>
      </w:r>
      <w:r>
        <w:rPr>
          <w:sz w:val="21"/>
        </w:rPr>
        <w:t>。</w:t>
      </w:r>
    </w:p>
    <w:p>
      <w:pPr>
        <w:pStyle w:val="12"/>
        <w:numPr>
          <w:ilvl w:val="2"/>
          <w:numId w:val="32"/>
        </w:numPr>
        <w:tabs>
          <w:tab w:val="left" w:pos="1052"/>
          <w:tab w:val="left" w:pos="1053"/>
        </w:tabs>
        <w:spacing w:before="0" w:after="0" w:line="269" w:lineRule="exact"/>
        <w:ind w:left="1052" w:right="0" w:hanging="841"/>
        <w:jc w:val="left"/>
        <w:rPr>
          <w:sz w:val="21"/>
        </w:rPr>
      </w:pPr>
      <w:bookmarkStart w:id="199" w:name="4.2.42轮椅席位应符合下列规定："/>
      <w:bookmarkEnd w:id="199"/>
      <w:bookmarkStart w:id="200" w:name="4.2.42轮椅席位应符合下列规定："/>
      <w:bookmarkEnd w:id="200"/>
      <w:r>
        <w:rPr>
          <w:sz w:val="21"/>
        </w:rPr>
        <w:t>轮椅席位应符合下列规定：</w:t>
      </w:r>
    </w:p>
    <w:p>
      <w:pPr>
        <w:pStyle w:val="5"/>
        <w:spacing w:before="7"/>
        <w:rPr>
          <w:sz w:val="15"/>
        </w:rPr>
      </w:pPr>
    </w:p>
    <w:p>
      <w:pPr>
        <w:pStyle w:val="12"/>
        <w:numPr>
          <w:ilvl w:val="0"/>
          <w:numId w:val="51"/>
        </w:numPr>
        <w:tabs>
          <w:tab w:val="left" w:pos="1052"/>
          <w:tab w:val="left" w:pos="1053"/>
        </w:tabs>
        <w:spacing w:before="0" w:after="0" w:line="240" w:lineRule="auto"/>
        <w:ind w:left="1052" w:right="0" w:hanging="416"/>
        <w:jc w:val="left"/>
        <w:rPr>
          <w:sz w:val="21"/>
        </w:rPr>
      </w:pPr>
      <w:r>
        <w:rPr>
          <w:spacing w:val="-3"/>
          <w:sz w:val="21"/>
        </w:rPr>
        <w:t xml:space="preserve">每个轮椅席位的净尺寸深度不宜小于 </w:t>
      </w:r>
      <w:r>
        <w:rPr>
          <w:sz w:val="21"/>
        </w:rPr>
        <w:t>1.30</w:t>
      </w:r>
      <w:r>
        <w:rPr>
          <w:rFonts w:hint="eastAsia" w:ascii="仿宋" w:eastAsia="仿宋"/>
          <w:sz w:val="21"/>
        </w:rPr>
        <w:t>m</w:t>
      </w:r>
      <w:r>
        <w:rPr>
          <w:spacing w:val="-7"/>
          <w:sz w:val="21"/>
        </w:rPr>
        <w:t xml:space="preserve">，宽度不应小于 </w:t>
      </w:r>
      <w:r>
        <w:rPr>
          <w:sz w:val="21"/>
        </w:rPr>
        <w:t>800</w:t>
      </w:r>
      <w:r>
        <w:rPr>
          <w:rFonts w:hint="eastAsia" w:ascii="仿宋" w:eastAsia="仿宋"/>
          <w:sz w:val="21"/>
        </w:rPr>
        <w:t>mm</w:t>
      </w:r>
      <w:r>
        <w:rPr>
          <w:sz w:val="21"/>
        </w:rPr>
        <w:t>；</w:t>
      </w:r>
    </w:p>
    <w:p>
      <w:pPr>
        <w:pStyle w:val="5"/>
        <w:spacing w:before="6"/>
        <w:rPr>
          <w:sz w:val="15"/>
        </w:rPr>
      </w:pPr>
    </w:p>
    <w:p>
      <w:pPr>
        <w:pStyle w:val="12"/>
        <w:numPr>
          <w:ilvl w:val="0"/>
          <w:numId w:val="51"/>
        </w:numPr>
        <w:tabs>
          <w:tab w:val="left" w:pos="1052"/>
          <w:tab w:val="left" w:pos="1053"/>
        </w:tabs>
        <w:spacing w:before="1" w:after="0" w:line="417" w:lineRule="auto"/>
        <w:ind w:left="212" w:right="310" w:firstLine="424"/>
        <w:jc w:val="left"/>
        <w:rPr>
          <w:sz w:val="21"/>
        </w:rPr>
      </w:pPr>
      <w:r>
        <w:rPr>
          <w:spacing w:val="-10"/>
          <w:sz w:val="21"/>
        </w:rPr>
        <w:t xml:space="preserve">观众席为 </w:t>
      </w:r>
      <w:r>
        <w:rPr>
          <w:sz w:val="21"/>
        </w:rPr>
        <w:t>100</w:t>
      </w:r>
      <w:r>
        <w:rPr>
          <w:spacing w:val="-10"/>
          <w:sz w:val="21"/>
        </w:rPr>
        <w:t xml:space="preserve"> 座及以下时应至少设置 </w:t>
      </w:r>
      <w:r>
        <w:rPr>
          <w:sz w:val="21"/>
        </w:rPr>
        <w:t>1</w:t>
      </w:r>
      <w:r>
        <w:rPr>
          <w:spacing w:val="-7"/>
          <w:sz w:val="21"/>
        </w:rPr>
        <w:t xml:space="preserve"> 个轮椅席位；</w:t>
      </w:r>
      <w:r>
        <w:rPr>
          <w:sz w:val="21"/>
        </w:rPr>
        <w:t>101～400</w:t>
      </w:r>
      <w:r>
        <w:rPr>
          <w:spacing w:val="-6"/>
          <w:sz w:val="21"/>
        </w:rPr>
        <w:t xml:space="preserve"> 座时应至少设置 </w:t>
      </w:r>
      <w:r>
        <w:rPr>
          <w:sz w:val="21"/>
        </w:rPr>
        <w:t>2</w:t>
      </w:r>
      <w:r>
        <w:rPr>
          <w:spacing w:val="-7"/>
          <w:sz w:val="21"/>
        </w:rPr>
        <w:t xml:space="preserve"> 个轮椅席位； 400</w:t>
      </w:r>
      <w:r>
        <w:rPr>
          <w:spacing w:val="-13"/>
          <w:sz w:val="21"/>
        </w:rPr>
        <w:t xml:space="preserve"> 座以上时，每增加 </w:t>
      </w:r>
      <w:r>
        <w:rPr>
          <w:sz w:val="21"/>
        </w:rPr>
        <w:t>200</w:t>
      </w:r>
      <w:r>
        <w:rPr>
          <w:spacing w:val="-13"/>
          <w:sz w:val="21"/>
        </w:rPr>
        <w:t xml:space="preserve"> 个座位应至少设置 </w:t>
      </w:r>
      <w:r>
        <w:rPr>
          <w:sz w:val="21"/>
        </w:rPr>
        <w:t>1</w:t>
      </w:r>
      <w:r>
        <w:rPr>
          <w:spacing w:val="-9"/>
          <w:sz w:val="21"/>
        </w:rPr>
        <w:t xml:space="preserve"> 个轮椅席位；</w:t>
      </w:r>
    </w:p>
    <w:p>
      <w:pPr>
        <w:pStyle w:val="12"/>
        <w:numPr>
          <w:ilvl w:val="0"/>
          <w:numId w:val="51"/>
        </w:numPr>
        <w:tabs>
          <w:tab w:val="left" w:pos="1052"/>
          <w:tab w:val="left" w:pos="1053"/>
        </w:tabs>
        <w:spacing w:before="0" w:after="0" w:line="269" w:lineRule="exact"/>
        <w:ind w:left="1052" w:right="0" w:hanging="416"/>
        <w:jc w:val="left"/>
        <w:rPr>
          <w:sz w:val="21"/>
        </w:rPr>
      </w:pPr>
      <w:r>
        <w:rPr>
          <w:spacing w:val="-3"/>
          <w:sz w:val="21"/>
        </w:rPr>
        <w:t xml:space="preserve">在轮椅席位旁或在邻近的观众席处宜设置 </w:t>
      </w:r>
      <w:r>
        <w:rPr>
          <w:sz w:val="21"/>
        </w:rPr>
        <w:t>1:1</w:t>
      </w:r>
      <w:r>
        <w:rPr>
          <w:spacing w:val="-9"/>
          <w:sz w:val="21"/>
        </w:rPr>
        <w:t xml:space="preserve"> 的陪护席位；</w:t>
      </w:r>
    </w:p>
    <w:p>
      <w:pPr>
        <w:pStyle w:val="5"/>
        <w:spacing w:before="6"/>
        <w:rPr>
          <w:sz w:val="15"/>
        </w:rPr>
      </w:pPr>
    </w:p>
    <w:p>
      <w:pPr>
        <w:pStyle w:val="12"/>
        <w:numPr>
          <w:ilvl w:val="0"/>
          <w:numId w:val="51"/>
        </w:numPr>
        <w:tabs>
          <w:tab w:val="left" w:pos="1052"/>
          <w:tab w:val="left" w:pos="1053"/>
        </w:tabs>
        <w:spacing w:before="0" w:after="0" w:line="240" w:lineRule="auto"/>
        <w:ind w:left="1052" w:right="0" w:hanging="416"/>
        <w:jc w:val="left"/>
        <w:rPr>
          <w:sz w:val="21"/>
        </w:rPr>
      </w:pPr>
      <w:r>
        <w:rPr>
          <w:sz w:val="21"/>
        </w:rPr>
        <w:t>在轮椅席位未被使用时，可安放活动座椅；</w:t>
      </w:r>
    </w:p>
    <w:p>
      <w:pPr>
        <w:pStyle w:val="5"/>
        <w:spacing w:before="7"/>
        <w:rPr>
          <w:sz w:val="15"/>
        </w:rPr>
      </w:pPr>
    </w:p>
    <w:p>
      <w:pPr>
        <w:pStyle w:val="12"/>
        <w:numPr>
          <w:ilvl w:val="0"/>
          <w:numId w:val="51"/>
        </w:numPr>
        <w:tabs>
          <w:tab w:val="left" w:pos="1052"/>
          <w:tab w:val="left" w:pos="1053"/>
        </w:tabs>
        <w:spacing w:before="0" w:after="0" w:line="240" w:lineRule="auto"/>
        <w:ind w:left="1052" w:right="0" w:hanging="416"/>
        <w:jc w:val="left"/>
        <w:rPr>
          <w:sz w:val="21"/>
        </w:rPr>
      </w:pPr>
      <w:r>
        <w:rPr>
          <w:sz w:val="21"/>
        </w:rPr>
        <w:t>地面应平整、防滑，在边缘处宜安装栏杆或栏板；</w:t>
      </w:r>
    </w:p>
    <w:p>
      <w:pPr>
        <w:pStyle w:val="5"/>
        <w:spacing w:before="7"/>
        <w:rPr>
          <w:sz w:val="15"/>
        </w:rPr>
      </w:pPr>
    </w:p>
    <w:p>
      <w:pPr>
        <w:pStyle w:val="12"/>
        <w:numPr>
          <w:ilvl w:val="0"/>
          <w:numId w:val="51"/>
        </w:numPr>
        <w:tabs>
          <w:tab w:val="left" w:pos="1052"/>
          <w:tab w:val="left" w:pos="1053"/>
        </w:tabs>
        <w:spacing w:before="0" w:after="0" w:line="240" w:lineRule="auto"/>
        <w:ind w:left="1052" w:right="0" w:hanging="416"/>
        <w:jc w:val="left"/>
        <w:rPr>
          <w:sz w:val="21"/>
        </w:rPr>
      </w:pPr>
      <w:r>
        <w:rPr>
          <w:spacing w:val="-6"/>
          <w:sz w:val="21"/>
        </w:rPr>
        <w:t xml:space="preserve">地面坡度不应大于 </w:t>
      </w:r>
      <w:r>
        <w:rPr>
          <w:sz w:val="21"/>
        </w:rPr>
        <w:t>1:50；</w:t>
      </w:r>
    </w:p>
    <w:p>
      <w:pPr>
        <w:pStyle w:val="5"/>
        <w:spacing w:before="6"/>
        <w:rPr>
          <w:sz w:val="15"/>
        </w:rPr>
      </w:pPr>
    </w:p>
    <w:p>
      <w:pPr>
        <w:pStyle w:val="12"/>
        <w:numPr>
          <w:ilvl w:val="0"/>
          <w:numId w:val="51"/>
        </w:numPr>
        <w:tabs>
          <w:tab w:val="left" w:pos="1052"/>
          <w:tab w:val="left" w:pos="1053"/>
        </w:tabs>
        <w:spacing w:before="1" w:after="0" w:line="240" w:lineRule="auto"/>
        <w:ind w:left="1052" w:right="0" w:hanging="416"/>
        <w:jc w:val="left"/>
        <w:rPr>
          <w:sz w:val="21"/>
        </w:rPr>
      </w:pPr>
      <w:r>
        <w:rPr>
          <w:sz w:val="21"/>
        </w:rPr>
        <w:t>轮椅席位处地面上应设置标识设施。</w:t>
      </w:r>
    </w:p>
    <w:p>
      <w:pPr>
        <w:pStyle w:val="5"/>
        <w:spacing w:before="6"/>
        <w:rPr>
          <w:sz w:val="15"/>
        </w:rPr>
      </w:pPr>
    </w:p>
    <w:p>
      <w:pPr>
        <w:pStyle w:val="12"/>
        <w:numPr>
          <w:ilvl w:val="0"/>
          <w:numId w:val="40"/>
        </w:numPr>
        <w:tabs>
          <w:tab w:val="left" w:pos="4480"/>
        </w:tabs>
        <w:spacing w:before="0" w:after="0" w:line="240" w:lineRule="auto"/>
        <w:ind w:left="4480" w:right="102" w:hanging="4480"/>
        <w:jc w:val="left"/>
        <w:rPr>
          <w:rFonts w:hint="eastAsia" w:ascii="黑体" w:eastAsia="黑体"/>
          <w:sz w:val="21"/>
        </w:rPr>
      </w:pPr>
      <w:bookmarkStart w:id="201" w:name="X低位服务设施"/>
      <w:bookmarkEnd w:id="201"/>
      <w:bookmarkStart w:id="202" w:name="X低位服务设施"/>
      <w:bookmarkEnd w:id="202"/>
      <w:r>
        <w:rPr>
          <w:rFonts w:hint="eastAsia" w:ascii="黑体" w:eastAsia="黑体"/>
          <w:sz w:val="21"/>
        </w:rPr>
        <w:t>低位服务设施</w:t>
      </w:r>
    </w:p>
    <w:p>
      <w:pPr>
        <w:pStyle w:val="5"/>
        <w:spacing w:before="7"/>
        <w:rPr>
          <w:rFonts w:ascii="黑体"/>
          <w:sz w:val="15"/>
        </w:rPr>
      </w:pPr>
    </w:p>
    <w:p>
      <w:pPr>
        <w:pStyle w:val="12"/>
        <w:numPr>
          <w:ilvl w:val="2"/>
          <w:numId w:val="32"/>
        </w:numPr>
        <w:tabs>
          <w:tab w:val="left" w:pos="1052"/>
          <w:tab w:val="left" w:pos="1053"/>
        </w:tabs>
        <w:spacing w:before="0" w:after="0" w:line="417" w:lineRule="auto"/>
        <w:ind w:left="212" w:right="310" w:firstLine="0"/>
        <w:jc w:val="left"/>
        <w:rPr>
          <w:sz w:val="21"/>
        </w:rPr>
      </w:pPr>
      <w:bookmarkStart w:id="203" w:name="4.2.43问询台、接待处、业务台、收银台、借阅台、行李托运台、电话台、服务窗口"/>
      <w:bookmarkEnd w:id="203"/>
      <w:bookmarkStart w:id="204" w:name="4.2.43问询台、接待处、业务台、收银台、借阅台、行李托运台、电话台、服务窗口"/>
      <w:bookmarkEnd w:id="204"/>
      <w:r>
        <w:rPr>
          <w:spacing w:val="-3"/>
          <w:w w:val="95"/>
          <w:sz w:val="21"/>
        </w:rPr>
        <w:t xml:space="preserve">问询台、接待处、业务台、收银台、借阅台、行李托运台、电话台、服务窗口、安检验证台等公   </w:t>
      </w:r>
      <w:r>
        <w:rPr>
          <w:spacing w:val="-3"/>
          <w:sz w:val="21"/>
        </w:rPr>
        <w:t>众服务台和残障人士使用的工作台，均应设置低位服务设施。</w:t>
      </w:r>
    </w:p>
    <w:p>
      <w:pPr>
        <w:pStyle w:val="12"/>
        <w:numPr>
          <w:ilvl w:val="2"/>
          <w:numId w:val="32"/>
        </w:numPr>
        <w:tabs>
          <w:tab w:val="left" w:pos="1052"/>
          <w:tab w:val="left" w:pos="1053"/>
        </w:tabs>
        <w:spacing w:before="0" w:after="0" w:line="417" w:lineRule="auto"/>
        <w:ind w:left="212" w:right="310" w:firstLine="0"/>
        <w:jc w:val="left"/>
        <w:rPr>
          <w:sz w:val="21"/>
        </w:rPr>
      </w:pPr>
      <w:bookmarkStart w:id="205" w:name="4.2.44当设置饮水机、自动取款机、自动售票机、自动贩卖机等时，每个区域的不同"/>
      <w:bookmarkEnd w:id="205"/>
      <w:bookmarkStart w:id="206" w:name="4.2.44当设置饮水机、自动取款机、自动售票机、自动贩卖机等时，每个区域的不同"/>
      <w:bookmarkEnd w:id="206"/>
      <w:r>
        <w:rPr>
          <w:spacing w:val="-4"/>
          <w:sz w:val="21"/>
        </w:rPr>
        <w:t>当设置饮水机、自动取款机、自动售票机、自动贩卖机等时，每个区域的不同类型设施应至少有1</w:t>
      </w:r>
      <w:r>
        <w:rPr>
          <w:spacing w:val="-8"/>
          <w:sz w:val="21"/>
        </w:rPr>
        <w:t xml:space="preserve"> 台为低位服务设施。</w:t>
      </w:r>
    </w:p>
    <w:p>
      <w:pPr>
        <w:pStyle w:val="12"/>
        <w:numPr>
          <w:ilvl w:val="2"/>
          <w:numId w:val="32"/>
        </w:numPr>
        <w:tabs>
          <w:tab w:val="left" w:pos="1052"/>
          <w:tab w:val="left" w:pos="1053"/>
        </w:tabs>
        <w:spacing w:before="0" w:after="0" w:line="269" w:lineRule="exact"/>
        <w:ind w:left="1052" w:right="0" w:hanging="841"/>
        <w:jc w:val="left"/>
        <w:rPr>
          <w:sz w:val="21"/>
        </w:rPr>
      </w:pPr>
      <w:bookmarkStart w:id="207" w:name="4.2.45低位服务设施前应留有轮椅回转空间。"/>
      <w:bookmarkEnd w:id="207"/>
      <w:bookmarkStart w:id="208" w:name="4.2.45低位服务设施前应留有轮椅回转空间。"/>
      <w:bookmarkEnd w:id="208"/>
      <w:r>
        <w:rPr>
          <w:sz w:val="21"/>
        </w:rPr>
        <w:t>低位服务设施前应留有轮椅回转空间。</w:t>
      </w:r>
    </w:p>
    <w:p>
      <w:pPr>
        <w:pStyle w:val="5"/>
        <w:spacing w:before="6"/>
        <w:rPr>
          <w:sz w:val="15"/>
        </w:rPr>
      </w:pPr>
    </w:p>
    <w:p>
      <w:pPr>
        <w:pStyle w:val="12"/>
        <w:numPr>
          <w:ilvl w:val="2"/>
          <w:numId w:val="32"/>
        </w:numPr>
        <w:tabs>
          <w:tab w:val="left" w:pos="1052"/>
          <w:tab w:val="left" w:pos="1053"/>
        </w:tabs>
        <w:spacing w:before="1" w:after="0" w:line="240" w:lineRule="auto"/>
        <w:ind w:left="1052" w:right="0" w:hanging="841"/>
        <w:jc w:val="left"/>
        <w:rPr>
          <w:sz w:val="21"/>
        </w:rPr>
      </w:pPr>
      <w:bookmarkStart w:id="209" w:name="4.2.46低位服务设施的上表面距地面高度宜为700mm～850mm，其下部应留"/>
      <w:bookmarkEnd w:id="209"/>
      <w:bookmarkStart w:id="210" w:name="4.2.46低位服务设施的上表面距地面高度宜为700mm～850mm，其下部应留"/>
      <w:bookmarkEnd w:id="210"/>
      <w:r>
        <w:rPr>
          <w:spacing w:val="-3"/>
          <w:sz w:val="21"/>
        </w:rPr>
        <w:t xml:space="preserve">低位服务设施的上表面距地面高度宜为 </w:t>
      </w:r>
      <w:r>
        <w:rPr>
          <w:sz w:val="21"/>
        </w:rPr>
        <w:t>700</w:t>
      </w:r>
      <w:r>
        <w:rPr>
          <w:rFonts w:hint="eastAsia" w:ascii="仿宋" w:eastAsia="仿宋"/>
          <w:sz w:val="21"/>
        </w:rPr>
        <w:t>mm</w:t>
      </w:r>
      <w:r>
        <w:rPr>
          <w:sz w:val="21"/>
        </w:rPr>
        <w:t>～850</w:t>
      </w:r>
      <w:r>
        <w:rPr>
          <w:rFonts w:hint="eastAsia" w:ascii="仿宋" w:eastAsia="仿宋"/>
          <w:sz w:val="21"/>
        </w:rPr>
        <w:t>mm</w:t>
      </w:r>
      <w:r>
        <w:rPr>
          <w:sz w:val="21"/>
        </w:rPr>
        <w:t>，其下部应留出容膝容脚空间。</w:t>
      </w:r>
    </w:p>
    <w:p>
      <w:pPr>
        <w:pStyle w:val="5"/>
        <w:spacing w:before="6"/>
        <w:rPr>
          <w:sz w:val="15"/>
        </w:rPr>
      </w:pPr>
    </w:p>
    <w:p>
      <w:pPr>
        <w:pStyle w:val="12"/>
        <w:numPr>
          <w:ilvl w:val="2"/>
          <w:numId w:val="32"/>
        </w:numPr>
        <w:tabs>
          <w:tab w:val="left" w:pos="1052"/>
          <w:tab w:val="left" w:pos="1053"/>
        </w:tabs>
        <w:spacing w:before="0" w:after="0" w:line="240" w:lineRule="auto"/>
        <w:ind w:left="1052" w:right="0" w:hanging="841"/>
        <w:jc w:val="left"/>
        <w:rPr>
          <w:sz w:val="21"/>
        </w:rPr>
      </w:pPr>
      <w:bookmarkStart w:id="211" w:name="4.2.47低位服务设施处应设置标识设施。"/>
      <w:bookmarkEnd w:id="211"/>
      <w:bookmarkStart w:id="212" w:name="4.2.47低位服务设施处应设置标识设施。"/>
      <w:bookmarkEnd w:id="212"/>
      <w:r>
        <w:rPr>
          <w:sz w:val="21"/>
        </w:rPr>
        <w:t>低位服务设施处应设置标识设施。</w:t>
      </w:r>
    </w:p>
    <w:p>
      <w:pPr>
        <w:pStyle w:val="5"/>
        <w:spacing w:before="7"/>
        <w:rPr>
          <w:sz w:val="15"/>
        </w:rPr>
      </w:pPr>
    </w:p>
    <w:p>
      <w:pPr>
        <w:pStyle w:val="12"/>
        <w:numPr>
          <w:ilvl w:val="3"/>
          <w:numId w:val="2"/>
        </w:numPr>
        <w:tabs>
          <w:tab w:val="left" w:pos="4509"/>
        </w:tabs>
        <w:spacing w:before="0" w:after="0" w:line="240" w:lineRule="auto"/>
        <w:ind w:left="4508" w:right="0" w:hanging="421"/>
        <w:jc w:val="left"/>
        <w:rPr>
          <w:rFonts w:hint="eastAsia" w:ascii="黑体" w:eastAsia="黑体"/>
          <w:sz w:val="21"/>
        </w:rPr>
      </w:pPr>
      <w:bookmarkStart w:id="213" w:name="_bookmark6"/>
      <w:bookmarkEnd w:id="213"/>
      <w:bookmarkStart w:id="214" w:name="4.3无障碍信息设施"/>
      <w:bookmarkEnd w:id="214"/>
      <w:bookmarkStart w:id="215" w:name="_bookmark6"/>
      <w:bookmarkEnd w:id="215"/>
      <w:r>
        <w:rPr>
          <w:rFonts w:hint="eastAsia" w:ascii="黑体" w:eastAsia="黑体"/>
          <w:sz w:val="21"/>
        </w:rPr>
        <w:t>无障碍信息设施</w:t>
      </w:r>
    </w:p>
    <w:p>
      <w:pPr>
        <w:spacing w:after="0" w:line="240" w:lineRule="auto"/>
        <w:jc w:val="left"/>
        <w:rPr>
          <w:rFonts w:hint="eastAsia" w:ascii="黑体" w:eastAsia="黑体"/>
          <w:sz w:val="21"/>
        </w:rPr>
        <w:sectPr>
          <w:pgSz w:w="11910" w:h="16840"/>
          <w:pgMar w:top="1580" w:right="820" w:bottom="1280" w:left="920" w:header="0" w:footer="1095" w:gutter="0"/>
          <w:cols w:space="720" w:num="1"/>
        </w:sectPr>
      </w:pPr>
    </w:p>
    <w:p>
      <w:pPr>
        <w:pStyle w:val="12"/>
        <w:numPr>
          <w:ilvl w:val="4"/>
          <w:numId w:val="2"/>
        </w:numPr>
        <w:tabs>
          <w:tab w:val="left" w:pos="4692"/>
        </w:tabs>
        <w:spacing w:before="60" w:after="0" w:line="240" w:lineRule="auto"/>
        <w:ind w:left="4691" w:right="102" w:hanging="4692"/>
        <w:jc w:val="left"/>
        <w:rPr>
          <w:rFonts w:hint="eastAsia" w:ascii="黑体" w:eastAsia="黑体"/>
          <w:sz w:val="21"/>
        </w:rPr>
      </w:pPr>
      <w:bookmarkStart w:id="216" w:name="I一般规定"/>
      <w:bookmarkEnd w:id="216"/>
      <w:bookmarkStart w:id="217" w:name="I一般规定"/>
      <w:bookmarkEnd w:id="217"/>
      <w:r>
        <w:rPr>
          <w:rFonts w:hint="eastAsia" w:ascii="黑体" w:eastAsia="黑体"/>
          <w:sz w:val="21"/>
        </w:rPr>
        <w:t>一般规定</w:t>
      </w:r>
    </w:p>
    <w:p>
      <w:pPr>
        <w:pStyle w:val="5"/>
        <w:spacing w:before="6"/>
        <w:rPr>
          <w:rFonts w:ascii="黑体"/>
          <w:sz w:val="15"/>
        </w:rPr>
      </w:pPr>
    </w:p>
    <w:p>
      <w:pPr>
        <w:pStyle w:val="12"/>
        <w:numPr>
          <w:ilvl w:val="2"/>
          <w:numId w:val="52"/>
        </w:numPr>
        <w:tabs>
          <w:tab w:val="left" w:pos="1052"/>
          <w:tab w:val="left" w:pos="1053"/>
        </w:tabs>
        <w:spacing w:before="1" w:after="0" w:line="240" w:lineRule="auto"/>
        <w:ind w:left="1052" w:right="0" w:hanging="841"/>
        <w:jc w:val="left"/>
        <w:rPr>
          <w:sz w:val="21"/>
        </w:rPr>
      </w:pPr>
      <w:bookmarkStart w:id="218" w:name="4.3.1无障碍信息设施可包括标识设施、盲文设施、交互设备等。"/>
      <w:bookmarkEnd w:id="218"/>
      <w:bookmarkStart w:id="219" w:name="4.3.1无障碍信息设施可包括标识设施、盲文设施、交互设备等。"/>
      <w:bookmarkEnd w:id="219"/>
      <w:r>
        <w:rPr>
          <w:sz w:val="21"/>
        </w:rPr>
        <w:t>无障碍信息设施可包括标识设施、盲文设施、交互设备等。</w:t>
      </w:r>
    </w:p>
    <w:p>
      <w:pPr>
        <w:pStyle w:val="5"/>
        <w:spacing w:before="6"/>
        <w:rPr>
          <w:sz w:val="15"/>
        </w:rPr>
      </w:pPr>
    </w:p>
    <w:p>
      <w:pPr>
        <w:pStyle w:val="12"/>
        <w:numPr>
          <w:ilvl w:val="2"/>
          <w:numId w:val="52"/>
        </w:numPr>
        <w:tabs>
          <w:tab w:val="left" w:pos="1052"/>
          <w:tab w:val="left" w:pos="1053"/>
        </w:tabs>
        <w:spacing w:before="0" w:after="0" w:line="240" w:lineRule="auto"/>
        <w:ind w:left="1052" w:right="0" w:hanging="841"/>
        <w:jc w:val="left"/>
        <w:rPr>
          <w:sz w:val="21"/>
        </w:rPr>
      </w:pPr>
      <w:bookmarkStart w:id="220" w:name="4.3.2无障碍通行设施和无障碍服务设施处应设置标识设施。"/>
      <w:bookmarkEnd w:id="220"/>
      <w:bookmarkStart w:id="221" w:name="4.3.2无障碍通行设施和无障碍服务设施处应设置标识设施。"/>
      <w:bookmarkEnd w:id="221"/>
      <w:r>
        <w:rPr>
          <w:sz w:val="21"/>
        </w:rPr>
        <w:t>无障碍通行设施和无障碍服务设施处应设置标识设施。</w:t>
      </w:r>
    </w:p>
    <w:p>
      <w:pPr>
        <w:pStyle w:val="5"/>
        <w:spacing w:before="7"/>
        <w:rPr>
          <w:sz w:val="15"/>
        </w:rPr>
      </w:pPr>
    </w:p>
    <w:p>
      <w:pPr>
        <w:pStyle w:val="12"/>
        <w:numPr>
          <w:ilvl w:val="2"/>
          <w:numId w:val="52"/>
        </w:numPr>
        <w:tabs>
          <w:tab w:val="left" w:pos="1052"/>
          <w:tab w:val="left" w:pos="1053"/>
        </w:tabs>
        <w:spacing w:before="0" w:after="0" w:line="417" w:lineRule="auto"/>
        <w:ind w:left="212" w:right="103" w:firstLine="0"/>
        <w:jc w:val="left"/>
        <w:rPr>
          <w:sz w:val="21"/>
        </w:rPr>
      </w:pPr>
      <w:bookmarkStart w:id="222" w:name="4.3.3在语音信息密集的公共场所和以声音为主要传播手段的公共服务中，应提供文字"/>
      <w:bookmarkEnd w:id="222"/>
      <w:bookmarkStart w:id="223" w:name="4.3.3在语音信息密集的公共场所和以声音为主要传播手段的公共服务中，应提供文字"/>
      <w:bookmarkEnd w:id="223"/>
      <w:r>
        <w:rPr>
          <w:spacing w:val="-1"/>
          <w:w w:val="95"/>
          <w:sz w:val="21"/>
        </w:rPr>
        <w:t xml:space="preserve">在语音信息密集的公共场所和以声音为主要传播手段的公共服务中，应提供文字信息的辅助服务；   </w:t>
      </w:r>
      <w:r>
        <w:rPr>
          <w:spacing w:val="-1"/>
          <w:sz w:val="21"/>
        </w:rPr>
        <w:t>在以视觉信息为主的公共服务中，应提供听觉信息的辅助服务。</w:t>
      </w:r>
    </w:p>
    <w:p>
      <w:pPr>
        <w:pStyle w:val="12"/>
        <w:numPr>
          <w:ilvl w:val="2"/>
          <w:numId w:val="52"/>
        </w:numPr>
        <w:tabs>
          <w:tab w:val="left" w:pos="1052"/>
          <w:tab w:val="left" w:pos="1053"/>
        </w:tabs>
        <w:spacing w:before="0" w:after="0" w:line="269" w:lineRule="exact"/>
        <w:ind w:left="1052" w:right="0" w:hanging="841"/>
        <w:jc w:val="left"/>
        <w:rPr>
          <w:sz w:val="21"/>
        </w:rPr>
      </w:pPr>
      <w:bookmarkStart w:id="224" w:name="4.3.4无障碍信息设施位置和布局应合理，不应被其他设施遮挡或影响，应使人们便捷"/>
      <w:bookmarkEnd w:id="224"/>
      <w:bookmarkStart w:id="225" w:name="4.3.4无障碍信息设施位置和布局应合理，不应被其他设施遮挡或影响，应使人们便捷"/>
      <w:bookmarkEnd w:id="225"/>
      <w:r>
        <w:rPr>
          <w:sz w:val="21"/>
        </w:rPr>
        <w:t>无障碍信息设施位置和布局应合理，不应被其他设施遮挡或影响，应使人们便捷获取相关信息。</w:t>
      </w:r>
    </w:p>
    <w:p>
      <w:pPr>
        <w:pStyle w:val="5"/>
        <w:spacing w:before="7"/>
        <w:rPr>
          <w:sz w:val="15"/>
        </w:rPr>
      </w:pPr>
    </w:p>
    <w:p>
      <w:pPr>
        <w:pStyle w:val="12"/>
        <w:numPr>
          <w:ilvl w:val="4"/>
          <w:numId w:val="2"/>
        </w:numPr>
        <w:tabs>
          <w:tab w:val="left" w:pos="4744"/>
        </w:tabs>
        <w:spacing w:before="0" w:after="0" w:line="240" w:lineRule="auto"/>
        <w:ind w:left="4744" w:right="99" w:hanging="4744"/>
        <w:jc w:val="left"/>
        <w:rPr>
          <w:rFonts w:hint="eastAsia" w:ascii="黑体" w:eastAsia="黑体"/>
          <w:sz w:val="21"/>
        </w:rPr>
      </w:pPr>
      <w:bookmarkStart w:id="226" w:name="II标识设施"/>
      <w:bookmarkEnd w:id="226"/>
      <w:bookmarkStart w:id="227" w:name="II标识设施"/>
      <w:bookmarkEnd w:id="227"/>
      <w:r>
        <w:rPr>
          <w:rFonts w:hint="eastAsia" w:ascii="黑体" w:eastAsia="黑体"/>
          <w:sz w:val="21"/>
        </w:rPr>
        <w:t>标识设施</w:t>
      </w:r>
    </w:p>
    <w:p>
      <w:pPr>
        <w:pStyle w:val="5"/>
        <w:spacing w:before="6"/>
        <w:rPr>
          <w:rFonts w:ascii="黑体"/>
          <w:sz w:val="15"/>
        </w:rPr>
      </w:pPr>
    </w:p>
    <w:p>
      <w:pPr>
        <w:pStyle w:val="12"/>
        <w:numPr>
          <w:ilvl w:val="2"/>
          <w:numId w:val="52"/>
        </w:numPr>
        <w:tabs>
          <w:tab w:val="left" w:pos="1052"/>
          <w:tab w:val="left" w:pos="1053"/>
        </w:tabs>
        <w:spacing w:before="1" w:after="0" w:line="240" w:lineRule="auto"/>
        <w:ind w:left="1052" w:right="0" w:hanging="841"/>
        <w:jc w:val="left"/>
        <w:rPr>
          <w:sz w:val="21"/>
        </w:rPr>
      </w:pPr>
      <w:bookmarkStart w:id="228" w:name="4.3.5标识设施应设置在下列范围："/>
      <w:bookmarkEnd w:id="228"/>
      <w:bookmarkStart w:id="229" w:name="4.3.5标识设施应设置在下列范围："/>
      <w:bookmarkEnd w:id="229"/>
      <w:r>
        <w:rPr>
          <w:sz w:val="21"/>
        </w:rPr>
        <w:t>标识设施应设置在下列范围：</w:t>
      </w:r>
    </w:p>
    <w:p>
      <w:pPr>
        <w:pStyle w:val="5"/>
        <w:spacing w:before="6"/>
        <w:rPr>
          <w:sz w:val="15"/>
        </w:rPr>
      </w:pPr>
    </w:p>
    <w:p>
      <w:pPr>
        <w:pStyle w:val="12"/>
        <w:numPr>
          <w:ilvl w:val="0"/>
          <w:numId w:val="53"/>
        </w:numPr>
        <w:tabs>
          <w:tab w:val="left" w:pos="1052"/>
          <w:tab w:val="left" w:pos="1053"/>
        </w:tabs>
        <w:spacing w:before="0" w:after="0" w:line="240" w:lineRule="auto"/>
        <w:ind w:left="1052" w:right="0" w:hanging="416"/>
        <w:jc w:val="left"/>
        <w:rPr>
          <w:sz w:val="21"/>
        </w:rPr>
      </w:pPr>
      <w:r>
        <w:rPr>
          <w:sz w:val="21"/>
        </w:rPr>
        <w:t>城市道路、广场、绿地、建筑中通行类、服务类无障碍设施附近；</w:t>
      </w:r>
    </w:p>
    <w:p>
      <w:pPr>
        <w:pStyle w:val="5"/>
        <w:spacing w:before="7"/>
        <w:rPr>
          <w:sz w:val="15"/>
        </w:rPr>
      </w:pPr>
    </w:p>
    <w:p>
      <w:pPr>
        <w:pStyle w:val="12"/>
        <w:numPr>
          <w:ilvl w:val="0"/>
          <w:numId w:val="53"/>
        </w:numPr>
        <w:tabs>
          <w:tab w:val="left" w:pos="1052"/>
          <w:tab w:val="left" w:pos="1053"/>
        </w:tabs>
        <w:spacing w:before="0" w:after="0" w:line="240" w:lineRule="auto"/>
        <w:ind w:left="1052" w:right="0" w:hanging="416"/>
        <w:jc w:val="left"/>
        <w:rPr>
          <w:sz w:val="21"/>
        </w:rPr>
      </w:pPr>
      <w:r>
        <w:rPr>
          <w:sz w:val="21"/>
        </w:rPr>
        <w:t>公共场所的危险地段等。</w:t>
      </w:r>
    </w:p>
    <w:p>
      <w:pPr>
        <w:pStyle w:val="5"/>
        <w:spacing w:before="7"/>
        <w:rPr>
          <w:sz w:val="15"/>
        </w:rPr>
      </w:pPr>
    </w:p>
    <w:p>
      <w:pPr>
        <w:pStyle w:val="12"/>
        <w:numPr>
          <w:ilvl w:val="2"/>
          <w:numId w:val="52"/>
        </w:numPr>
        <w:tabs>
          <w:tab w:val="left" w:pos="1052"/>
          <w:tab w:val="left" w:pos="1053"/>
        </w:tabs>
        <w:spacing w:before="0" w:after="0" w:line="240" w:lineRule="auto"/>
        <w:ind w:left="1052" w:right="0" w:hanging="841"/>
        <w:jc w:val="left"/>
        <w:rPr>
          <w:sz w:val="21"/>
        </w:rPr>
      </w:pPr>
      <w:bookmarkStart w:id="230" w:name="4.3.6标识设施可包括以下几种类别： "/>
      <w:bookmarkEnd w:id="230"/>
      <w:bookmarkStart w:id="231" w:name="4.3.6标识设施可包括以下几种类别： "/>
      <w:bookmarkEnd w:id="231"/>
      <w:r>
        <w:rPr>
          <w:sz w:val="21"/>
        </w:rPr>
        <w:t>标识设施可包括以下几种类别：</w:t>
      </w:r>
    </w:p>
    <w:p>
      <w:pPr>
        <w:pStyle w:val="5"/>
        <w:spacing w:before="6"/>
        <w:rPr>
          <w:sz w:val="15"/>
        </w:rPr>
      </w:pPr>
    </w:p>
    <w:p>
      <w:pPr>
        <w:pStyle w:val="12"/>
        <w:numPr>
          <w:ilvl w:val="0"/>
          <w:numId w:val="54"/>
        </w:numPr>
        <w:tabs>
          <w:tab w:val="left" w:pos="1052"/>
          <w:tab w:val="left" w:pos="1053"/>
        </w:tabs>
        <w:spacing w:before="1" w:after="0" w:line="240" w:lineRule="auto"/>
        <w:ind w:left="1052" w:right="0" w:hanging="416"/>
        <w:jc w:val="left"/>
        <w:rPr>
          <w:sz w:val="21"/>
        </w:rPr>
      </w:pPr>
      <w:r>
        <w:rPr>
          <w:spacing w:val="-4"/>
          <w:sz w:val="21"/>
        </w:rPr>
        <w:t xml:space="preserve">常用标识设施应符合本标准附录 </w:t>
      </w:r>
      <w:r>
        <w:rPr>
          <w:rFonts w:hint="eastAsia" w:ascii="仿宋" w:eastAsia="仿宋"/>
          <w:sz w:val="21"/>
        </w:rPr>
        <w:t>A</w:t>
      </w:r>
      <w:r>
        <w:rPr>
          <w:rFonts w:hint="eastAsia" w:ascii="仿宋" w:eastAsia="仿宋"/>
          <w:spacing w:val="-52"/>
          <w:sz w:val="21"/>
        </w:rPr>
        <w:t xml:space="preserve"> </w:t>
      </w:r>
      <w:r>
        <w:rPr>
          <w:sz w:val="21"/>
        </w:rPr>
        <w:t>的规定；</w:t>
      </w:r>
    </w:p>
    <w:p>
      <w:pPr>
        <w:pStyle w:val="5"/>
        <w:spacing w:before="6"/>
        <w:rPr>
          <w:sz w:val="15"/>
        </w:rPr>
      </w:pPr>
    </w:p>
    <w:p>
      <w:pPr>
        <w:pStyle w:val="12"/>
        <w:numPr>
          <w:ilvl w:val="0"/>
          <w:numId w:val="54"/>
        </w:numPr>
        <w:tabs>
          <w:tab w:val="left" w:pos="1052"/>
          <w:tab w:val="left" w:pos="1053"/>
        </w:tabs>
        <w:spacing w:before="0" w:after="0" w:line="240" w:lineRule="auto"/>
        <w:ind w:left="1052" w:right="0" w:hanging="416"/>
        <w:jc w:val="left"/>
        <w:rPr>
          <w:sz w:val="21"/>
        </w:rPr>
      </w:pPr>
      <w:r>
        <w:rPr>
          <w:sz w:val="21"/>
        </w:rPr>
        <w:t>其他标识设施宜按实际需要拓展及设置。</w:t>
      </w:r>
    </w:p>
    <w:p>
      <w:pPr>
        <w:pStyle w:val="5"/>
        <w:spacing w:before="7"/>
        <w:rPr>
          <w:sz w:val="15"/>
        </w:rPr>
      </w:pPr>
    </w:p>
    <w:p>
      <w:pPr>
        <w:pStyle w:val="12"/>
        <w:numPr>
          <w:ilvl w:val="2"/>
          <w:numId w:val="52"/>
        </w:numPr>
        <w:tabs>
          <w:tab w:val="left" w:pos="1052"/>
          <w:tab w:val="left" w:pos="1053"/>
        </w:tabs>
        <w:spacing w:before="0" w:after="0" w:line="240" w:lineRule="auto"/>
        <w:ind w:left="1052" w:right="0" w:hanging="841"/>
        <w:jc w:val="left"/>
        <w:rPr>
          <w:sz w:val="21"/>
        </w:rPr>
      </w:pPr>
      <w:bookmarkStart w:id="232" w:name="4.3.7标识设施应符合下列规定："/>
      <w:bookmarkEnd w:id="232"/>
      <w:bookmarkStart w:id="233" w:name="4.3.7标识设施应符合下列规定："/>
      <w:bookmarkEnd w:id="233"/>
      <w:r>
        <w:rPr>
          <w:sz w:val="21"/>
        </w:rPr>
        <w:t>标识设施应符合下列规定：</w:t>
      </w:r>
    </w:p>
    <w:p>
      <w:pPr>
        <w:pStyle w:val="5"/>
        <w:spacing w:before="7"/>
        <w:rPr>
          <w:sz w:val="15"/>
        </w:rPr>
      </w:pPr>
    </w:p>
    <w:p>
      <w:pPr>
        <w:pStyle w:val="12"/>
        <w:numPr>
          <w:ilvl w:val="0"/>
          <w:numId w:val="55"/>
        </w:numPr>
        <w:tabs>
          <w:tab w:val="left" w:pos="1052"/>
          <w:tab w:val="left" w:pos="1053"/>
        </w:tabs>
        <w:spacing w:before="0" w:after="0" w:line="240" w:lineRule="auto"/>
        <w:ind w:left="1052" w:right="0" w:hanging="416"/>
        <w:jc w:val="left"/>
        <w:rPr>
          <w:sz w:val="21"/>
        </w:rPr>
      </w:pPr>
      <w:r>
        <w:rPr>
          <w:sz w:val="21"/>
        </w:rPr>
        <w:t>应纳入城市环境或建筑内部的标识系统；</w:t>
      </w:r>
    </w:p>
    <w:p>
      <w:pPr>
        <w:pStyle w:val="5"/>
        <w:spacing w:before="6"/>
        <w:rPr>
          <w:sz w:val="15"/>
        </w:rPr>
      </w:pPr>
    </w:p>
    <w:p>
      <w:pPr>
        <w:pStyle w:val="12"/>
        <w:numPr>
          <w:ilvl w:val="0"/>
          <w:numId w:val="55"/>
        </w:numPr>
        <w:tabs>
          <w:tab w:val="left" w:pos="1052"/>
          <w:tab w:val="left" w:pos="1053"/>
        </w:tabs>
        <w:spacing w:before="1" w:after="0" w:line="240" w:lineRule="auto"/>
        <w:ind w:left="1052" w:right="0" w:hanging="416"/>
        <w:jc w:val="left"/>
        <w:rPr>
          <w:sz w:val="21"/>
        </w:rPr>
      </w:pPr>
      <w:r>
        <w:rPr>
          <w:w w:val="95"/>
          <w:sz w:val="21"/>
        </w:rPr>
        <w:t>应依据流线或使用顺序，明晰、完整、连续、均衡设置；</w:t>
      </w:r>
    </w:p>
    <w:p>
      <w:pPr>
        <w:pStyle w:val="5"/>
        <w:spacing w:before="6"/>
        <w:rPr>
          <w:sz w:val="15"/>
        </w:rPr>
      </w:pPr>
    </w:p>
    <w:p>
      <w:pPr>
        <w:pStyle w:val="12"/>
        <w:numPr>
          <w:ilvl w:val="0"/>
          <w:numId w:val="55"/>
        </w:numPr>
        <w:tabs>
          <w:tab w:val="left" w:pos="1052"/>
          <w:tab w:val="left" w:pos="1053"/>
        </w:tabs>
        <w:spacing w:before="0" w:after="0" w:line="240" w:lineRule="auto"/>
        <w:ind w:left="1052" w:right="0" w:hanging="416"/>
        <w:jc w:val="left"/>
        <w:rPr>
          <w:sz w:val="21"/>
        </w:rPr>
      </w:pPr>
      <w:r>
        <w:rPr>
          <w:w w:val="95"/>
          <w:sz w:val="21"/>
        </w:rPr>
        <w:t>对需要安全警示处，应同时提供标识和音响一体化设施；</w:t>
      </w:r>
    </w:p>
    <w:p>
      <w:pPr>
        <w:pStyle w:val="5"/>
        <w:spacing w:before="7"/>
        <w:rPr>
          <w:sz w:val="15"/>
        </w:rPr>
      </w:pPr>
    </w:p>
    <w:p>
      <w:pPr>
        <w:pStyle w:val="12"/>
        <w:numPr>
          <w:ilvl w:val="0"/>
          <w:numId w:val="55"/>
        </w:numPr>
        <w:tabs>
          <w:tab w:val="left" w:pos="1052"/>
          <w:tab w:val="left" w:pos="1053"/>
        </w:tabs>
        <w:spacing w:before="0" w:after="0" w:line="240" w:lineRule="auto"/>
        <w:ind w:left="1052" w:right="0" w:hanging="416"/>
        <w:jc w:val="left"/>
        <w:rPr>
          <w:sz w:val="21"/>
        </w:rPr>
      </w:pPr>
      <w:r>
        <w:rPr>
          <w:sz w:val="21"/>
        </w:rPr>
        <w:t>其设置不得影响人流通行，严禁造成通行危险；</w:t>
      </w:r>
    </w:p>
    <w:p>
      <w:pPr>
        <w:pStyle w:val="5"/>
        <w:spacing w:before="7"/>
        <w:rPr>
          <w:sz w:val="15"/>
        </w:rPr>
      </w:pPr>
    </w:p>
    <w:p>
      <w:pPr>
        <w:pStyle w:val="12"/>
        <w:numPr>
          <w:ilvl w:val="0"/>
          <w:numId w:val="55"/>
        </w:numPr>
        <w:tabs>
          <w:tab w:val="left" w:pos="1052"/>
          <w:tab w:val="left" w:pos="1053"/>
        </w:tabs>
        <w:spacing w:before="0" w:after="0" w:line="240" w:lineRule="auto"/>
        <w:ind w:left="1052" w:right="0" w:hanging="416"/>
        <w:jc w:val="left"/>
        <w:rPr>
          <w:sz w:val="21"/>
        </w:rPr>
      </w:pPr>
      <w:r>
        <w:rPr>
          <w:sz w:val="21"/>
        </w:rPr>
        <w:t>设施产品应符合国家有关标准规定。</w:t>
      </w:r>
    </w:p>
    <w:p>
      <w:pPr>
        <w:pStyle w:val="5"/>
        <w:spacing w:before="6"/>
        <w:rPr>
          <w:sz w:val="15"/>
        </w:rPr>
      </w:pPr>
    </w:p>
    <w:p>
      <w:pPr>
        <w:pStyle w:val="12"/>
        <w:numPr>
          <w:ilvl w:val="4"/>
          <w:numId w:val="2"/>
        </w:numPr>
        <w:tabs>
          <w:tab w:val="left" w:pos="4797"/>
        </w:tabs>
        <w:spacing w:before="1" w:after="0" w:line="240" w:lineRule="auto"/>
        <w:ind w:left="4796" w:right="99" w:hanging="4797"/>
        <w:jc w:val="left"/>
        <w:rPr>
          <w:rFonts w:hint="eastAsia" w:ascii="黑体" w:eastAsia="黑体"/>
          <w:sz w:val="21"/>
        </w:rPr>
      </w:pPr>
      <w:bookmarkStart w:id="234" w:name="III盲文设施"/>
      <w:bookmarkEnd w:id="234"/>
      <w:bookmarkStart w:id="235" w:name="III盲文设施"/>
      <w:bookmarkEnd w:id="235"/>
      <w:r>
        <w:rPr>
          <w:rFonts w:hint="eastAsia" w:ascii="黑体" w:eastAsia="黑体"/>
          <w:sz w:val="21"/>
        </w:rPr>
        <w:t>盲文设施</w:t>
      </w:r>
    </w:p>
    <w:p>
      <w:pPr>
        <w:pStyle w:val="5"/>
        <w:spacing w:before="6"/>
        <w:rPr>
          <w:rFonts w:ascii="黑体"/>
          <w:sz w:val="15"/>
        </w:rPr>
      </w:pPr>
    </w:p>
    <w:p>
      <w:pPr>
        <w:pStyle w:val="12"/>
        <w:numPr>
          <w:ilvl w:val="2"/>
          <w:numId w:val="52"/>
        </w:numPr>
        <w:tabs>
          <w:tab w:val="left" w:pos="1052"/>
          <w:tab w:val="left" w:pos="1053"/>
        </w:tabs>
        <w:spacing w:before="0" w:after="0" w:line="417" w:lineRule="auto"/>
        <w:ind w:left="212" w:right="310" w:firstLine="0"/>
        <w:jc w:val="left"/>
        <w:rPr>
          <w:sz w:val="21"/>
        </w:rPr>
      </w:pPr>
      <w:bookmarkStart w:id="236" w:name="4.3.8盲文设施可包括盲文地图、盲文站牌、盲文铭牌、盲文门牌、盲文按钮等，其设"/>
      <w:bookmarkEnd w:id="236"/>
      <w:bookmarkStart w:id="237" w:name="4.3.8盲文设施可包括盲文地图、盲文站牌、盲文铭牌、盲文门牌、盲文按钮等，其设"/>
      <w:bookmarkEnd w:id="237"/>
      <w:r>
        <w:rPr>
          <w:spacing w:val="-3"/>
          <w:w w:val="95"/>
          <w:sz w:val="21"/>
        </w:rPr>
        <w:t xml:space="preserve">盲文设施可包括盲文地图、盲文站牌、盲文铭牌、盲文门牌、盲文按钮等，其设置宜符合下列规   </w:t>
      </w:r>
      <w:r>
        <w:rPr>
          <w:spacing w:val="-3"/>
          <w:sz w:val="21"/>
        </w:rPr>
        <w:t>定：</w:t>
      </w:r>
    </w:p>
    <w:p>
      <w:pPr>
        <w:pStyle w:val="12"/>
        <w:numPr>
          <w:ilvl w:val="3"/>
          <w:numId w:val="52"/>
        </w:numPr>
        <w:tabs>
          <w:tab w:val="left" w:pos="1052"/>
          <w:tab w:val="left" w:pos="1053"/>
        </w:tabs>
        <w:spacing w:before="0" w:after="0" w:line="269" w:lineRule="exact"/>
        <w:ind w:left="1052" w:right="0" w:hanging="416"/>
        <w:jc w:val="left"/>
        <w:rPr>
          <w:sz w:val="21"/>
        </w:rPr>
      </w:pPr>
      <w:r>
        <w:rPr>
          <w:sz w:val="21"/>
        </w:rPr>
        <w:t>无障碍出入口、公共建筑楼层宜设置盲文地图；</w:t>
      </w:r>
    </w:p>
    <w:p>
      <w:pPr>
        <w:pStyle w:val="5"/>
        <w:spacing w:before="7"/>
        <w:rPr>
          <w:sz w:val="15"/>
        </w:rPr>
      </w:pPr>
    </w:p>
    <w:p>
      <w:pPr>
        <w:pStyle w:val="12"/>
        <w:numPr>
          <w:ilvl w:val="3"/>
          <w:numId w:val="52"/>
        </w:numPr>
        <w:tabs>
          <w:tab w:val="left" w:pos="1052"/>
          <w:tab w:val="left" w:pos="1053"/>
        </w:tabs>
        <w:spacing w:before="0" w:after="0" w:line="240" w:lineRule="auto"/>
        <w:ind w:left="1052" w:right="0" w:hanging="416"/>
        <w:jc w:val="left"/>
        <w:rPr>
          <w:sz w:val="21"/>
        </w:rPr>
      </w:pPr>
      <w:r>
        <w:rPr>
          <w:sz w:val="21"/>
        </w:rPr>
        <w:t>公交、地铁车站宜设置盲文站牌；</w:t>
      </w:r>
    </w:p>
    <w:p>
      <w:pPr>
        <w:pStyle w:val="5"/>
        <w:spacing w:before="7"/>
        <w:rPr>
          <w:sz w:val="15"/>
        </w:rPr>
      </w:pPr>
    </w:p>
    <w:p>
      <w:pPr>
        <w:pStyle w:val="12"/>
        <w:numPr>
          <w:ilvl w:val="3"/>
          <w:numId w:val="52"/>
        </w:numPr>
        <w:tabs>
          <w:tab w:val="left" w:pos="1052"/>
          <w:tab w:val="left" w:pos="1053"/>
        </w:tabs>
        <w:spacing w:before="0" w:after="0" w:line="240" w:lineRule="auto"/>
        <w:ind w:left="1052" w:right="0" w:hanging="416"/>
        <w:jc w:val="left"/>
        <w:rPr>
          <w:sz w:val="21"/>
        </w:rPr>
      </w:pPr>
      <w:r>
        <w:rPr>
          <w:sz w:val="21"/>
        </w:rPr>
        <w:t>无障碍设施扶手始末端应安装盲文铭牌；</w:t>
      </w:r>
    </w:p>
    <w:p>
      <w:pPr>
        <w:pStyle w:val="5"/>
        <w:spacing w:before="6"/>
        <w:rPr>
          <w:sz w:val="15"/>
        </w:rPr>
      </w:pPr>
    </w:p>
    <w:p>
      <w:pPr>
        <w:pStyle w:val="12"/>
        <w:numPr>
          <w:ilvl w:val="3"/>
          <w:numId w:val="52"/>
        </w:numPr>
        <w:tabs>
          <w:tab w:val="left" w:pos="1052"/>
          <w:tab w:val="left" w:pos="1053"/>
        </w:tabs>
        <w:spacing w:before="1" w:after="0" w:line="240" w:lineRule="auto"/>
        <w:ind w:left="1052" w:right="0" w:hanging="416"/>
        <w:jc w:val="left"/>
        <w:rPr>
          <w:sz w:val="21"/>
        </w:rPr>
      </w:pPr>
      <w:r>
        <w:rPr>
          <w:sz w:val="21"/>
        </w:rPr>
        <w:t>具有内部空间的无障碍服务设施的门及门把手宜安装盲文门牌及盲文铭牌；</w:t>
      </w:r>
    </w:p>
    <w:p>
      <w:pPr>
        <w:pStyle w:val="5"/>
        <w:spacing w:before="6"/>
        <w:rPr>
          <w:sz w:val="15"/>
        </w:rPr>
      </w:pPr>
    </w:p>
    <w:p>
      <w:pPr>
        <w:pStyle w:val="12"/>
        <w:numPr>
          <w:ilvl w:val="3"/>
          <w:numId w:val="52"/>
        </w:numPr>
        <w:tabs>
          <w:tab w:val="left" w:pos="1052"/>
          <w:tab w:val="left" w:pos="1053"/>
        </w:tabs>
        <w:spacing w:before="0" w:after="0" w:line="240" w:lineRule="auto"/>
        <w:ind w:left="1052" w:right="0" w:hanging="416"/>
        <w:jc w:val="left"/>
        <w:rPr>
          <w:sz w:val="21"/>
        </w:rPr>
      </w:pPr>
      <w:r>
        <w:rPr>
          <w:sz w:val="21"/>
        </w:rPr>
        <w:t>无障碍电梯按钮应设置为盲文按钮。</w:t>
      </w:r>
    </w:p>
    <w:p>
      <w:pPr>
        <w:pStyle w:val="5"/>
        <w:spacing w:before="7"/>
        <w:rPr>
          <w:sz w:val="15"/>
        </w:rPr>
      </w:pPr>
    </w:p>
    <w:p>
      <w:pPr>
        <w:pStyle w:val="12"/>
        <w:numPr>
          <w:ilvl w:val="2"/>
          <w:numId w:val="52"/>
        </w:numPr>
        <w:tabs>
          <w:tab w:val="left" w:pos="1052"/>
          <w:tab w:val="left" w:pos="1053"/>
        </w:tabs>
        <w:spacing w:before="0" w:after="0" w:line="240" w:lineRule="auto"/>
        <w:ind w:left="1052" w:right="0" w:hanging="841"/>
        <w:jc w:val="left"/>
        <w:rPr>
          <w:sz w:val="21"/>
        </w:rPr>
      </w:pPr>
      <w:bookmarkStart w:id="238" w:name="4.3.9盲文设施应安装在便于视觉障碍者触摸的范围内。"/>
      <w:bookmarkEnd w:id="238"/>
      <w:bookmarkStart w:id="239" w:name="4.3.9盲文设施应安装在便于视觉障碍者触摸的范围内。"/>
      <w:bookmarkEnd w:id="239"/>
      <w:r>
        <w:rPr>
          <w:sz w:val="21"/>
        </w:rPr>
        <w:t>盲文设施应安装在便于视觉障碍者触摸的范围内。</w:t>
      </w:r>
    </w:p>
    <w:p>
      <w:pPr>
        <w:pStyle w:val="5"/>
        <w:spacing w:before="7"/>
        <w:rPr>
          <w:sz w:val="15"/>
        </w:rPr>
      </w:pPr>
    </w:p>
    <w:p>
      <w:pPr>
        <w:pStyle w:val="12"/>
        <w:numPr>
          <w:ilvl w:val="4"/>
          <w:numId w:val="2"/>
        </w:numPr>
        <w:tabs>
          <w:tab w:val="left" w:pos="4744"/>
        </w:tabs>
        <w:spacing w:before="0" w:after="0" w:line="240" w:lineRule="auto"/>
        <w:ind w:left="4744" w:right="99" w:hanging="4744"/>
        <w:jc w:val="left"/>
        <w:rPr>
          <w:rFonts w:hint="eastAsia" w:ascii="黑体" w:eastAsia="黑体"/>
          <w:sz w:val="21"/>
        </w:rPr>
      </w:pPr>
      <w:bookmarkStart w:id="240" w:name="IV交互设备"/>
      <w:bookmarkEnd w:id="240"/>
      <w:bookmarkStart w:id="241" w:name="IV交互设备"/>
      <w:bookmarkEnd w:id="241"/>
      <w:r>
        <w:rPr>
          <w:rFonts w:hint="eastAsia" w:ascii="黑体" w:eastAsia="黑体"/>
          <w:sz w:val="21"/>
        </w:rPr>
        <w:t>交互设备</w:t>
      </w:r>
    </w:p>
    <w:p>
      <w:pPr>
        <w:spacing w:after="0" w:line="240" w:lineRule="auto"/>
        <w:jc w:val="left"/>
        <w:rPr>
          <w:rFonts w:hint="eastAsia" w:ascii="黑体" w:eastAsia="黑体"/>
          <w:sz w:val="21"/>
        </w:rPr>
        <w:sectPr>
          <w:pgSz w:w="11910" w:h="16840"/>
          <w:pgMar w:top="1580" w:right="820" w:bottom="1280" w:left="920" w:header="0" w:footer="1095" w:gutter="0"/>
          <w:cols w:space="720" w:num="1"/>
        </w:sectPr>
      </w:pPr>
    </w:p>
    <w:p>
      <w:pPr>
        <w:pStyle w:val="12"/>
        <w:numPr>
          <w:ilvl w:val="2"/>
          <w:numId w:val="52"/>
        </w:numPr>
        <w:tabs>
          <w:tab w:val="left" w:pos="1052"/>
          <w:tab w:val="left" w:pos="1053"/>
        </w:tabs>
        <w:spacing w:before="60" w:after="0" w:line="240" w:lineRule="auto"/>
        <w:ind w:left="1052" w:right="0" w:hanging="841"/>
        <w:jc w:val="left"/>
        <w:rPr>
          <w:rFonts w:hint="eastAsia" w:ascii="黑体" w:eastAsia="黑体"/>
          <w:sz w:val="21"/>
        </w:rPr>
      </w:pPr>
      <w:bookmarkStart w:id="242" w:name="4.3.10交互设备可包括过街音响提示装置和人机交互设备等。"/>
      <w:bookmarkEnd w:id="242"/>
      <w:bookmarkStart w:id="243" w:name="4.3.10交互设备可包括过街音响提示装置和人机交互设备等。"/>
      <w:bookmarkEnd w:id="243"/>
      <w:r>
        <w:rPr>
          <w:sz w:val="21"/>
        </w:rPr>
        <w:t>交互设备可包括过街音响提示装置和人机交互设备等</w:t>
      </w:r>
      <w:r>
        <w:rPr>
          <w:rFonts w:hint="eastAsia" w:ascii="黑体" w:eastAsia="黑体"/>
          <w:sz w:val="21"/>
        </w:rPr>
        <w:t>。</w:t>
      </w:r>
    </w:p>
    <w:p>
      <w:pPr>
        <w:pStyle w:val="5"/>
        <w:spacing w:before="6"/>
        <w:rPr>
          <w:rFonts w:ascii="黑体"/>
          <w:sz w:val="15"/>
        </w:rPr>
      </w:pPr>
    </w:p>
    <w:p>
      <w:pPr>
        <w:pStyle w:val="12"/>
        <w:numPr>
          <w:ilvl w:val="2"/>
          <w:numId w:val="52"/>
        </w:numPr>
        <w:tabs>
          <w:tab w:val="left" w:pos="1052"/>
          <w:tab w:val="left" w:pos="1053"/>
        </w:tabs>
        <w:spacing w:before="1" w:after="0" w:line="240" w:lineRule="auto"/>
        <w:ind w:left="1052" w:right="0" w:hanging="841"/>
        <w:jc w:val="left"/>
        <w:rPr>
          <w:sz w:val="21"/>
        </w:rPr>
      </w:pPr>
      <w:bookmarkStart w:id="244" w:name="4.3.11过街音响提示装置应符合下列规定："/>
      <w:bookmarkEnd w:id="244"/>
      <w:bookmarkStart w:id="245" w:name="4.3.11过街音响提示装置应符合下列规定："/>
      <w:bookmarkEnd w:id="245"/>
      <w:r>
        <w:rPr>
          <w:sz w:val="21"/>
        </w:rPr>
        <w:t>过街音响提示装置应符合下列规定：</w:t>
      </w:r>
    </w:p>
    <w:p>
      <w:pPr>
        <w:pStyle w:val="5"/>
        <w:spacing w:before="6"/>
        <w:rPr>
          <w:sz w:val="15"/>
        </w:rPr>
      </w:pPr>
    </w:p>
    <w:p>
      <w:pPr>
        <w:pStyle w:val="12"/>
        <w:numPr>
          <w:ilvl w:val="0"/>
          <w:numId w:val="56"/>
        </w:numPr>
        <w:tabs>
          <w:tab w:val="left" w:pos="1053"/>
        </w:tabs>
        <w:spacing w:before="0" w:after="0" w:line="240" w:lineRule="auto"/>
        <w:ind w:left="1052" w:right="0" w:hanging="416"/>
        <w:jc w:val="both"/>
        <w:rPr>
          <w:sz w:val="21"/>
        </w:rPr>
      </w:pPr>
      <w:r>
        <w:rPr>
          <w:sz w:val="21"/>
        </w:rPr>
        <w:t>应有利于视觉障碍者通行安全及辨别方向；</w:t>
      </w:r>
    </w:p>
    <w:p>
      <w:pPr>
        <w:pStyle w:val="5"/>
        <w:spacing w:before="7"/>
        <w:rPr>
          <w:sz w:val="15"/>
        </w:rPr>
      </w:pPr>
    </w:p>
    <w:p>
      <w:pPr>
        <w:pStyle w:val="12"/>
        <w:numPr>
          <w:ilvl w:val="0"/>
          <w:numId w:val="56"/>
        </w:numPr>
        <w:tabs>
          <w:tab w:val="left" w:pos="1053"/>
        </w:tabs>
        <w:spacing w:before="0" w:after="0" w:line="240" w:lineRule="auto"/>
        <w:ind w:left="1052" w:right="0" w:hanging="416"/>
        <w:jc w:val="both"/>
        <w:rPr>
          <w:sz w:val="21"/>
        </w:rPr>
      </w:pPr>
      <w:r>
        <w:rPr>
          <w:sz w:val="21"/>
        </w:rPr>
        <w:t>设置间距宜考虑发生声音方向、大小和各个声源发出声音的时间，发信声音相互干扰；</w:t>
      </w:r>
    </w:p>
    <w:p>
      <w:pPr>
        <w:pStyle w:val="5"/>
        <w:spacing w:before="7"/>
        <w:rPr>
          <w:sz w:val="15"/>
        </w:rPr>
      </w:pPr>
    </w:p>
    <w:p>
      <w:pPr>
        <w:pStyle w:val="12"/>
        <w:numPr>
          <w:ilvl w:val="0"/>
          <w:numId w:val="56"/>
        </w:numPr>
        <w:tabs>
          <w:tab w:val="left" w:pos="1053"/>
        </w:tabs>
        <w:spacing w:before="0" w:after="0" w:line="240" w:lineRule="auto"/>
        <w:ind w:left="1052" w:right="0" w:hanging="416"/>
        <w:jc w:val="both"/>
        <w:rPr>
          <w:sz w:val="21"/>
        </w:rPr>
      </w:pPr>
      <w:r>
        <w:rPr>
          <w:sz w:val="21"/>
        </w:rPr>
        <w:t>应结合人行横道信号灯统一设置；</w:t>
      </w:r>
    </w:p>
    <w:p>
      <w:pPr>
        <w:pStyle w:val="5"/>
        <w:spacing w:before="6"/>
        <w:rPr>
          <w:sz w:val="15"/>
        </w:rPr>
      </w:pPr>
    </w:p>
    <w:p>
      <w:pPr>
        <w:pStyle w:val="12"/>
        <w:numPr>
          <w:ilvl w:val="0"/>
          <w:numId w:val="56"/>
        </w:numPr>
        <w:tabs>
          <w:tab w:val="left" w:pos="1053"/>
        </w:tabs>
        <w:spacing w:before="1" w:after="0" w:line="240" w:lineRule="auto"/>
        <w:ind w:left="1052" w:right="0" w:hanging="416"/>
        <w:jc w:val="both"/>
        <w:rPr>
          <w:sz w:val="21"/>
        </w:rPr>
      </w:pPr>
      <w:r>
        <w:rPr>
          <w:sz w:val="21"/>
        </w:rPr>
        <w:t>应设置开关功能，避免深夜对周边城区产生噪声污染。</w:t>
      </w:r>
    </w:p>
    <w:p>
      <w:pPr>
        <w:pStyle w:val="5"/>
        <w:spacing w:before="6"/>
        <w:rPr>
          <w:sz w:val="15"/>
        </w:rPr>
      </w:pPr>
    </w:p>
    <w:p>
      <w:pPr>
        <w:pStyle w:val="12"/>
        <w:numPr>
          <w:ilvl w:val="2"/>
          <w:numId w:val="52"/>
        </w:numPr>
        <w:tabs>
          <w:tab w:val="left" w:pos="1053"/>
        </w:tabs>
        <w:spacing w:before="0" w:after="0" w:line="417" w:lineRule="auto"/>
        <w:ind w:left="212" w:right="310" w:firstLine="0"/>
        <w:jc w:val="both"/>
        <w:rPr>
          <w:sz w:val="21"/>
        </w:rPr>
      </w:pPr>
      <w:bookmarkStart w:id="246" w:name="4.3.12人机交互设备可包括智能显示屏、智能公用电话、自助终端、公用计算机等，"/>
      <w:bookmarkEnd w:id="246"/>
      <w:bookmarkStart w:id="247" w:name="4.3.12人机交互设备可包括智能显示屏、智能公用电话、自助终端、公用计算机等，"/>
      <w:bookmarkEnd w:id="247"/>
      <w:r>
        <w:rPr>
          <w:spacing w:val="-4"/>
          <w:w w:val="95"/>
          <w:sz w:val="21"/>
        </w:rPr>
        <w:t xml:space="preserve">人机交互设备可包括智能显示屏、智能公用电话、自助终端、公用计算机等，其设置应符合下列   </w:t>
      </w:r>
      <w:r>
        <w:rPr>
          <w:spacing w:val="-4"/>
          <w:sz w:val="21"/>
        </w:rPr>
        <w:t>规定：</w:t>
      </w:r>
    </w:p>
    <w:p>
      <w:pPr>
        <w:pStyle w:val="12"/>
        <w:numPr>
          <w:ilvl w:val="0"/>
          <w:numId w:val="57"/>
        </w:numPr>
        <w:tabs>
          <w:tab w:val="left" w:pos="1053"/>
        </w:tabs>
        <w:spacing w:before="0" w:after="0" w:line="269" w:lineRule="exact"/>
        <w:ind w:left="1052" w:right="0" w:hanging="416"/>
        <w:jc w:val="both"/>
        <w:rPr>
          <w:sz w:val="21"/>
        </w:rPr>
      </w:pPr>
      <w:r>
        <w:rPr>
          <w:sz w:val="21"/>
        </w:rPr>
        <w:t>宜为可触摸式，可实现人机双向传递信息，宜集合视觉、触觉、听觉一体化功能；</w:t>
      </w:r>
    </w:p>
    <w:p>
      <w:pPr>
        <w:pStyle w:val="5"/>
        <w:spacing w:before="7"/>
        <w:rPr>
          <w:sz w:val="15"/>
        </w:rPr>
      </w:pPr>
    </w:p>
    <w:p>
      <w:pPr>
        <w:pStyle w:val="12"/>
        <w:numPr>
          <w:ilvl w:val="0"/>
          <w:numId w:val="57"/>
        </w:numPr>
        <w:tabs>
          <w:tab w:val="left" w:pos="1053"/>
        </w:tabs>
        <w:spacing w:before="0" w:after="0" w:line="417" w:lineRule="auto"/>
        <w:ind w:left="212" w:right="307" w:firstLine="424"/>
        <w:jc w:val="both"/>
        <w:rPr>
          <w:sz w:val="21"/>
        </w:rPr>
      </w:pPr>
      <w:r>
        <w:rPr>
          <w:spacing w:val="-28"/>
          <w:sz w:val="21"/>
        </w:rPr>
        <w:t xml:space="preserve">每 </w:t>
      </w:r>
      <w:r>
        <w:rPr>
          <w:sz w:val="21"/>
        </w:rPr>
        <w:t>1</w:t>
      </w:r>
      <w:r>
        <w:rPr>
          <w:spacing w:val="-12"/>
          <w:sz w:val="21"/>
        </w:rPr>
        <w:t xml:space="preserve"> 组公用电话中，宜至少设 </w:t>
      </w:r>
      <w:r>
        <w:rPr>
          <w:sz w:val="21"/>
        </w:rPr>
        <w:t>1</w:t>
      </w:r>
      <w:r>
        <w:rPr>
          <w:spacing w:val="-8"/>
          <w:sz w:val="21"/>
        </w:rPr>
        <w:t xml:space="preserve"> 部智能公用电话以提供免提对话、音量放大、助听耦合以及语音文字互转功能；</w:t>
      </w:r>
    </w:p>
    <w:p>
      <w:pPr>
        <w:pStyle w:val="12"/>
        <w:numPr>
          <w:ilvl w:val="0"/>
          <w:numId w:val="57"/>
        </w:numPr>
        <w:tabs>
          <w:tab w:val="left" w:pos="1053"/>
        </w:tabs>
        <w:spacing w:before="0" w:after="0" w:line="417" w:lineRule="auto"/>
        <w:ind w:left="212" w:right="312" w:firstLine="424"/>
        <w:jc w:val="both"/>
        <w:rPr>
          <w:sz w:val="21"/>
        </w:rPr>
      </w:pPr>
      <w:r>
        <w:rPr>
          <w:spacing w:val="-27"/>
          <w:sz w:val="21"/>
        </w:rPr>
        <w:t xml:space="preserve">每 </w:t>
      </w:r>
      <w:r>
        <w:rPr>
          <w:sz w:val="21"/>
        </w:rPr>
        <w:t>1</w:t>
      </w:r>
      <w:r>
        <w:rPr>
          <w:spacing w:val="-13"/>
          <w:sz w:val="21"/>
        </w:rPr>
        <w:t xml:space="preserve"> 组自助终端中，应至少设 </w:t>
      </w:r>
      <w:r>
        <w:rPr>
          <w:sz w:val="21"/>
        </w:rPr>
        <w:t>1</w:t>
      </w:r>
      <w:r>
        <w:rPr>
          <w:spacing w:val="-13"/>
          <w:sz w:val="21"/>
        </w:rPr>
        <w:t xml:space="preserve"> 部低位自助终端；宜至少设 </w:t>
      </w:r>
      <w:r>
        <w:rPr>
          <w:sz w:val="21"/>
        </w:rPr>
        <w:t>1</w:t>
      </w:r>
      <w:r>
        <w:rPr>
          <w:spacing w:val="-8"/>
          <w:sz w:val="21"/>
        </w:rPr>
        <w:t xml:space="preserve"> 部提供视觉和听觉两种信息传递方式的自助终端；</w:t>
      </w:r>
    </w:p>
    <w:p>
      <w:pPr>
        <w:pStyle w:val="12"/>
        <w:numPr>
          <w:ilvl w:val="0"/>
          <w:numId w:val="57"/>
        </w:numPr>
        <w:tabs>
          <w:tab w:val="left" w:pos="1053"/>
        </w:tabs>
        <w:spacing w:before="0" w:after="0" w:line="417" w:lineRule="auto"/>
        <w:ind w:left="212" w:right="310" w:firstLine="424"/>
        <w:jc w:val="both"/>
        <w:rPr>
          <w:sz w:val="21"/>
        </w:rPr>
      </w:pPr>
      <w:r>
        <w:rPr>
          <w:spacing w:val="-7"/>
          <w:sz w:val="21"/>
        </w:rPr>
        <w:t xml:space="preserve">公用计算机中，应至少提供 </w:t>
      </w:r>
      <w:r>
        <w:rPr>
          <w:sz w:val="21"/>
        </w:rPr>
        <w:t>1</w:t>
      </w:r>
      <w:r>
        <w:rPr>
          <w:spacing w:val="-12"/>
          <w:sz w:val="21"/>
        </w:rPr>
        <w:t xml:space="preserve"> 个低位台面计算机；宜至少提供 </w:t>
      </w:r>
      <w:r>
        <w:rPr>
          <w:sz w:val="21"/>
        </w:rPr>
        <w:t>1</w:t>
      </w:r>
      <w:r>
        <w:rPr>
          <w:spacing w:val="-8"/>
          <w:sz w:val="21"/>
        </w:rPr>
        <w:t xml:space="preserve"> 台设置屏幕阅读软件和屏幕放大</w:t>
      </w:r>
      <w:r>
        <w:rPr>
          <w:spacing w:val="-12"/>
          <w:sz w:val="21"/>
        </w:rPr>
        <w:t xml:space="preserve">功能的计算机；宜至少提供 </w:t>
      </w:r>
      <w:r>
        <w:rPr>
          <w:sz w:val="21"/>
        </w:rPr>
        <w:t>1</w:t>
      </w:r>
      <w:r>
        <w:rPr>
          <w:spacing w:val="-10"/>
          <w:sz w:val="21"/>
        </w:rPr>
        <w:t xml:space="preserve"> 台提供语音输入功能的计算机；支持可替换键盘的计算机不宜少于总数量的20%。</w:t>
      </w:r>
    </w:p>
    <w:p>
      <w:pPr>
        <w:spacing w:after="0" w:line="417" w:lineRule="auto"/>
        <w:jc w:val="both"/>
        <w:rPr>
          <w:sz w:val="21"/>
        </w:rPr>
        <w:sectPr>
          <w:pgSz w:w="11910" w:h="16840"/>
          <w:pgMar w:top="1580" w:right="820" w:bottom="1280" w:left="920" w:header="0" w:footer="1095" w:gutter="0"/>
          <w:cols w:space="720" w:num="1"/>
        </w:sectPr>
      </w:pPr>
    </w:p>
    <w:p>
      <w:pPr>
        <w:pStyle w:val="2"/>
        <w:numPr>
          <w:ilvl w:val="0"/>
          <w:numId w:val="57"/>
        </w:numPr>
        <w:tabs>
          <w:tab w:val="left" w:pos="4599"/>
          <w:tab w:val="left" w:pos="4600"/>
        </w:tabs>
        <w:spacing w:before="68" w:after="0" w:line="240" w:lineRule="auto"/>
        <w:ind w:left="4600" w:right="0" w:hanging="420"/>
        <w:jc w:val="left"/>
      </w:pPr>
      <w:bookmarkStart w:id="248" w:name="5城市道路"/>
      <w:bookmarkEnd w:id="248"/>
      <w:bookmarkStart w:id="249" w:name="_bookmark7"/>
      <w:bookmarkEnd w:id="249"/>
      <w:r>
        <w:t>城市道路</w:t>
      </w:r>
    </w:p>
    <w:p>
      <w:pPr>
        <w:pStyle w:val="12"/>
        <w:numPr>
          <w:ilvl w:val="1"/>
          <w:numId w:val="57"/>
        </w:numPr>
        <w:tabs>
          <w:tab w:val="left" w:pos="4824"/>
        </w:tabs>
        <w:spacing w:before="206" w:after="0" w:line="240" w:lineRule="auto"/>
        <w:ind w:left="4823" w:right="0" w:hanging="421"/>
        <w:jc w:val="left"/>
        <w:rPr>
          <w:rFonts w:hint="eastAsia" w:ascii="黑体" w:eastAsia="黑体"/>
          <w:sz w:val="21"/>
        </w:rPr>
      </w:pPr>
      <w:bookmarkStart w:id="250" w:name="5.1一般规定"/>
      <w:bookmarkEnd w:id="250"/>
      <w:bookmarkStart w:id="251" w:name="_bookmark8"/>
      <w:bookmarkEnd w:id="251"/>
      <w:bookmarkStart w:id="252" w:name="_bookmark8"/>
      <w:bookmarkEnd w:id="252"/>
      <w:r>
        <w:rPr>
          <w:rFonts w:hint="eastAsia" w:ascii="黑体" w:eastAsia="黑体"/>
          <w:w w:val="95"/>
          <w:sz w:val="21"/>
        </w:rPr>
        <w:t>一般规定</w:t>
      </w:r>
    </w:p>
    <w:p>
      <w:pPr>
        <w:pStyle w:val="5"/>
        <w:spacing w:before="6"/>
        <w:rPr>
          <w:rFonts w:ascii="黑体"/>
          <w:sz w:val="15"/>
        </w:rPr>
      </w:pPr>
    </w:p>
    <w:p>
      <w:pPr>
        <w:pStyle w:val="12"/>
        <w:numPr>
          <w:ilvl w:val="2"/>
          <w:numId w:val="58"/>
        </w:numPr>
        <w:tabs>
          <w:tab w:val="left" w:pos="1052"/>
          <w:tab w:val="left" w:pos="1053"/>
        </w:tabs>
        <w:spacing w:before="1" w:after="0" w:line="240" w:lineRule="auto"/>
        <w:ind w:left="1052" w:right="0" w:hanging="841"/>
        <w:jc w:val="left"/>
        <w:rPr>
          <w:sz w:val="21"/>
        </w:rPr>
      </w:pPr>
      <w:bookmarkStart w:id="253" w:name="5.1.1以下城市道路应进行无障碍设计： "/>
      <w:bookmarkEnd w:id="253"/>
      <w:bookmarkStart w:id="254" w:name="5.1.1以下城市道路应进行无障碍设计： "/>
      <w:bookmarkEnd w:id="254"/>
      <w:r>
        <w:rPr>
          <w:w w:val="95"/>
          <w:sz w:val="21"/>
        </w:rPr>
        <w:t>以下城市道路应进行无障碍设计：</w:t>
      </w:r>
    </w:p>
    <w:p>
      <w:pPr>
        <w:pStyle w:val="5"/>
        <w:spacing w:before="6"/>
        <w:rPr>
          <w:sz w:val="15"/>
        </w:rPr>
      </w:pPr>
    </w:p>
    <w:p>
      <w:pPr>
        <w:pStyle w:val="12"/>
        <w:numPr>
          <w:ilvl w:val="0"/>
          <w:numId w:val="59"/>
        </w:numPr>
        <w:tabs>
          <w:tab w:val="left" w:pos="1052"/>
          <w:tab w:val="left" w:pos="1053"/>
        </w:tabs>
        <w:spacing w:before="0" w:after="0" w:line="240" w:lineRule="auto"/>
        <w:ind w:left="1052" w:right="0" w:hanging="416"/>
        <w:jc w:val="left"/>
        <w:rPr>
          <w:sz w:val="21"/>
        </w:rPr>
      </w:pPr>
      <w:r>
        <w:rPr>
          <w:sz w:val="21"/>
        </w:rPr>
        <w:t>城市各级道路；</w:t>
      </w:r>
    </w:p>
    <w:p>
      <w:pPr>
        <w:pStyle w:val="5"/>
        <w:spacing w:before="7"/>
        <w:rPr>
          <w:sz w:val="15"/>
        </w:rPr>
      </w:pPr>
    </w:p>
    <w:p>
      <w:pPr>
        <w:pStyle w:val="12"/>
        <w:numPr>
          <w:ilvl w:val="0"/>
          <w:numId w:val="59"/>
        </w:numPr>
        <w:tabs>
          <w:tab w:val="left" w:pos="1052"/>
          <w:tab w:val="left" w:pos="1053"/>
        </w:tabs>
        <w:spacing w:before="0" w:after="0" w:line="240" w:lineRule="auto"/>
        <w:ind w:left="1052" w:right="0" w:hanging="416"/>
        <w:jc w:val="left"/>
        <w:rPr>
          <w:sz w:val="21"/>
        </w:rPr>
      </w:pPr>
      <w:r>
        <w:rPr>
          <w:sz w:val="21"/>
        </w:rPr>
        <w:t>步行街；</w:t>
      </w:r>
    </w:p>
    <w:p>
      <w:pPr>
        <w:pStyle w:val="5"/>
        <w:spacing w:before="7"/>
        <w:rPr>
          <w:sz w:val="15"/>
        </w:rPr>
      </w:pPr>
    </w:p>
    <w:p>
      <w:pPr>
        <w:pStyle w:val="12"/>
        <w:numPr>
          <w:ilvl w:val="0"/>
          <w:numId w:val="59"/>
        </w:numPr>
        <w:tabs>
          <w:tab w:val="left" w:pos="1052"/>
          <w:tab w:val="left" w:pos="1053"/>
        </w:tabs>
        <w:spacing w:before="0" w:after="0" w:line="240" w:lineRule="auto"/>
        <w:ind w:left="1052" w:right="0" w:hanging="416"/>
        <w:jc w:val="left"/>
        <w:rPr>
          <w:sz w:val="21"/>
        </w:rPr>
      </w:pPr>
      <w:r>
        <w:rPr>
          <w:sz w:val="21"/>
        </w:rPr>
        <w:t>旅游景点、城市景观带的周边道路。</w:t>
      </w:r>
    </w:p>
    <w:p>
      <w:pPr>
        <w:pStyle w:val="5"/>
        <w:spacing w:before="6"/>
        <w:rPr>
          <w:sz w:val="15"/>
        </w:rPr>
      </w:pPr>
    </w:p>
    <w:p>
      <w:pPr>
        <w:pStyle w:val="12"/>
        <w:numPr>
          <w:ilvl w:val="2"/>
          <w:numId w:val="58"/>
        </w:numPr>
        <w:tabs>
          <w:tab w:val="left" w:pos="1052"/>
          <w:tab w:val="left" w:pos="1053"/>
        </w:tabs>
        <w:spacing w:before="1" w:after="0" w:line="417" w:lineRule="auto"/>
        <w:ind w:left="212" w:right="208" w:firstLine="0"/>
        <w:jc w:val="left"/>
        <w:rPr>
          <w:sz w:val="21"/>
        </w:rPr>
      </w:pPr>
      <w:bookmarkStart w:id="255" w:name="5.1.2城市道路应包括道路、桥梁、隧道、立体交通等。其人行系统无障碍设施应沿行"/>
      <w:bookmarkEnd w:id="255"/>
      <w:bookmarkStart w:id="256" w:name="5.1.2城市道路应包括道路、桥梁、隧道、立体交通等。其人行系统无障碍设施应沿行"/>
      <w:bookmarkEnd w:id="256"/>
      <w:r>
        <w:rPr>
          <w:spacing w:val="-10"/>
          <w:w w:val="95"/>
          <w:sz w:val="21"/>
        </w:rPr>
        <w:t xml:space="preserve">城市道路应包括道路、桥梁、隧道、立体交通等。其人行系统无障碍设施应沿行人通行路径布置，   </w:t>
      </w:r>
      <w:r>
        <w:rPr>
          <w:spacing w:val="-10"/>
          <w:sz w:val="21"/>
        </w:rPr>
        <w:t>并应与周边毗连的无障碍设施有效衔接。</w:t>
      </w:r>
    </w:p>
    <w:p>
      <w:pPr>
        <w:pStyle w:val="12"/>
        <w:numPr>
          <w:ilvl w:val="2"/>
          <w:numId w:val="58"/>
        </w:numPr>
        <w:tabs>
          <w:tab w:val="left" w:pos="1052"/>
          <w:tab w:val="left" w:pos="1053"/>
        </w:tabs>
        <w:spacing w:before="0" w:after="0" w:line="269" w:lineRule="exact"/>
        <w:ind w:left="1052" w:right="0" w:hanging="841"/>
        <w:jc w:val="left"/>
        <w:rPr>
          <w:sz w:val="21"/>
        </w:rPr>
      </w:pPr>
      <w:bookmarkStart w:id="257" w:name="5.1.3人行系统中无障碍设计主要包括人行道、人行横道、人行天桥及地道、公交车站"/>
      <w:bookmarkEnd w:id="257"/>
      <w:bookmarkStart w:id="258" w:name="5.1.3人行系统中无障碍设计主要包括人行道、人行横道、人行天桥及地道、公交车站"/>
      <w:bookmarkEnd w:id="258"/>
      <w:r>
        <w:rPr>
          <w:spacing w:val="-6"/>
          <w:sz w:val="21"/>
        </w:rPr>
        <w:t>人行系统中无障碍设计主要包括人行道、人行横道、人行天桥及地道、公交车站、自行车停放区。</w:t>
      </w:r>
    </w:p>
    <w:p>
      <w:pPr>
        <w:pStyle w:val="5"/>
        <w:spacing w:before="6"/>
        <w:rPr>
          <w:sz w:val="15"/>
        </w:rPr>
      </w:pPr>
    </w:p>
    <w:p>
      <w:pPr>
        <w:pStyle w:val="12"/>
        <w:numPr>
          <w:ilvl w:val="2"/>
          <w:numId w:val="58"/>
        </w:numPr>
        <w:tabs>
          <w:tab w:val="left" w:pos="1052"/>
          <w:tab w:val="left" w:pos="1053"/>
        </w:tabs>
        <w:spacing w:before="0" w:after="0" w:line="240" w:lineRule="auto"/>
        <w:ind w:left="1052" w:right="0" w:hanging="841"/>
        <w:jc w:val="left"/>
        <w:rPr>
          <w:sz w:val="21"/>
        </w:rPr>
      </w:pPr>
      <w:bookmarkStart w:id="259" w:name="5.1.4人行道、人行天桥、自行车停放区宜结合浓荫植物，设置遮阳蔽雨设施。"/>
      <w:bookmarkEnd w:id="259"/>
      <w:bookmarkStart w:id="260" w:name="5.1.4人行道、人行天桥、自行车停放区宜结合浓荫植物，设置遮阳蔽雨设施。"/>
      <w:bookmarkEnd w:id="260"/>
      <w:r>
        <w:rPr>
          <w:sz w:val="21"/>
        </w:rPr>
        <w:t>人行道、人行天桥、自行车停放区宜结合浓荫植物，设置遮阳蔽雨设施。</w:t>
      </w:r>
    </w:p>
    <w:p>
      <w:pPr>
        <w:pStyle w:val="5"/>
        <w:spacing w:before="7"/>
        <w:rPr>
          <w:sz w:val="15"/>
        </w:rPr>
      </w:pPr>
    </w:p>
    <w:p>
      <w:pPr>
        <w:pStyle w:val="12"/>
        <w:numPr>
          <w:ilvl w:val="2"/>
          <w:numId w:val="58"/>
        </w:numPr>
        <w:tabs>
          <w:tab w:val="left" w:pos="1052"/>
          <w:tab w:val="left" w:pos="1053"/>
        </w:tabs>
        <w:spacing w:before="0" w:after="0" w:line="240" w:lineRule="auto"/>
        <w:ind w:left="1052" w:right="0" w:hanging="841"/>
        <w:jc w:val="left"/>
        <w:rPr>
          <w:sz w:val="21"/>
        </w:rPr>
      </w:pPr>
      <w:bookmarkStart w:id="261" w:name="5.1.5城市道路上无障碍通行设施和无障碍服务设施处应设置标识设施。"/>
      <w:bookmarkEnd w:id="261"/>
      <w:bookmarkStart w:id="262" w:name="5.1.5城市道路上无障碍通行设施和无障碍服务设施处应设置标识设施。"/>
      <w:bookmarkEnd w:id="262"/>
      <w:r>
        <w:rPr>
          <w:sz w:val="21"/>
        </w:rPr>
        <w:t>城市道路上无障碍通行设施和无障碍服务设施处应设置标识设施。</w:t>
      </w:r>
    </w:p>
    <w:p>
      <w:pPr>
        <w:pStyle w:val="5"/>
        <w:spacing w:before="7"/>
        <w:rPr>
          <w:sz w:val="15"/>
        </w:rPr>
      </w:pPr>
    </w:p>
    <w:p>
      <w:pPr>
        <w:pStyle w:val="12"/>
        <w:numPr>
          <w:ilvl w:val="2"/>
          <w:numId w:val="58"/>
        </w:numPr>
        <w:tabs>
          <w:tab w:val="left" w:pos="1052"/>
          <w:tab w:val="left" w:pos="1053"/>
        </w:tabs>
        <w:spacing w:before="0" w:after="0" w:line="240" w:lineRule="auto"/>
        <w:ind w:left="1052" w:right="0" w:hanging="841"/>
        <w:jc w:val="left"/>
        <w:rPr>
          <w:sz w:val="21"/>
        </w:rPr>
      </w:pPr>
      <w:bookmarkStart w:id="263" w:name="5.1.6城市道路无障碍设施的设计要求，尚应符合本标准第4章有关规定。"/>
      <w:bookmarkEnd w:id="263"/>
      <w:bookmarkStart w:id="264" w:name="5.1.6城市道路无障碍设施的设计要求，尚应符合本标准第4章有关规定。"/>
      <w:bookmarkEnd w:id="264"/>
      <w:r>
        <w:rPr>
          <w:spacing w:val="-3"/>
          <w:sz w:val="21"/>
        </w:rPr>
        <w:t xml:space="preserve">城市道路无障碍设施的设计要求，尚应符合本标准第 </w:t>
      </w:r>
      <w:r>
        <w:rPr>
          <w:sz w:val="21"/>
        </w:rPr>
        <w:t>4</w:t>
      </w:r>
      <w:r>
        <w:rPr>
          <w:spacing w:val="-9"/>
          <w:sz w:val="21"/>
        </w:rPr>
        <w:t xml:space="preserve"> 章有关规定。</w:t>
      </w:r>
    </w:p>
    <w:p>
      <w:pPr>
        <w:pStyle w:val="5"/>
        <w:spacing w:before="6"/>
        <w:rPr>
          <w:sz w:val="15"/>
        </w:rPr>
      </w:pPr>
    </w:p>
    <w:p>
      <w:pPr>
        <w:pStyle w:val="12"/>
        <w:numPr>
          <w:ilvl w:val="2"/>
          <w:numId w:val="58"/>
        </w:numPr>
        <w:tabs>
          <w:tab w:val="left" w:pos="1052"/>
          <w:tab w:val="left" w:pos="1053"/>
        </w:tabs>
        <w:spacing w:before="1" w:after="0" w:line="240" w:lineRule="auto"/>
        <w:ind w:left="1052" w:right="0" w:hanging="841"/>
        <w:jc w:val="left"/>
        <w:rPr>
          <w:sz w:val="21"/>
        </w:rPr>
      </w:pPr>
      <w:bookmarkStart w:id="265" w:name="5.1.7城市道路内同时建设有其他类型工程时，其无障碍设计应符合本标准相应类型工"/>
      <w:bookmarkEnd w:id="265"/>
      <w:bookmarkStart w:id="266" w:name="5.1.7城市道路内同时建设有其他类型工程时，其无障碍设计应符合本标准相应类型工"/>
      <w:bookmarkEnd w:id="266"/>
      <w:r>
        <w:rPr>
          <w:sz w:val="21"/>
        </w:rPr>
        <w:t>城市道路内同时建设有其他类型工程时，其无障碍设计应符合本标准相应类型工程的有关规定。</w:t>
      </w:r>
    </w:p>
    <w:p>
      <w:pPr>
        <w:pStyle w:val="5"/>
        <w:spacing w:before="6"/>
        <w:rPr>
          <w:sz w:val="15"/>
        </w:rPr>
      </w:pPr>
    </w:p>
    <w:p>
      <w:pPr>
        <w:pStyle w:val="12"/>
        <w:numPr>
          <w:ilvl w:val="1"/>
          <w:numId w:val="57"/>
        </w:numPr>
        <w:tabs>
          <w:tab w:val="left" w:pos="420"/>
        </w:tabs>
        <w:spacing w:before="0" w:after="0" w:line="240" w:lineRule="auto"/>
        <w:ind w:left="4928" w:right="4606" w:hanging="4929"/>
        <w:jc w:val="right"/>
        <w:rPr>
          <w:rFonts w:hint="eastAsia" w:ascii="黑体" w:eastAsia="黑体"/>
          <w:sz w:val="21"/>
        </w:rPr>
      </w:pPr>
      <w:bookmarkStart w:id="267" w:name="_bookmark9"/>
      <w:bookmarkEnd w:id="267"/>
      <w:bookmarkStart w:id="268" w:name="_bookmark9"/>
      <w:bookmarkEnd w:id="268"/>
      <w:bookmarkStart w:id="269" w:name="5.2人行道"/>
      <w:bookmarkEnd w:id="269"/>
      <w:r>
        <w:rPr>
          <w:rFonts w:hint="eastAsia" w:ascii="黑体" w:eastAsia="黑体"/>
          <w:w w:val="95"/>
          <w:sz w:val="21"/>
        </w:rPr>
        <w:t>人行道</w:t>
      </w:r>
    </w:p>
    <w:p>
      <w:pPr>
        <w:pStyle w:val="5"/>
        <w:spacing w:before="7"/>
        <w:rPr>
          <w:rFonts w:ascii="黑体"/>
          <w:sz w:val="15"/>
        </w:rPr>
      </w:pPr>
    </w:p>
    <w:p>
      <w:pPr>
        <w:pStyle w:val="12"/>
        <w:numPr>
          <w:ilvl w:val="2"/>
          <w:numId w:val="60"/>
        </w:numPr>
        <w:tabs>
          <w:tab w:val="left" w:pos="1052"/>
          <w:tab w:val="left" w:pos="1053"/>
        </w:tabs>
        <w:spacing w:before="0" w:after="0" w:line="240" w:lineRule="auto"/>
        <w:ind w:left="1052" w:right="0" w:hanging="841"/>
        <w:jc w:val="left"/>
        <w:rPr>
          <w:sz w:val="21"/>
        </w:rPr>
      </w:pPr>
      <w:bookmarkStart w:id="270" w:name="5.2.1人行道处缘石坡道设计应符合下列规定："/>
      <w:bookmarkEnd w:id="270"/>
      <w:bookmarkStart w:id="271" w:name="5.2.1人行道处缘石坡道设计应符合下列规定："/>
      <w:bookmarkEnd w:id="271"/>
      <w:r>
        <w:rPr>
          <w:sz w:val="21"/>
        </w:rPr>
        <w:t>人行道处缘石坡道设计应符合下列规定：</w:t>
      </w:r>
    </w:p>
    <w:p>
      <w:pPr>
        <w:pStyle w:val="5"/>
        <w:spacing w:before="7"/>
        <w:rPr>
          <w:sz w:val="15"/>
        </w:rPr>
      </w:pPr>
    </w:p>
    <w:p>
      <w:pPr>
        <w:pStyle w:val="12"/>
        <w:numPr>
          <w:ilvl w:val="0"/>
          <w:numId w:val="61"/>
        </w:numPr>
        <w:tabs>
          <w:tab w:val="left" w:pos="1052"/>
          <w:tab w:val="left" w:pos="1053"/>
        </w:tabs>
        <w:spacing w:before="0" w:after="0" w:line="240" w:lineRule="auto"/>
        <w:ind w:left="1052" w:right="0" w:hanging="416"/>
        <w:jc w:val="left"/>
        <w:rPr>
          <w:sz w:val="21"/>
        </w:rPr>
      </w:pPr>
      <w:r>
        <w:rPr>
          <w:sz w:val="21"/>
        </w:rPr>
        <w:t>人行道在道路交叉口、出入口处与人行横道存在高差时，必须设置缘石坡道；</w:t>
      </w:r>
    </w:p>
    <w:p>
      <w:pPr>
        <w:pStyle w:val="5"/>
        <w:spacing w:before="6"/>
        <w:rPr>
          <w:sz w:val="15"/>
        </w:rPr>
      </w:pPr>
    </w:p>
    <w:p>
      <w:pPr>
        <w:pStyle w:val="12"/>
        <w:numPr>
          <w:ilvl w:val="0"/>
          <w:numId w:val="61"/>
        </w:numPr>
        <w:tabs>
          <w:tab w:val="left" w:pos="1052"/>
          <w:tab w:val="left" w:pos="1053"/>
        </w:tabs>
        <w:spacing w:before="1" w:after="0" w:line="240" w:lineRule="auto"/>
        <w:ind w:left="1052" w:right="0" w:hanging="416"/>
        <w:jc w:val="left"/>
        <w:rPr>
          <w:sz w:val="21"/>
        </w:rPr>
      </w:pPr>
      <w:r>
        <w:rPr>
          <w:sz w:val="21"/>
        </w:rPr>
        <w:t>人行道与人行横道交界处的缘石坡道坡口应与人行横道（含自行车横道）等宽；</w:t>
      </w:r>
    </w:p>
    <w:p>
      <w:pPr>
        <w:pStyle w:val="5"/>
        <w:spacing w:before="6"/>
        <w:rPr>
          <w:sz w:val="15"/>
        </w:rPr>
      </w:pPr>
    </w:p>
    <w:p>
      <w:pPr>
        <w:pStyle w:val="12"/>
        <w:numPr>
          <w:ilvl w:val="0"/>
          <w:numId w:val="61"/>
        </w:numPr>
        <w:tabs>
          <w:tab w:val="left" w:pos="1052"/>
          <w:tab w:val="left" w:pos="1053"/>
        </w:tabs>
        <w:spacing w:before="0" w:after="0" w:line="240" w:lineRule="auto"/>
        <w:ind w:left="1052" w:right="0" w:hanging="416"/>
        <w:jc w:val="left"/>
        <w:rPr>
          <w:sz w:val="21"/>
        </w:rPr>
      </w:pPr>
      <w:r>
        <w:rPr>
          <w:sz w:val="21"/>
        </w:rPr>
        <w:t>交叉口规模不大时，相邻人行横道之间的慢行区域宜做成整体式缘石坡道。</w:t>
      </w:r>
    </w:p>
    <w:p>
      <w:pPr>
        <w:pStyle w:val="5"/>
        <w:spacing w:before="7"/>
        <w:rPr>
          <w:sz w:val="15"/>
        </w:rPr>
      </w:pPr>
    </w:p>
    <w:p>
      <w:pPr>
        <w:pStyle w:val="12"/>
        <w:numPr>
          <w:ilvl w:val="2"/>
          <w:numId w:val="60"/>
        </w:numPr>
        <w:tabs>
          <w:tab w:val="left" w:pos="1052"/>
          <w:tab w:val="left" w:pos="1053"/>
        </w:tabs>
        <w:spacing w:before="0" w:after="0" w:line="240" w:lineRule="auto"/>
        <w:ind w:left="1052" w:right="0" w:hanging="841"/>
        <w:jc w:val="left"/>
        <w:rPr>
          <w:sz w:val="21"/>
        </w:rPr>
      </w:pPr>
      <w:bookmarkStart w:id="272" w:name="5.2.2人行道处盲道设置应符合下列规定："/>
      <w:bookmarkEnd w:id="272"/>
      <w:bookmarkStart w:id="273" w:name="5.2.2人行道处盲道设置应符合下列规定："/>
      <w:bookmarkEnd w:id="273"/>
      <w:r>
        <w:rPr>
          <w:w w:val="95"/>
          <w:sz w:val="21"/>
        </w:rPr>
        <w:t>人行道处盲道设置应符合下列规定：</w:t>
      </w:r>
    </w:p>
    <w:p>
      <w:pPr>
        <w:pStyle w:val="5"/>
        <w:spacing w:before="7"/>
        <w:rPr>
          <w:sz w:val="15"/>
        </w:rPr>
      </w:pPr>
    </w:p>
    <w:p>
      <w:pPr>
        <w:pStyle w:val="12"/>
        <w:numPr>
          <w:ilvl w:val="0"/>
          <w:numId w:val="62"/>
        </w:numPr>
        <w:tabs>
          <w:tab w:val="left" w:pos="415"/>
          <w:tab w:val="left" w:pos="416"/>
        </w:tabs>
        <w:spacing w:before="0" w:after="0" w:line="240" w:lineRule="auto"/>
        <w:ind w:left="1052" w:right="4702" w:hanging="1053"/>
        <w:jc w:val="right"/>
        <w:rPr>
          <w:sz w:val="21"/>
        </w:rPr>
      </w:pPr>
      <w:r>
        <w:rPr>
          <w:w w:val="95"/>
          <w:sz w:val="21"/>
        </w:rPr>
        <w:t>城市主要商业街、步行街的人行道应设置盲道；</w:t>
      </w:r>
    </w:p>
    <w:p>
      <w:pPr>
        <w:pStyle w:val="5"/>
        <w:spacing w:before="6"/>
        <w:rPr>
          <w:sz w:val="15"/>
        </w:rPr>
      </w:pPr>
    </w:p>
    <w:p>
      <w:pPr>
        <w:pStyle w:val="12"/>
        <w:numPr>
          <w:ilvl w:val="0"/>
          <w:numId w:val="62"/>
        </w:numPr>
        <w:tabs>
          <w:tab w:val="left" w:pos="1052"/>
          <w:tab w:val="left" w:pos="1053"/>
        </w:tabs>
        <w:spacing w:before="1" w:after="0" w:line="240" w:lineRule="auto"/>
        <w:ind w:left="1052" w:right="0" w:hanging="416"/>
        <w:jc w:val="left"/>
        <w:rPr>
          <w:sz w:val="21"/>
        </w:rPr>
      </w:pPr>
      <w:r>
        <w:rPr>
          <w:sz w:val="21"/>
        </w:rPr>
        <w:t>视觉障碍者集中区域周边道路应设置盲道；</w:t>
      </w:r>
    </w:p>
    <w:p>
      <w:pPr>
        <w:pStyle w:val="5"/>
        <w:spacing w:before="6"/>
        <w:rPr>
          <w:sz w:val="15"/>
        </w:rPr>
      </w:pPr>
    </w:p>
    <w:p>
      <w:pPr>
        <w:pStyle w:val="12"/>
        <w:numPr>
          <w:ilvl w:val="0"/>
          <w:numId w:val="62"/>
        </w:numPr>
        <w:tabs>
          <w:tab w:val="left" w:pos="1052"/>
          <w:tab w:val="left" w:pos="1053"/>
        </w:tabs>
        <w:spacing w:before="0" w:after="0" w:line="240" w:lineRule="auto"/>
        <w:ind w:left="1052" w:right="0" w:hanging="416"/>
        <w:jc w:val="left"/>
        <w:rPr>
          <w:sz w:val="21"/>
        </w:rPr>
      </w:pPr>
      <w:r>
        <w:rPr>
          <w:sz w:val="21"/>
        </w:rPr>
        <w:t>行进规律发生变化处，应设置提示盲道，与道路盲道相衔接；</w:t>
      </w:r>
    </w:p>
    <w:p>
      <w:pPr>
        <w:pStyle w:val="5"/>
        <w:spacing w:before="7"/>
        <w:rPr>
          <w:sz w:val="15"/>
        </w:rPr>
      </w:pPr>
    </w:p>
    <w:p>
      <w:pPr>
        <w:pStyle w:val="12"/>
        <w:numPr>
          <w:ilvl w:val="0"/>
          <w:numId w:val="62"/>
        </w:numPr>
        <w:tabs>
          <w:tab w:val="left" w:pos="1052"/>
          <w:tab w:val="left" w:pos="1053"/>
        </w:tabs>
        <w:spacing w:before="0" w:after="0" w:line="240" w:lineRule="auto"/>
        <w:ind w:left="1052" w:right="0" w:hanging="416"/>
        <w:jc w:val="left"/>
        <w:rPr>
          <w:sz w:val="21"/>
        </w:rPr>
      </w:pPr>
      <w:r>
        <w:rPr>
          <w:spacing w:val="-4"/>
          <w:sz w:val="21"/>
        </w:rPr>
        <w:t xml:space="preserve">缘石坡道及交通安全岛距车行道 </w:t>
      </w:r>
      <w:r>
        <w:rPr>
          <w:sz w:val="21"/>
        </w:rPr>
        <w:t>250</w:t>
      </w:r>
      <w:r>
        <w:rPr>
          <w:rFonts w:hint="eastAsia" w:ascii="仿宋" w:eastAsia="仿宋"/>
          <w:sz w:val="21"/>
        </w:rPr>
        <w:t>mm</w:t>
      </w:r>
      <w:r>
        <w:rPr>
          <w:sz w:val="21"/>
        </w:rPr>
        <w:t>～500</w:t>
      </w:r>
      <w:r>
        <w:rPr>
          <w:rFonts w:hint="eastAsia" w:ascii="仿宋" w:eastAsia="仿宋"/>
          <w:sz w:val="21"/>
        </w:rPr>
        <w:t>mm</w:t>
      </w:r>
      <w:r>
        <w:rPr>
          <w:rFonts w:hint="eastAsia" w:ascii="仿宋" w:eastAsia="仿宋"/>
          <w:spacing w:val="-55"/>
          <w:sz w:val="21"/>
        </w:rPr>
        <w:t xml:space="preserve"> </w:t>
      </w:r>
      <w:r>
        <w:rPr>
          <w:sz w:val="21"/>
        </w:rPr>
        <w:t>处应设置提示盲道，且宜与人行横道等宽；</w:t>
      </w:r>
    </w:p>
    <w:p>
      <w:pPr>
        <w:pStyle w:val="5"/>
        <w:spacing w:before="7"/>
        <w:rPr>
          <w:sz w:val="15"/>
        </w:rPr>
      </w:pPr>
    </w:p>
    <w:p>
      <w:pPr>
        <w:pStyle w:val="12"/>
        <w:numPr>
          <w:ilvl w:val="0"/>
          <w:numId w:val="62"/>
        </w:numPr>
        <w:tabs>
          <w:tab w:val="left" w:pos="1052"/>
          <w:tab w:val="left" w:pos="1053"/>
        </w:tabs>
        <w:spacing w:before="0" w:after="0" w:line="417" w:lineRule="auto"/>
        <w:ind w:left="212" w:right="312" w:firstLine="424"/>
        <w:jc w:val="left"/>
        <w:rPr>
          <w:sz w:val="21"/>
        </w:rPr>
      </w:pPr>
      <w:r>
        <w:rPr>
          <w:spacing w:val="-2"/>
          <w:w w:val="95"/>
          <w:sz w:val="21"/>
        </w:rPr>
        <w:t xml:space="preserve">人行道与非机动车道同标高设置时，盲道与非机动车道边界之间宜设置绿化分隔带，盲道距离绿   </w:t>
      </w:r>
      <w:r>
        <w:rPr>
          <w:spacing w:val="-10"/>
          <w:sz w:val="21"/>
        </w:rPr>
        <w:t xml:space="preserve">化带不应小于 </w:t>
      </w:r>
      <w:r>
        <w:rPr>
          <w:sz w:val="21"/>
        </w:rPr>
        <w:t>250</w:t>
      </w:r>
      <w:r>
        <w:rPr>
          <w:rFonts w:hint="eastAsia" w:ascii="仿宋" w:eastAsia="仿宋"/>
          <w:sz w:val="21"/>
        </w:rPr>
        <w:t>mm</w:t>
      </w:r>
      <w:r>
        <w:rPr>
          <w:spacing w:val="-2"/>
          <w:sz w:val="21"/>
        </w:rPr>
        <w:t xml:space="preserve">；当无法设置绿化分隔带时，盲道与非机动车道边界距离不应小于 </w:t>
      </w:r>
      <w:r>
        <w:rPr>
          <w:sz w:val="21"/>
        </w:rPr>
        <w:t>500</w:t>
      </w:r>
      <w:r>
        <w:rPr>
          <w:rFonts w:hint="eastAsia" w:ascii="仿宋" w:eastAsia="仿宋"/>
          <w:sz w:val="21"/>
        </w:rPr>
        <w:t>mm</w:t>
      </w:r>
      <w:r>
        <w:rPr>
          <w:sz w:val="21"/>
        </w:rPr>
        <w:t>；</w:t>
      </w:r>
    </w:p>
    <w:p>
      <w:pPr>
        <w:pStyle w:val="12"/>
        <w:numPr>
          <w:ilvl w:val="0"/>
          <w:numId w:val="62"/>
        </w:numPr>
        <w:tabs>
          <w:tab w:val="left" w:pos="1052"/>
          <w:tab w:val="left" w:pos="1053"/>
        </w:tabs>
        <w:spacing w:before="0" w:after="0" w:line="269" w:lineRule="exact"/>
        <w:ind w:left="1052" w:right="0" w:hanging="416"/>
        <w:jc w:val="left"/>
        <w:rPr>
          <w:sz w:val="21"/>
        </w:rPr>
      </w:pPr>
      <w:r>
        <w:rPr>
          <w:sz w:val="21"/>
        </w:rPr>
        <w:t>盲道应避开管井设施，无法避开时应采用表面铺设盲道的下凹型井盖，保持盲道连续、顺直；</w:t>
      </w:r>
    </w:p>
    <w:p>
      <w:pPr>
        <w:pStyle w:val="5"/>
        <w:spacing w:before="6"/>
        <w:rPr>
          <w:sz w:val="15"/>
        </w:rPr>
      </w:pPr>
    </w:p>
    <w:p>
      <w:pPr>
        <w:pStyle w:val="12"/>
        <w:numPr>
          <w:ilvl w:val="0"/>
          <w:numId w:val="62"/>
        </w:numPr>
        <w:tabs>
          <w:tab w:val="left" w:pos="1052"/>
          <w:tab w:val="left" w:pos="1053"/>
        </w:tabs>
        <w:spacing w:before="1" w:after="0" w:line="240" w:lineRule="auto"/>
        <w:ind w:left="1052" w:right="0" w:hanging="416"/>
        <w:jc w:val="left"/>
        <w:rPr>
          <w:sz w:val="21"/>
        </w:rPr>
      </w:pPr>
      <w:r>
        <w:rPr>
          <w:sz w:val="21"/>
        </w:rPr>
        <w:t>可设置智能导盲系统。</w:t>
      </w:r>
    </w:p>
    <w:p>
      <w:pPr>
        <w:pStyle w:val="5"/>
        <w:spacing w:before="6"/>
        <w:rPr>
          <w:sz w:val="15"/>
        </w:rPr>
      </w:pPr>
    </w:p>
    <w:p>
      <w:pPr>
        <w:pStyle w:val="12"/>
        <w:numPr>
          <w:ilvl w:val="2"/>
          <w:numId w:val="60"/>
        </w:numPr>
        <w:tabs>
          <w:tab w:val="left" w:pos="1052"/>
          <w:tab w:val="left" w:pos="1053"/>
        </w:tabs>
        <w:spacing w:before="0" w:after="0" w:line="240" w:lineRule="auto"/>
        <w:ind w:left="1052" w:right="0" w:hanging="841"/>
        <w:jc w:val="left"/>
        <w:rPr>
          <w:sz w:val="21"/>
        </w:rPr>
      </w:pPr>
      <w:bookmarkStart w:id="274" w:name="5.2.3人行道的轮椅坡道设置应符合下列规定："/>
      <w:bookmarkEnd w:id="274"/>
      <w:bookmarkStart w:id="275" w:name="5.2.3人行道的轮椅坡道设置应符合下列规定："/>
      <w:bookmarkEnd w:id="275"/>
      <w:r>
        <w:rPr>
          <w:sz w:val="21"/>
        </w:rPr>
        <w:t>人行道的轮椅坡道设置应符合下列规定：</w:t>
      </w:r>
    </w:p>
    <w:p>
      <w:pPr>
        <w:pStyle w:val="5"/>
        <w:spacing w:before="7"/>
        <w:rPr>
          <w:sz w:val="15"/>
        </w:rPr>
      </w:pPr>
    </w:p>
    <w:p>
      <w:pPr>
        <w:pStyle w:val="12"/>
        <w:numPr>
          <w:ilvl w:val="0"/>
          <w:numId w:val="63"/>
        </w:numPr>
        <w:tabs>
          <w:tab w:val="left" w:pos="1052"/>
          <w:tab w:val="left" w:pos="1053"/>
        </w:tabs>
        <w:spacing w:before="0" w:after="0" w:line="240" w:lineRule="auto"/>
        <w:ind w:left="1052" w:right="0" w:hanging="416"/>
        <w:jc w:val="left"/>
        <w:rPr>
          <w:sz w:val="21"/>
        </w:rPr>
      </w:pPr>
      <w:r>
        <w:rPr>
          <w:spacing w:val="-5"/>
          <w:sz w:val="21"/>
        </w:rPr>
        <w:t xml:space="preserve">人行道的高差应采用不大于 </w:t>
      </w:r>
      <w:r>
        <w:rPr>
          <w:sz w:val="21"/>
        </w:rPr>
        <w:t>1:12</w:t>
      </w:r>
      <w:r>
        <w:rPr>
          <w:spacing w:val="-8"/>
          <w:sz w:val="21"/>
        </w:rPr>
        <w:t xml:space="preserve"> 的轮椅坡道衔接；</w:t>
      </w:r>
    </w:p>
    <w:p>
      <w:pPr>
        <w:spacing w:after="0" w:line="240" w:lineRule="auto"/>
        <w:jc w:val="left"/>
        <w:rPr>
          <w:sz w:val="21"/>
        </w:rPr>
        <w:sectPr>
          <w:pgSz w:w="11910" w:h="16840"/>
          <w:pgMar w:top="1580" w:right="820" w:bottom="1280" w:left="920" w:header="0" w:footer="1095" w:gutter="0"/>
          <w:cols w:space="720" w:num="1"/>
        </w:sectPr>
      </w:pPr>
    </w:p>
    <w:p>
      <w:pPr>
        <w:pStyle w:val="12"/>
        <w:numPr>
          <w:ilvl w:val="0"/>
          <w:numId w:val="63"/>
        </w:numPr>
        <w:tabs>
          <w:tab w:val="left" w:pos="1052"/>
          <w:tab w:val="left" w:pos="1053"/>
        </w:tabs>
        <w:spacing w:before="60" w:after="0" w:line="240" w:lineRule="auto"/>
        <w:ind w:left="1052" w:right="0" w:hanging="416"/>
        <w:jc w:val="left"/>
        <w:rPr>
          <w:sz w:val="21"/>
        </w:rPr>
      </w:pPr>
      <w:r>
        <w:rPr>
          <w:sz w:val="21"/>
        </w:rPr>
        <w:t>人行道设置台阶处，应同时设置轮椅坡道；</w:t>
      </w:r>
    </w:p>
    <w:p>
      <w:pPr>
        <w:pStyle w:val="5"/>
        <w:spacing w:before="6"/>
        <w:rPr>
          <w:sz w:val="15"/>
        </w:rPr>
      </w:pPr>
    </w:p>
    <w:p>
      <w:pPr>
        <w:pStyle w:val="12"/>
        <w:numPr>
          <w:ilvl w:val="0"/>
          <w:numId w:val="63"/>
        </w:numPr>
        <w:tabs>
          <w:tab w:val="left" w:pos="1052"/>
          <w:tab w:val="left" w:pos="1053"/>
        </w:tabs>
        <w:spacing w:before="1" w:after="0" w:line="240" w:lineRule="auto"/>
        <w:ind w:left="1052" w:right="0" w:hanging="416"/>
        <w:jc w:val="left"/>
        <w:rPr>
          <w:sz w:val="21"/>
        </w:rPr>
      </w:pPr>
      <w:r>
        <w:rPr>
          <w:sz w:val="21"/>
        </w:rPr>
        <w:t>轮椅坡道的设置应避免干扰行人通行及其他设施的使用。</w:t>
      </w:r>
    </w:p>
    <w:p>
      <w:pPr>
        <w:pStyle w:val="5"/>
        <w:spacing w:before="6"/>
        <w:rPr>
          <w:sz w:val="15"/>
        </w:rPr>
      </w:pPr>
    </w:p>
    <w:p>
      <w:pPr>
        <w:pStyle w:val="12"/>
        <w:numPr>
          <w:ilvl w:val="2"/>
          <w:numId w:val="60"/>
        </w:numPr>
        <w:tabs>
          <w:tab w:val="left" w:pos="1052"/>
          <w:tab w:val="left" w:pos="1053"/>
        </w:tabs>
        <w:spacing w:before="0" w:after="0" w:line="240" w:lineRule="auto"/>
        <w:ind w:left="1052" w:right="0" w:hanging="841"/>
        <w:jc w:val="left"/>
        <w:rPr>
          <w:sz w:val="21"/>
        </w:rPr>
      </w:pPr>
      <w:bookmarkStart w:id="276" w:name="5.2.4人行道处有关设施的设置，尚应符合下列规定："/>
      <w:bookmarkEnd w:id="276"/>
      <w:bookmarkStart w:id="277" w:name="5.2.4人行道处有关设施的设置，尚应符合下列规定："/>
      <w:bookmarkEnd w:id="277"/>
      <w:r>
        <w:rPr>
          <w:sz w:val="21"/>
        </w:rPr>
        <w:t>人行道处有关设施的设置，尚应符合下列规定：</w:t>
      </w:r>
    </w:p>
    <w:p>
      <w:pPr>
        <w:pStyle w:val="5"/>
        <w:spacing w:before="7"/>
        <w:rPr>
          <w:sz w:val="15"/>
        </w:rPr>
      </w:pPr>
    </w:p>
    <w:p>
      <w:pPr>
        <w:pStyle w:val="12"/>
        <w:numPr>
          <w:ilvl w:val="0"/>
          <w:numId w:val="64"/>
        </w:numPr>
        <w:tabs>
          <w:tab w:val="left" w:pos="1052"/>
          <w:tab w:val="left" w:pos="1053"/>
        </w:tabs>
        <w:spacing w:before="0" w:after="0" w:line="240" w:lineRule="auto"/>
        <w:ind w:left="1052" w:right="0" w:hanging="416"/>
        <w:jc w:val="left"/>
        <w:rPr>
          <w:sz w:val="21"/>
        </w:rPr>
      </w:pPr>
      <w:r>
        <w:rPr>
          <w:sz w:val="21"/>
        </w:rPr>
        <w:t>服务类设施的设置应为行人提供方便；</w:t>
      </w:r>
    </w:p>
    <w:p>
      <w:pPr>
        <w:pStyle w:val="5"/>
        <w:spacing w:before="7"/>
        <w:rPr>
          <w:sz w:val="15"/>
        </w:rPr>
      </w:pPr>
    </w:p>
    <w:p>
      <w:pPr>
        <w:pStyle w:val="12"/>
        <w:numPr>
          <w:ilvl w:val="0"/>
          <w:numId w:val="64"/>
        </w:numPr>
        <w:tabs>
          <w:tab w:val="left" w:pos="1052"/>
          <w:tab w:val="left" w:pos="1053"/>
        </w:tabs>
        <w:spacing w:before="0" w:after="0" w:line="240" w:lineRule="auto"/>
        <w:ind w:left="1052" w:right="0" w:hanging="416"/>
        <w:jc w:val="left"/>
        <w:rPr>
          <w:sz w:val="21"/>
        </w:rPr>
      </w:pPr>
      <w:r>
        <w:rPr>
          <w:sz w:val="21"/>
        </w:rPr>
        <w:t>宜为视觉障碍者提供触摸及音响一体化信息服务类设施；</w:t>
      </w:r>
    </w:p>
    <w:p>
      <w:pPr>
        <w:pStyle w:val="5"/>
        <w:spacing w:before="6"/>
        <w:rPr>
          <w:sz w:val="15"/>
        </w:rPr>
      </w:pPr>
    </w:p>
    <w:p>
      <w:pPr>
        <w:pStyle w:val="12"/>
        <w:numPr>
          <w:ilvl w:val="0"/>
          <w:numId w:val="64"/>
        </w:numPr>
        <w:tabs>
          <w:tab w:val="left" w:pos="1052"/>
          <w:tab w:val="left" w:pos="1053"/>
        </w:tabs>
        <w:spacing w:before="1" w:after="0" w:line="240" w:lineRule="auto"/>
        <w:ind w:left="1052" w:right="0" w:hanging="416"/>
        <w:jc w:val="left"/>
        <w:rPr>
          <w:sz w:val="21"/>
        </w:rPr>
      </w:pPr>
      <w:r>
        <w:rPr>
          <w:sz w:val="21"/>
        </w:rPr>
        <w:t>宜设置人机交互设备，为听觉障碍者提供屏幕手语及字幕等信息服务；</w:t>
      </w:r>
    </w:p>
    <w:p>
      <w:pPr>
        <w:pStyle w:val="5"/>
        <w:spacing w:before="6"/>
        <w:rPr>
          <w:sz w:val="15"/>
        </w:rPr>
      </w:pPr>
    </w:p>
    <w:p>
      <w:pPr>
        <w:pStyle w:val="12"/>
        <w:numPr>
          <w:ilvl w:val="0"/>
          <w:numId w:val="64"/>
        </w:numPr>
        <w:tabs>
          <w:tab w:val="left" w:pos="1052"/>
          <w:tab w:val="left" w:pos="1053"/>
        </w:tabs>
        <w:spacing w:before="0" w:after="0" w:line="240" w:lineRule="auto"/>
        <w:ind w:left="1052" w:right="0" w:hanging="416"/>
        <w:jc w:val="left"/>
        <w:rPr>
          <w:sz w:val="21"/>
        </w:rPr>
      </w:pPr>
      <w:r>
        <w:rPr>
          <w:sz w:val="21"/>
        </w:rPr>
        <w:t>低位服务设施的设置，应方便乘轮椅者使用；</w:t>
      </w:r>
    </w:p>
    <w:p>
      <w:pPr>
        <w:pStyle w:val="5"/>
        <w:spacing w:before="7"/>
        <w:rPr>
          <w:sz w:val="15"/>
        </w:rPr>
      </w:pPr>
    </w:p>
    <w:p>
      <w:pPr>
        <w:pStyle w:val="12"/>
        <w:numPr>
          <w:ilvl w:val="0"/>
          <w:numId w:val="64"/>
        </w:numPr>
        <w:tabs>
          <w:tab w:val="left" w:pos="1052"/>
          <w:tab w:val="left" w:pos="1053"/>
        </w:tabs>
        <w:spacing w:before="0" w:after="0" w:line="240" w:lineRule="auto"/>
        <w:ind w:left="1052" w:right="0" w:hanging="416"/>
        <w:jc w:val="left"/>
        <w:rPr>
          <w:sz w:val="21"/>
        </w:rPr>
      </w:pPr>
      <w:r>
        <w:rPr>
          <w:sz w:val="21"/>
        </w:rPr>
        <w:t>设置休息座椅时，应留有轮椅停留空间；</w:t>
      </w:r>
    </w:p>
    <w:p>
      <w:pPr>
        <w:pStyle w:val="5"/>
        <w:spacing w:before="7"/>
        <w:rPr>
          <w:sz w:val="15"/>
        </w:rPr>
      </w:pPr>
    </w:p>
    <w:p>
      <w:pPr>
        <w:pStyle w:val="12"/>
        <w:numPr>
          <w:ilvl w:val="0"/>
          <w:numId w:val="64"/>
        </w:numPr>
        <w:tabs>
          <w:tab w:val="left" w:pos="1052"/>
          <w:tab w:val="left" w:pos="1053"/>
        </w:tabs>
        <w:spacing w:before="0" w:after="0" w:line="240" w:lineRule="auto"/>
        <w:ind w:left="1052" w:right="0" w:hanging="416"/>
        <w:jc w:val="left"/>
        <w:rPr>
          <w:sz w:val="21"/>
        </w:rPr>
      </w:pPr>
      <w:r>
        <w:rPr>
          <w:sz w:val="21"/>
        </w:rPr>
        <w:t>灯柱、长椅、垃圾桶或标志杆等设施不应影响通行宽度；</w:t>
      </w:r>
    </w:p>
    <w:p>
      <w:pPr>
        <w:pStyle w:val="5"/>
        <w:spacing w:before="6"/>
        <w:rPr>
          <w:sz w:val="15"/>
        </w:rPr>
      </w:pPr>
    </w:p>
    <w:p>
      <w:pPr>
        <w:pStyle w:val="12"/>
        <w:numPr>
          <w:ilvl w:val="0"/>
          <w:numId w:val="64"/>
        </w:numPr>
        <w:tabs>
          <w:tab w:val="left" w:pos="1052"/>
          <w:tab w:val="left" w:pos="1053"/>
        </w:tabs>
        <w:spacing w:before="1" w:after="0" w:line="240" w:lineRule="auto"/>
        <w:ind w:left="1052" w:right="0" w:hanging="416"/>
        <w:jc w:val="left"/>
        <w:rPr>
          <w:sz w:val="21"/>
        </w:rPr>
      </w:pPr>
      <w:r>
        <w:rPr>
          <w:spacing w:val="-3"/>
          <w:sz w:val="21"/>
        </w:rPr>
        <w:t xml:space="preserve">人行道上滤水箅子的孔洞宽度不宜大于 </w:t>
      </w:r>
      <w:r>
        <w:rPr>
          <w:sz w:val="21"/>
        </w:rPr>
        <w:t>13</w:t>
      </w:r>
      <w:r>
        <w:rPr>
          <w:rFonts w:hint="eastAsia" w:ascii="仿宋" w:eastAsia="仿宋"/>
          <w:sz w:val="21"/>
        </w:rPr>
        <w:t>mm</w:t>
      </w:r>
      <w:r>
        <w:rPr>
          <w:sz w:val="21"/>
        </w:rPr>
        <w:t>，条状孔洞应垂直于通行方向；</w:t>
      </w:r>
    </w:p>
    <w:p>
      <w:pPr>
        <w:pStyle w:val="5"/>
        <w:spacing w:before="6"/>
        <w:rPr>
          <w:sz w:val="15"/>
        </w:rPr>
      </w:pPr>
    </w:p>
    <w:p>
      <w:pPr>
        <w:pStyle w:val="12"/>
        <w:numPr>
          <w:ilvl w:val="0"/>
          <w:numId w:val="64"/>
        </w:numPr>
        <w:tabs>
          <w:tab w:val="left" w:pos="1052"/>
          <w:tab w:val="left" w:pos="1053"/>
        </w:tabs>
        <w:spacing w:before="0" w:after="0" w:line="240" w:lineRule="auto"/>
        <w:ind w:left="1052" w:right="0" w:hanging="416"/>
        <w:jc w:val="left"/>
        <w:rPr>
          <w:sz w:val="21"/>
        </w:rPr>
      </w:pPr>
      <w:r>
        <w:rPr>
          <w:sz w:val="21"/>
        </w:rPr>
        <w:t>人行道应提供充足照明。</w:t>
      </w:r>
    </w:p>
    <w:p>
      <w:pPr>
        <w:pStyle w:val="5"/>
        <w:spacing w:before="7"/>
        <w:rPr>
          <w:sz w:val="15"/>
        </w:rPr>
      </w:pPr>
    </w:p>
    <w:p>
      <w:pPr>
        <w:pStyle w:val="12"/>
        <w:numPr>
          <w:ilvl w:val="1"/>
          <w:numId w:val="57"/>
        </w:numPr>
        <w:tabs>
          <w:tab w:val="left" w:pos="4824"/>
        </w:tabs>
        <w:spacing w:before="0" w:after="0" w:line="240" w:lineRule="auto"/>
        <w:ind w:left="4823" w:right="0" w:hanging="421"/>
        <w:jc w:val="left"/>
        <w:rPr>
          <w:rFonts w:hint="eastAsia" w:ascii="黑体" w:eastAsia="黑体"/>
          <w:sz w:val="21"/>
        </w:rPr>
      </w:pPr>
      <w:bookmarkStart w:id="278" w:name="5.3人行横道"/>
      <w:bookmarkEnd w:id="278"/>
      <w:bookmarkStart w:id="279" w:name="_bookmark10"/>
      <w:bookmarkEnd w:id="279"/>
      <w:bookmarkStart w:id="280" w:name="_bookmark10"/>
      <w:bookmarkEnd w:id="280"/>
      <w:r>
        <w:rPr>
          <w:rFonts w:hint="eastAsia" w:ascii="黑体" w:eastAsia="黑体"/>
          <w:sz w:val="21"/>
        </w:rPr>
        <w:t>人行横道</w:t>
      </w:r>
    </w:p>
    <w:p>
      <w:pPr>
        <w:pStyle w:val="5"/>
        <w:spacing w:before="7"/>
        <w:rPr>
          <w:rFonts w:ascii="黑体"/>
          <w:sz w:val="15"/>
        </w:rPr>
      </w:pPr>
    </w:p>
    <w:p>
      <w:pPr>
        <w:tabs>
          <w:tab w:val="left" w:pos="1052"/>
        </w:tabs>
        <w:spacing w:before="0"/>
        <w:ind w:left="212" w:right="0" w:firstLine="0"/>
        <w:jc w:val="left"/>
        <w:rPr>
          <w:sz w:val="21"/>
        </w:rPr>
      </w:pPr>
      <w:r>
        <w:rPr>
          <w:b/>
          <w:sz w:val="21"/>
        </w:rPr>
        <w:t>5.3.1</w:t>
      </w:r>
      <w:r>
        <w:rPr>
          <w:b/>
          <w:sz w:val="21"/>
        </w:rPr>
        <w:tab/>
      </w:r>
      <w:bookmarkStart w:id="281" w:name="5.3.1人行横道范围内的无障碍设计应符合下列规定："/>
      <w:bookmarkEnd w:id="281"/>
      <w:r>
        <w:rPr>
          <w:w w:val="95"/>
          <w:sz w:val="21"/>
        </w:rPr>
        <w:t>人行横道范围内的无障碍设计应符合下列规定：</w:t>
      </w:r>
    </w:p>
    <w:p>
      <w:pPr>
        <w:pStyle w:val="5"/>
        <w:spacing w:before="6"/>
        <w:rPr>
          <w:sz w:val="15"/>
        </w:rPr>
      </w:pPr>
    </w:p>
    <w:p>
      <w:pPr>
        <w:pStyle w:val="12"/>
        <w:numPr>
          <w:ilvl w:val="0"/>
          <w:numId w:val="65"/>
        </w:numPr>
        <w:tabs>
          <w:tab w:val="left" w:pos="1052"/>
          <w:tab w:val="left" w:pos="1053"/>
        </w:tabs>
        <w:spacing w:before="1" w:after="0" w:line="240" w:lineRule="auto"/>
        <w:ind w:left="1052" w:right="0" w:hanging="416"/>
        <w:jc w:val="left"/>
        <w:rPr>
          <w:sz w:val="21"/>
        </w:rPr>
      </w:pPr>
      <w:r>
        <w:rPr>
          <w:w w:val="95"/>
          <w:sz w:val="21"/>
        </w:rPr>
        <w:t>人行横道宽度应满足轮椅通行需求；</w:t>
      </w:r>
    </w:p>
    <w:p>
      <w:pPr>
        <w:pStyle w:val="5"/>
        <w:spacing w:before="6"/>
        <w:rPr>
          <w:sz w:val="15"/>
        </w:rPr>
      </w:pPr>
    </w:p>
    <w:p>
      <w:pPr>
        <w:pStyle w:val="12"/>
        <w:numPr>
          <w:ilvl w:val="0"/>
          <w:numId w:val="65"/>
        </w:numPr>
        <w:tabs>
          <w:tab w:val="left" w:pos="1052"/>
          <w:tab w:val="left" w:pos="1053"/>
        </w:tabs>
        <w:spacing w:before="0" w:after="0" w:line="240" w:lineRule="auto"/>
        <w:ind w:left="1052" w:right="0" w:hanging="416"/>
        <w:jc w:val="left"/>
        <w:rPr>
          <w:sz w:val="21"/>
        </w:rPr>
      </w:pPr>
      <w:r>
        <w:rPr>
          <w:sz w:val="21"/>
        </w:rPr>
        <w:t>人行横道安全岛宜与机动车道路面齐平，且应满足排水要求；</w:t>
      </w:r>
    </w:p>
    <w:p>
      <w:pPr>
        <w:pStyle w:val="5"/>
        <w:spacing w:before="7"/>
        <w:rPr>
          <w:sz w:val="15"/>
        </w:rPr>
      </w:pPr>
    </w:p>
    <w:p>
      <w:pPr>
        <w:pStyle w:val="12"/>
        <w:numPr>
          <w:ilvl w:val="0"/>
          <w:numId w:val="65"/>
        </w:numPr>
        <w:tabs>
          <w:tab w:val="left" w:pos="1052"/>
          <w:tab w:val="left" w:pos="1053"/>
        </w:tabs>
        <w:spacing w:before="0" w:after="0" w:line="240" w:lineRule="auto"/>
        <w:ind w:left="1052" w:right="0" w:hanging="416"/>
        <w:jc w:val="left"/>
        <w:rPr>
          <w:sz w:val="21"/>
        </w:rPr>
      </w:pPr>
      <w:r>
        <w:rPr>
          <w:spacing w:val="-2"/>
          <w:sz w:val="21"/>
        </w:rPr>
        <w:t xml:space="preserve">人行横道安全岛设置阻车桩时，阻车桩的净间距不应小于 </w:t>
      </w:r>
      <w:r>
        <w:rPr>
          <w:sz w:val="21"/>
        </w:rPr>
        <w:t>900</w:t>
      </w:r>
      <w:r>
        <w:rPr>
          <w:rFonts w:hint="eastAsia" w:ascii="仿宋" w:eastAsia="仿宋"/>
          <w:sz w:val="21"/>
        </w:rPr>
        <w:t>mm</w:t>
      </w:r>
      <w:r>
        <w:rPr>
          <w:spacing w:val="-13"/>
          <w:sz w:val="21"/>
        </w:rPr>
        <w:t xml:space="preserve">，宜为 </w:t>
      </w:r>
      <w:r>
        <w:rPr>
          <w:rFonts w:hint="eastAsia" w:ascii="仿宋" w:eastAsia="仿宋"/>
          <w:sz w:val="21"/>
        </w:rPr>
        <w:t>1.20m~1.50m</w:t>
      </w:r>
      <w:r>
        <w:rPr>
          <w:sz w:val="21"/>
        </w:rPr>
        <w:t>；</w:t>
      </w:r>
    </w:p>
    <w:p>
      <w:pPr>
        <w:pStyle w:val="5"/>
        <w:spacing w:before="7"/>
        <w:rPr>
          <w:sz w:val="15"/>
        </w:rPr>
      </w:pPr>
    </w:p>
    <w:p>
      <w:pPr>
        <w:pStyle w:val="12"/>
        <w:numPr>
          <w:ilvl w:val="0"/>
          <w:numId w:val="65"/>
        </w:numPr>
        <w:tabs>
          <w:tab w:val="left" w:pos="1052"/>
          <w:tab w:val="left" w:pos="1053"/>
        </w:tabs>
        <w:spacing w:before="0" w:after="0" w:line="240" w:lineRule="auto"/>
        <w:ind w:left="1052" w:right="0" w:hanging="416"/>
        <w:jc w:val="left"/>
        <w:rPr>
          <w:sz w:val="21"/>
        </w:rPr>
      </w:pPr>
      <w:r>
        <w:rPr>
          <w:sz w:val="21"/>
        </w:rPr>
        <w:t>城市中心区及视觉障碍者集中区域的人行横道，应配置过街音响提示装置。</w:t>
      </w:r>
    </w:p>
    <w:p>
      <w:pPr>
        <w:pStyle w:val="5"/>
        <w:spacing w:before="6"/>
        <w:rPr>
          <w:sz w:val="15"/>
        </w:rPr>
      </w:pPr>
    </w:p>
    <w:p>
      <w:pPr>
        <w:pStyle w:val="12"/>
        <w:numPr>
          <w:ilvl w:val="1"/>
          <w:numId w:val="57"/>
        </w:numPr>
        <w:tabs>
          <w:tab w:val="left" w:pos="4509"/>
        </w:tabs>
        <w:spacing w:before="1" w:after="0" w:line="240" w:lineRule="auto"/>
        <w:ind w:left="4508" w:right="0" w:hanging="421"/>
        <w:jc w:val="left"/>
        <w:rPr>
          <w:rFonts w:hint="eastAsia" w:ascii="黑体" w:eastAsia="黑体"/>
          <w:sz w:val="21"/>
        </w:rPr>
      </w:pPr>
      <w:bookmarkStart w:id="282" w:name="_bookmark11"/>
      <w:bookmarkEnd w:id="282"/>
      <w:bookmarkStart w:id="283" w:name="5.4人行天桥及地道"/>
      <w:bookmarkEnd w:id="283"/>
      <w:bookmarkStart w:id="284" w:name="_bookmark11"/>
      <w:bookmarkEnd w:id="284"/>
      <w:r>
        <w:rPr>
          <w:rFonts w:hint="eastAsia" w:ascii="黑体" w:eastAsia="黑体"/>
          <w:sz w:val="21"/>
        </w:rPr>
        <w:t>人行天桥及地道</w:t>
      </w:r>
    </w:p>
    <w:p>
      <w:pPr>
        <w:pStyle w:val="5"/>
        <w:spacing w:before="6"/>
        <w:rPr>
          <w:rFonts w:ascii="黑体"/>
          <w:sz w:val="15"/>
        </w:rPr>
      </w:pPr>
    </w:p>
    <w:p>
      <w:pPr>
        <w:pStyle w:val="12"/>
        <w:numPr>
          <w:ilvl w:val="2"/>
          <w:numId w:val="66"/>
        </w:numPr>
        <w:tabs>
          <w:tab w:val="left" w:pos="1052"/>
          <w:tab w:val="left" w:pos="1053"/>
        </w:tabs>
        <w:spacing w:before="0" w:after="0" w:line="240" w:lineRule="auto"/>
        <w:ind w:left="1052" w:right="0" w:hanging="841"/>
        <w:jc w:val="left"/>
        <w:rPr>
          <w:sz w:val="21"/>
        </w:rPr>
      </w:pPr>
      <w:bookmarkStart w:id="285" w:name="5.4.1人行天桥及地道的无障碍设计，应符合深圳市现行地方标准《深圳市人行天桥和"/>
      <w:bookmarkEnd w:id="285"/>
      <w:bookmarkStart w:id="286" w:name="5.4.1人行天桥及地道的无障碍设计，应符合深圳市现行地方标准《深圳市人行天桥和"/>
      <w:bookmarkEnd w:id="286"/>
      <w:r>
        <w:rPr>
          <w:sz w:val="21"/>
        </w:rPr>
        <w:t>人行天桥及地道的无障碍设计，应符合深圳市现行地方标准《深圳市人行天桥和连廊设计标准》</w:t>
      </w:r>
    </w:p>
    <w:p>
      <w:pPr>
        <w:pStyle w:val="5"/>
        <w:spacing w:before="7"/>
        <w:rPr>
          <w:sz w:val="15"/>
        </w:rPr>
      </w:pPr>
    </w:p>
    <w:p>
      <w:pPr>
        <w:pStyle w:val="5"/>
        <w:ind w:left="212"/>
      </w:pPr>
      <w:r>
        <w:rPr>
          <w:rFonts w:hint="eastAsia" w:ascii="仿宋" w:eastAsia="仿宋"/>
        </w:rPr>
        <w:t xml:space="preserve">SJG </w:t>
      </w:r>
      <w:r>
        <w:t>70 和《深圳市人行地下通道设计标准》</w:t>
      </w:r>
      <w:r>
        <w:rPr>
          <w:rFonts w:hint="eastAsia" w:ascii="仿宋" w:eastAsia="仿宋"/>
        </w:rPr>
        <w:t xml:space="preserve">SJG </w:t>
      </w:r>
      <w:r>
        <w:t>68 等有关规定。</w:t>
      </w:r>
    </w:p>
    <w:p>
      <w:pPr>
        <w:pStyle w:val="5"/>
        <w:spacing w:before="7"/>
        <w:rPr>
          <w:sz w:val="15"/>
        </w:rPr>
      </w:pPr>
    </w:p>
    <w:p>
      <w:pPr>
        <w:pStyle w:val="12"/>
        <w:numPr>
          <w:ilvl w:val="2"/>
          <w:numId w:val="66"/>
        </w:numPr>
        <w:tabs>
          <w:tab w:val="left" w:pos="1052"/>
          <w:tab w:val="left" w:pos="1053"/>
        </w:tabs>
        <w:spacing w:before="0" w:after="0" w:line="240" w:lineRule="auto"/>
        <w:ind w:left="1052" w:right="0" w:hanging="841"/>
        <w:jc w:val="left"/>
        <w:rPr>
          <w:sz w:val="21"/>
        </w:rPr>
      </w:pPr>
      <w:bookmarkStart w:id="287" w:name="5.4.2盲道的设置应符合下列规定："/>
      <w:bookmarkEnd w:id="287"/>
      <w:bookmarkStart w:id="288" w:name="5.4.2盲道的设置应符合下列规定："/>
      <w:bookmarkEnd w:id="288"/>
      <w:r>
        <w:rPr>
          <w:sz w:val="21"/>
        </w:rPr>
        <w:t>盲道的设置应符合下列规定：</w:t>
      </w:r>
    </w:p>
    <w:p>
      <w:pPr>
        <w:pStyle w:val="5"/>
        <w:spacing w:before="6"/>
        <w:rPr>
          <w:sz w:val="15"/>
        </w:rPr>
      </w:pPr>
    </w:p>
    <w:p>
      <w:pPr>
        <w:pStyle w:val="12"/>
        <w:numPr>
          <w:ilvl w:val="0"/>
          <w:numId w:val="67"/>
        </w:numPr>
        <w:tabs>
          <w:tab w:val="left" w:pos="1052"/>
          <w:tab w:val="left" w:pos="1053"/>
        </w:tabs>
        <w:spacing w:before="1" w:after="0" w:line="240" w:lineRule="auto"/>
        <w:ind w:left="1052" w:right="0" w:hanging="416"/>
        <w:jc w:val="left"/>
        <w:rPr>
          <w:sz w:val="21"/>
        </w:rPr>
      </w:pPr>
      <w:r>
        <w:rPr>
          <w:sz w:val="21"/>
        </w:rPr>
        <w:t>人行天桥及地道出入口处应设置提示盲道，应与人行道中的行进盲道相连接；</w:t>
      </w:r>
    </w:p>
    <w:p>
      <w:pPr>
        <w:pStyle w:val="5"/>
        <w:spacing w:before="6"/>
        <w:rPr>
          <w:sz w:val="15"/>
        </w:rPr>
      </w:pPr>
    </w:p>
    <w:p>
      <w:pPr>
        <w:pStyle w:val="12"/>
        <w:numPr>
          <w:ilvl w:val="0"/>
          <w:numId w:val="67"/>
        </w:numPr>
        <w:tabs>
          <w:tab w:val="left" w:pos="1052"/>
          <w:tab w:val="left" w:pos="1053"/>
        </w:tabs>
        <w:spacing w:before="0" w:after="0" w:line="240" w:lineRule="auto"/>
        <w:ind w:left="1052" w:right="0" w:hanging="416"/>
        <w:jc w:val="left"/>
        <w:rPr>
          <w:sz w:val="21"/>
        </w:rPr>
      </w:pPr>
      <w:r>
        <w:rPr>
          <w:spacing w:val="-6"/>
          <w:sz w:val="21"/>
        </w:rPr>
        <w:t xml:space="preserve">距每段台阶的起终点 </w:t>
      </w:r>
      <w:r>
        <w:rPr>
          <w:sz w:val="21"/>
        </w:rPr>
        <w:t>250</w:t>
      </w:r>
      <w:r>
        <w:rPr>
          <w:rFonts w:hint="eastAsia" w:ascii="仿宋" w:eastAsia="仿宋"/>
          <w:sz w:val="21"/>
        </w:rPr>
        <w:t>mm</w:t>
      </w:r>
      <w:r>
        <w:rPr>
          <w:sz w:val="21"/>
        </w:rPr>
        <w:t>～300</w:t>
      </w:r>
      <w:r>
        <w:rPr>
          <w:rFonts w:hint="eastAsia" w:ascii="仿宋" w:eastAsia="仿宋"/>
          <w:sz w:val="21"/>
        </w:rPr>
        <w:t>mm</w:t>
      </w:r>
      <w:r>
        <w:rPr>
          <w:rFonts w:hint="eastAsia" w:ascii="仿宋" w:eastAsia="仿宋"/>
          <w:spacing w:val="-52"/>
          <w:sz w:val="21"/>
        </w:rPr>
        <w:t xml:space="preserve"> </w:t>
      </w:r>
      <w:r>
        <w:rPr>
          <w:sz w:val="21"/>
        </w:rPr>
        <w:t>处应设置与梯道等宽的提示盲道。</w:t>
      </w:r>
    </w:p>
    <w:p>
      <w:pPr>
        <w:pStyle w:val="5"/>
        <w:spacing w:before="7"/>
        <w:rPr>
          <w:sz w:val="15"/>
        </w:rPr>
      </w:pPr>
    </w:p>
    <w:p>
      <w:pPr>
        <w:pStyle w:val="12"/>
        <w:numPr>
          <w:ilvl w:val="2"/>
          <w:numId w:val="66"/>
        </w:numPr>
        <w:tabs>
          <w:tab w:val="left" w:pos="1052"/>
          <w:tab w:val="left" w:pos="1053"/>
        </w:tabs>
        <w:spacing w:before="0" w:after="0" w:line="240" w:lineRule="auto"/>
        <w:ind w:left="1052" w:right="0" w:hanging="841"/>
        <w:jc w:val="left"/>
        <w:rPr>
          <w:sz w:val="21"/>
        </w:rPr>
      </w:pPr>
      <w:bookmarkStart w:id="289" w:name="5.4.3无障碍电梯、自动扶梯、自行车推行坡道的设置应符合下列规定："/>
      <w:bookmarkEnd w:id="289"/>
      <w:bookmarkStart w:id="290" w:name="5.4.3无障碍电梯、自动扶梯、自行车推行坡道的设置应符合下列规定："/>
      <w:bookmarkEnd w:id="290"/>
      <w:r>
        <w:rPr>
          <w:sz w:val="21"/>
        </w:rPr>
        <w:t>无障碍电梯、自动扶梯、自行车推行坡道的设置应符合下列规定：</w:t>
      </w:r>
    </w:p>
    <w:p>
      <w:pPr>
        <w:pStyle w:val="5"/>
        <w:spacing w:before="7"/>
        <w:rPr>
          <w:sz w:val="15"/>
        </w:rPr>
      </w:pPr>
    </w:p>
    <w:p>
      <w:pPr>
        <w:pStyle w:val="12"/>
        <w:numPr>
          <w:ilvl w:val="0"/>
          <w:numId w:val="68"/>
        </w:numPr>
        <w:tabs>
          <w:tab w:val="left" w:pos="1052"/>
          <w:tab w:val="left" w:pos="1053"/>
        </w:tabs>
        <w:spacing w:before="0" w:after="0" w:line="240" w:lineRule="auto"/>
        <w:ind w:left="1052" w:right="0" w:hanging="421"/>
        <w:jc w:val="left"/>
        <w:rPr>
          <w:sz w:val="21"/>
        </w:rPr>
      </w:pPr>
      <w:r>
        <w:rPr>
          <w:spacing w:val="-3"/>
          <w:sz w:val="21"/>
        </w:rPr>
        <w:t xml:space="preserve">人行天桥及地道处应设置无障碍电梯，且应保证 </w:t>
      </w:r>
      <w:r>
        <w:rPr>
          <w:sz w:val="21"/>
        </w:rPr>
        <w:t>24</w:t>
      </w:r>
      <w:r>
        <w:rPr>
          <w:spacing w:val="-8"/>
          <w:sz w:val="21"/>
        </w:rPr>
        <w:t xml:space="preserve"> 小时开放使用；</w:t>
      </w:r>
    </w:p>
    <w:p>
      <w:pPr>
        <w:pStyle w:val="5"/>
        <w:spacing w:before="6"/>
        <w:rPr>
          <w:sz w:val="15"/>
        </w:rPr>
      </w:pPr>
    </w:p>
    <w:p>
      <w:pPr>
        <w:pStyle w:val="12"/>
        <w:numPr>
          <w:ilvl w:val="0"/>
          <w:numId w:val="68"/>
        </w:numPr>
        <w:tabs>
          <w:tab w:val="left" w:pos="1052"/>
          <w:tab w:val="left" w:pos="1053"/>
        </w:tabs>
        <w:spacing w:before="1" w:after="0" w:line="240" w:lineRule="auto"/>
        <w:ind w:left="1052" w:right="0" w:hanging="416"/>
        <w:jc w:val="left"/>
        <w:rPr>
          <w:sz w:val="21"/>
        </w:rPr>
      </w:pPr>
      <w:r>
        <w:rPr>
          <w:sz w:val="21"/>
        </w:rPr>
        <w:t>在人流密集区应设置自动扶梯；</w:t>
      </w:r>
    </w:p>
    <w:p>
      <w:pPr>
        <w:pStyle w:val="5"/>
        <w:spacing w:before="6"/>
        <w:rPr>
          <w:sz w:val="15"/>
        </w:rPr>
      </w:pPr>
    </w:p>
    <w:p>
      <w:pPr>
        <w:pStyle w:val="12"/>
        <w:numPr>
          <w:ilvl w:val="0"/>
          <w:numId w:val="68"/>
        </w:numPr>
        <w:tabs>
          <w:tab w:val="left" w:pos="1052"/>
          <w:tab w:val="left" w:pos="1053"/>
        </w:tabs>
        <w:spacing w:before="0" w:after="0" w:line="240" w:lineRule="auto"/>
        <w:ind w:left="1052" w:right="0" w:hanging="416"/>
        <w:jc w:val="left"/>
        <w:rPr>
          <w:sz w:val="21"/>
        </w:rPr>
      </w:pPr>
      <w:r>
        <w:rPr>
          <w:sz w:val="21"/>
        </w:rPr>
        <w:t>无障碍电梯、自动扶梯出入口与地面人行道连接处存在高差时，应设置轮椅坡道；</w:t>
      </w:r>
    </w:p>
    <w:p>
      <w:pPr>
        <w:pStyle w:val="5"/>
        <w:spacing w:before="7"/>
        <w:rPr>
          <w:sz w:val="15"/>
        </w:rPr>
      </w:pPr>
    </w:p>
    <w:p>
      <w:pPr>
        <w:pStyle w:val="12"/>
        <w:numPr>
          <w:ilvl w:val="0"/>
          <w:numId w:val="68"/>
        </w:numPr>
        <w:tabs>
          <w:tab w:val="left" w:pos="1052"/>
          <w:tab w:val="left" w:pos="1053"/>
        </w:tabs>
        <w:spacing w:before="0" w:after="0" w:line="240" w:lineRule="auto"/>
        <w:ind w:left="1052" w:right="0" w:hanging="416"/>
        <w:jc w:val="left"/>
        <w:rPr>
          <w:sz w:val="21"/>
        </w:rPr>
      </w:pPr>
      <w:r>
        <w:rPr>
          <w:spacing w:val="-3"/>
          <w:sz w:val="21"/>
        </w:rPr>
        <w:t xml:space="preserve">宜设置自行车推行坡道，坡道坡度不宜大于 </w:t>
      </w:r>
      <w:r>
        <w:rPr>
          <w:sz w:val="21"/>
        </w:rPr>
        <w:t>1:4</w:t>
      </w:r>
      <w:r>
        <w:rPr>
          <w:spacing w:val="-7"/>
          <w:sz w:val="21"/>
        </w:rPr>
        <w:t xml:space="preserve">，宽度不宜小于 </w:t>
      </w:r>
      <w:r>
        <w:rPr>
          <w:sz w:val="21"/>
        </w:rPr>
        <w:t>600</w:t>
      </w:r>
      <w:r>
        <w:rPr>
          <w:rFonts w:hint="eastAsia" w:ascii="仿宋" w:eastAsia="仿宋"/>
          <w:sz w:val="21"/>
        </w:rPr>
        <w:t>mm</w:t>
      </w:r>
      <w:r>
        <w:rPr>
          <w:sz w:val="21"/>
        </w:rPr>
        <w:t>。</w:t>
      </w:r>
    </w:p>
    <w:p>
      <w:pPr>
        <w:pStyle w:val="5"/>
        <w:spacing w:before="7"/>
        <w:rPr>
          <w:sz w:val="15"/>
        </w:rPr>
      </w:pPr>
    </w:p>
    <w:p>
      <w:pPr>
        <w:pStyle w:val="12"/>
        <w:numPr>
          <w:ilvl w:val="2"/>
          <w:numId w:val="66"/>
        </w:numPr>
        <w:tabs>
          <w:tab w:val="left" w:pos="1052"/>
          <w:tab w:val="left" w:pos="1053"/>
        </w:tabs>
        <w:spacing w:before="0" w:after="0" w:line="240" w:lineRule="auto"/>
        <w:ind w:left="1052" w:right="0" w:hanging="841"/>
        <w:jc w:val="left"/>
        <w:rPr>
          <w:sz w:val="21"/>
        </w:rPr>
      </w:pPr>
      <w:bookmarkStart w:id="291" w:name="5.4.4扶手的设置应符合下列规定："/>
      <w:bookmarkEnd w:id="291"/>
      <w:bookmarkStart w:id="292" w:name="5.4.4扶手的设置应符合下列规定："/>
      <w:bookmarkEnd w:id="292"/>
      <w:r>
        <w:rPr>
          <w:sz w:val="21"/>
        </w:rPr>
        <w:t>扶手的设置应符合下列规定：</w:t>
      </w:r>
    </w:p>
    <w:p>
      <w:pPr>
        <w:spacing w:after="0" w:line="240" w:lineRule="auto"/>
        <w:jc w:val="left"/>
        <w:rPr>
          <w:sz w:val="21"/>
        </w:rPr>
        <w:sectPr>
          <w:pgSz w:w="11910" w:h="16840"/>
          <w:pgMar w:top="1580" w:right="820" w:bottom="1280" w:left="920" w:header="0" w:footer="1095" w:gutter="0"/>
          <w:cols w:space="720" w:num="1"/>
        </w:sectPr>
      </w:pPr>
    </w:p>
    <w:p>
      <w:pPr>
        <w:pStyle w:val="12"/>
        <w:numPr>
          <w:ilvl w:val="0"/>
          <w:numId w:val="69"/>
        </w:numPr>
        <w:tabs>
          <w:tab w:val="left" w:pos="1052"/>
          <w:tab w:val="left" w:pos="1053"/>
        </w:tabs>
        <w:spacing w:before="60" w:after="0" w:line="240" w:lineRule="auto"/>
        <w:ind w:left="1052" w:right="0" w:hanging="416"/>
        <w:jc w:val="left"/>
        <w:rPr>
          <w:sz w:val="21"/>
        </w:rPr>
      </w:pPr>
      <w:r>
        <w:rPr>
          <w:spacing w:val="-10"/>
          <w:sz w:val="21"/>
        </w:rPr>
        <w:t>人行天桥楼梯、桥身和地道楼梯的两侧均应设置扶手，宜为双层。桥身两侧应有防攀爬坠落措施；</w:t>
      </w:r>
    </w:p>
    <w:p>
      <w:pPr>
        <w:pStyle w:val="5"/>
        <w:spacing w:before="6"/>
        <w:rPr>
          <w:sz w:val="15"/>
        </w:rPr>
      </w:pPr>
    </w:p>
    <w:p>
      <w:pPr>
        <w:pStyle w:val="12"/>
        <w:numPr>
          <w:ilvl w:val="0"/>
          <w:numId w:val="69"/>
        </w:numPr>
        <w:tabs>
          <w:tab w:val="left" w:pos="1052"/>
          <w:tab w:val="left" w:pos="1053"/>
        </w:tabs>
        <w:spacing w:before="1" w:after="0" w:line="240" w:lineRule="auto"/>
        <w:ind w:left="1052" w:right="0" w:hanging="416"/>
        <w:jc w:val="left"/>
        <w:rPr>
          <w:sz w:val="21"/>
        </w:rPr>
      </w:pPr>
      <w:r>
        <w:rPr>
          <w:sz w:val="21"/>
        </w:rPr>
        <w:t>在栏杆扶手下方宜设置安全阻挡措施；</w:t>
      </w:r>
    </w:p>
    <w:p>
      <w:pPr>
        <w:pStyle w:val="5"/>
        <w:spacing w:before="6"/>
        <w:rPr>
          <w:sz w:val="15"/>
        </w:rPr>
      </w:pPr>
    </w:p>
    <w:p>
      <w:pPr>
        <w:pStyle w:val="12"/>
        <w:numPr>
          <w:ilvl w:val="0"/>
          <w:numId w:val="69"/>
        </w:numPr>
        <w:tabs>
          <w:tab w:val="left" w:pos="1052"/>
          <w:tab w:val="left" w:pos="1053"/>
        </w:tabs>
        <w:spacing w:before="0" w:after="0" w:line="240" w:lineRule="auto"/>
        <w:ind w:left="1052" w:right="0" w:hanging="416"/>
        <w:jc w:val="left"/>
        <w:rPr>
          <w:sz w:val="21"/>
        </w:rPr>
      </w:pPr>
      <w:r>
        <w:rPr>
          <w:sz w:val="21"/>
        </w:rPr>
        <w:t>扶手起点水平段宜安装盲文铭牌。</w:t>
      </w:r>
    </w:p>
    <w:p>
      <w:pPr>
        <w:pStyle w:val="5"/>
        <w:spacing w:before="7"/>
        <w:rPr>
          <w:sz w:val="15"/>
        </w:rPr>
      </w:pPr>
    </w:p>
    <w:p>
      <w:pPr>
        <w:pStyle w:val="12"/>
        <w:numPr>
          <w:ilvl w:val="2"/>
          <w:numId w:val="66"/>
        </w:numPr>
        <w:tabs>
          <w:tab w:val="left" w:pos="1052"/>
          <w:tab w:val="left" w:pos="1053"/>
        </w:tabs>
        <w:spacing w:before="0" w:after="0" w:line="240" w:lineRule="auto"/>
        <w:ind w:left="1052" w:right="0" w:hanging="841"/>
        <w:jc w:val="left"/>
        <w:rPr>
          <w:sz w:val="21"/>
        </w:rPr>
      </w:pPr>
      <w:bookmarkStart w:id="293" w:name="5.4.5当人行天桥及地道无法满足轮椅通行需求时，宜考虑地面安全通行。"/>
      <w:bookmarkEnd w:id="293"/>
      <w:bookmarkStart w:id="294" w:name="5.4.5当人行天桥及地道无法满足轮椅通行需求时，宜考虑地面安全通行。"/>
      <w:bookmarkEnd w:id="294"/>
      <w:r>
        <w:rPr>
          <w:sz w:val="21"/>
        </w:rPr>
        <w:t>当人行天桥及地道无法满足轮椅通行需求时，宜考虑地面安全通行。</w:t>
      </w:r>
    </w:p>
    <w:p>
      <w:pPr>
        <w:pStyle w:val="5"/>
        <w:spacing w:before="7"/>
        <w:rPr>
          <w:sz w:val="15"/>
        </w:rPr>
      </w:pPr>
    </w:p>
    <w:p>
      <w:pPr>
        <w:pStyle w:val="12"/>
        <w:numPr>
          <w:ilvl w:val="2"/>
          <w:numId w:val="66"/>
        </w:numPr>
        <w:tabs>
          <w:tab w:val="left" w:pos="1052"/>
          <w:tab w:val="left" w:pos="1053"/>
        </w:tabs>
        <w:spacing w:before="0" w:after="0" w:line="417" w:lineRule="auto"/>
        <w:ind w:left="212" w:right="310" w:firstLine="0"/>
        <w:jc w:val="left"/>
        <w:rPr>
          <w:sz w:val="21"/>
        </w:rPr>
      </w:pPr>
      <w:bookmarkStart w:id="295" w:name="5.4.6人行天桥下的三角区，净空高度小于2.00m时，必须安装防护设施，并应在"/>
      <w:bookmarkEnd w:id="295"/>
      <w:bookmarkStart w:id="296" w:name="5.4.6人行天桥下的三角区，净空高度小于2.00m时，必须安装防护设施，并应在"/>
      <w:bookmarkEnd w:id="296"/>
      <w:r>
        <w:rPr>
          <w:spacing w:val="-5"/>
          <w:sz w:val="21"/>
        </w:rPr>
        <w:t xml:space="preserve">人行天桥下的三角区，净空高度小于 </w:t>
      </w:r>
      <w:r>
        <w:rPr>
          <w:sz w:val="21"/>
        </w:rPr>
        <w:t>2.00</w:t>
      </w:r>
      <w:r>
        <w:rPr>
          <w:rFonts w:hint="eastAsia" w:ascii="仿宋" w:eastAsia="仿宋"/>
          <w:sz w:val="21"/>
        </w:rPr>
        <w:t>m</w:t>
      </w:r>
      <w:r>
        <w:rPr>
          <w:rFonts w:hint="eastAsia" w:ascii="仿宋" w:eastAsia="仿宋"/>
          <w:spacing w:val="-60"/>
          <w:sz w:val="21"/>
        </w:rPr>
        <w:t xml:space="preserve"> </w:t>
      </w:r>
      <w:r>
        <w:rPr>
          <w:spacing w:val="-4"/>
          <w:sz w:val="21"/>
        </w:rPr>
        <w:t>时，必须安装防护设施，并应在防护设施外设置提示盲道及警示标识。</w:t>
      </w:r>
    </w:p>
    <w:p>
      <w:pPr>
        <w:pStyle w:val="12"/>
        <w:numPr>
          <w:ilvl w:val="1"/>
          <w:numId w:val="57"/>
        </w:numPr>
        <w:tabs>
          <w:tab w:val="left" w:pos="4824"/>
        </w:tabs>
        <w:spacing w:before="0" w:after="0" w:line="269" w:lineRule="exact"/>
        <w:ind w:left="4823" w:right="0" w:hanging="421"/>
        <w:jc w:val="left"/>
        <w:rPr>
          <w:rFonts w:hint="eastAsia" w:ascii="黑体" w:eastAsia="黑体"/>
          <w:sz w:val="21"/>
        </w:rPr>
      </w:pPr>
      <w:bookmarkStart w:id="297" w:name="_bookmark12"/>
      <w:bookmarkEnd w:id="297"/>
      <w:bookmarkStart w:id="298" w:name="5.5公交车站"/>
      <w:bookmarkEnd w:id="298"/>
      <w:bookmarkStart w:id="299" w:name="_bookmark12"/>
      <w:bookmarkEnd w:id="299"/>
      <w:r>
        <w:rPr>
          <w:rFonts w:hint="eastAsia" w:ascii="黑体" w:eastAsia="黑体"/>
          <w:sz w:val="21"/>
        </w:rPr>
        <w:t>公交车站</w:t>
      </w:r>
    </w:p>
    <w:p>
      <w:pPr>
        <w:pStyle w:val="5"/>
        <w:spacing w:before="6"/>
        <w:rPr>
          <w:rFonts w:ascii="黑体"/>
          <w:sz w:val="15"/>
        </w:rPr>
      </w:pPr>
    </w:p>
    <w:p>
      <w:pPr>
        <w:pStyle w:val="12"/>
        <w:numPr>
          <w:ilvl w:val="2"/>
          <w:numId w:val="70"/>
        </w:numPr>
        <w:tabs>
          <w:tab w:val="left" w:pos="1052"/>
          <w:tab w:val="left" w:pos="1053"/>
        </w:tabs>
        <w:spacing w:before="1" w:after="0" w:line="240" w:lineRule="auto"/>
        <w:ind w:left="1052" w:right="0" w:hanging="841"/>
        <w:jc w:val="left"/>
        <w:rPr>
          <w:sz w:val="21"/>
        </w:rPr>
      </w:pPr>
      <w:bookmarkStart w:id="300" w:name="5.5.1公交车站处站台设计应符合下列规定："/>
      <w:bookmarkEnd w:id="300"/>
      <w:bookmarkStart w:id="301" w:name="5.5.1公交车站处站台设计应符合下列规定："/>
      <w:bookmarkEnd w:id="301"/>
      <w:r>
        <w:rPr>
          <w:sz w:val="21"/>
        </w:rPr>
        <w:t>公交车站处站台设计应符合下列规定：</w:t>
      </w:r>
    </w:p>
    <w:p>
      <w:pPr>
        <w:pStyle w:val="5"/>
        <w:spacing w:before="3"/>
        <w:rPr>
          <w:sz w:val="16"/>
        </w:rPr>
      </w:pPr>
    </w:p>
    <w:p>
      <w:pPr>
        <w:pStyle w:val="12"/>
        <w:numPr>
          <w:ilvl w:val="0"/>
          <w:numId w:val="71"/>
        </w:numPr>
        <w:tabs>
          <w:tab w:val="left" w:pos="1052"/>
          <w:tab w:val="left" w:pos="1053"/>
        </w:tabs>
        <w:spacing w:before="0" w:after="0" w:line="240" w:lineRule="auto"/>
        <w:ind w:left="1052" w:right="0" w:hanging="416"/>
        <w:jc w:val="left"/>
        <w:rPr>
          <w:sz w:val="21"/>
        </w:rPr>
      </w:pPr>
      <w:r>
        <w:rPr>
          <w:spacing w:val="-4"/>
          <w:sz w:val="21"/>
        </w:rPr>
        <w:t xml:space="preserve">站台有效通行宽度不应小于 </w:t>
      </w:r>
      <w:r>
        <w:rPr>
          <w:sz w:val="21"/>
        </w:rPr>
        <w:t>1.50</w:t>
      </w:r>
      <w:r>
        <w:rPr>
          <w:rFonts w:hint="eastAsia" w:ascii="仿宋" w:eastAsia="仿宋"/>
          <w:sz w:val="21"/>
        </w:rPr>
        <w:t>m</w:t>
      </w:r>
      <w:r>
        <w:rPr>
          <w:sz w:val="21"/>
        </w:rPr>
        <w:t>；</w:t>
      </w:r>
    </w:p>
    <w:p>
      <w:pPr>
        <w:pStyle w:val="12"/>
        <w:numPr>
          <w:ilvl w:val="0"/>
          <w:numId w:val="71"/>
        </w:numPr>
        <w:tabs>
          <w:tab w:val="left" w:pos="1052"/>
          <w:tab w:val="left" w:pos="1053"/>
        </w:tabs>
        <w:spacing w:before="122" w:after="0" w:line="417" w:lineRule="auto"/>
        <w:ind w:left="212" w:right="315" w:firstLine="424"/>
        <w:jc w:val="left"/>
        <w:rPr>
          <w:sz w:val="21"/>
        </w:rPr>
      </w:pPr>
      <w:r>
        <w:rPr>
          <w:spacing w:val="-2"/>
          <w:w w:val="95"/>
          <w:sz w:val="21"/>
        </w:rPr>
        <w:t xml:space="preserve">在车道之间的分隔带上设公交车站时，当站台与人行道之间存在高差，应在通往公交车站的人行   </w:t>
      </w:r>
      <w:r>
        <w:rPr>
          <w:spacing w:val="-2"/>
          <w:sz w:val="21"/>
        </w:rPr>
        <w:t>横道两端设置缘石坡道；</w:t>
      </w:r>
    </w:p>
    <w:p>
      <w:pPr>
        <w:pStyle w:val="12"/>
        <w:numPr>
          <w:ilvl w:val="0"/>
          <w:numId w:val="71"/>
        </w:numPr>
        <w:tabs>
          <w:tab w:val="left" w:pos="1052"/>
          <w:tab w:val="left" w:pos="1053"/>
        </w:tabs>
        <w:spacing w:before="0" w:after="0" w:line="269" w:lineRule="exact"/>
        <w:ind w:left="1052" w:right="0" w:hanging="416"/>
        <w:jc w:val="left"/>
        <w:rPr>
          <w:sz w:val="21"/>
        </w:rPr>
      </w:pPr>
      <w:r>
        <w:rPr>
          <w:sz w:val="21"/>
        </w:rPr>
        <w:t>站台上方宜设置雨棚。</w:t>
      </w:r>
    </w:p>
    <w:p>
      <w:pPr>
        <w:pStyle w:val="5"/>
        <w:spacing w:before="7"/>
        <w:rPr>
          <w:sz w:val="15"/>
        </w:rPr>
      </w:pPr>
    </w:p>
    <w:p>
      <w:pPr>
        <w:pStyle w:val="12"/>
        <w:numPr>
          <w:ilvl w:val="2"/>
          <w:numId w:val="70"/>
        </w:numPr>
        <w:tabs>
          <w:tab w:val="left" w:pos="1052"/>
          <w:tab w:val="left" w:pos="1053"/>
        </w:tabs>
        <w:spacing w:before="0" w:after="0" w:line="240" w:lineRule="auto"/>
        <w:ind w:left="1052" w:right="0" w:hanging="841"/>
        <w:jc w:val="left"/>
        <w:rPr>
          <w:sz w:val="21"/>
        </w:rPr>
      </w:pPr>
      <w:bookmarkStart w:id="302" w:name="5.5.2盲道的设置应符合下列规定："/>
      <w:bookmarkEnd w:id="302"/>
      <w:bookmarkStart w:id="303" w:name="5.5.2盲道的设置应符合下列规定："/>
      <w:bookmarkEnd w:id="303"/>
      <w:r>
        <w:rPr>
          <w:sz w:val="21"/>
        </w:rPr>
        <w:t>盲道的设置应符合下列规定：</w:t>
      </w:r>
    </w:p>
    <w:p>
      <w:pPr>
        <w:pStyle w:val="5"/>
        <w:spacing w:before="7"/>
        <w:rPr>
          <w:sz w:val="15"/>
        </w:rPr>
      </w:pPr>
    </w:p>
    <w:p>
      <w:pPr>
        <w:pStyle w:val="12"/>
        <w:numPr>
          <w:ilvl w:val="0"/>
          <w:numId w:val="72"/>
        </w:numPr>
        <w:tabs>
          <w:tab w:val="left" w:pos="1052"/>
          <w:tab w:val="left" w:pos="1053"/>
        </w:tabs>
        <w:spacing w:before="0" w:after="0" w:line="240" w:lineRule="auto"/>
        <w:ind w:left="1052" w:right="0" w:hanging="416"/>
        <w:jc w:val="left"/>
        <w:rPr>
          <w:sz w:val="21"/>
        </w:rPr>
      </w:pPr>
      <w:r>
        <w:rPr>
          <w:spacing w:val="-8"/>
          <w:sz w:val="21"/>
        </w:rPr>
        <w:t xml:space="preserve">站台距路缘石 </w:t>
      </w:r>
      <w:r>
        <w:rPr>
          <w:sz w:val="21"/>
        </w:rPr>
        <w:t>250</w:t>
      </w:r>
      <w:r>
        <w:rPr>
          <w:rFonts w:hint="eastAsia" w:ascii="仿宋" w:eastAsia="仿宋"/>
          <w:sz w:val="21"/>
        </w:rPr>
        <w:t>mm</w:t>
      </w:r>
      <w:r>
        <w:rPr>
          <w:sz w:val="21"/>
        </w:rPr>
        <w:t>～500</w:t>
      </w:r>
      <w:r>
        <w:rPr>
          <w:rFonts w:hint="eastAsia" w:ascii="仿宋" w:eastAsia="仿宋"/>
          <w:sz w:val="21"/>
        </w:rPr>
        <w:t>mm</w:t>
      </w:r>
      <w:r>
        <w:rPr>
          <w:rFonts w:hint="eastAsia" w:ascii="仿宋" w:eastAsia="仿宋"/>
          <w:spacing w:val="-55"/>
          <w:sz w:val="21"/>
        </w:rPr>
        <w:t xml:space="preserve"> </w:t>
      </w:r>
      <w:r>
        <w:rPr>
          <w:sz w:val="21"/>
        </w:rPr>
        <w:t>处设置提示盲道，其长度应与公交车站的长度相对应；</w:t>
      </w:r>
    </w:p>
    <w:p>
      <w:pPr>
        <w:pStyle w:val="5"/>
        <w:spacing w:before="6"/>
        <w:rPr>
          <w:sz w:val="15"/>
        </w:rPr>
      </w:pPr>
    </w:p>
    <w:p>
      <w:pPr>
        <w:pStyle w:val="12"/>
        <w:numPr>
          <w:ilvl w:val="0"/>
          <w:numId w:val="72"/>
        </w:numPr>
        <w:tabs>
          <w:tab w:val="left" w:pos="1052"/>
          <w:tab w:val="left" w:pos="1053"/>
        </w:tabs>
        <w:spacing w:before="1" w:after="0" w:line="240" w:lineRule="auto"/>
        <w:ind w:left="1052" w:right="0" w:hanging="416"/>
        <w:jc w:val="left"/>
        <w:rPr>
          <w:sz w:val="21"/>
        </w:rPr>
      </w:pPr>
      <w:r>
        <w:rPr>
          <w:sz w:val="21"/>
        </w:rPr>
        <w:t>当人行道中设有盲道系统时，应与公交车站的盲道相连接。</w:t>
      </w:r>
    </w:p>
    <w:p>
      <w:pPr>
        <w:pStyle w:val="5"/>
        <w:spacing w:before="6"/>
        <w:rPr>
          <w:sz w:val="15"/>
        </w:rPr>
      </w:pPr>
    </w:p>
    <w:p>
      <w:pPr>
        <w:pStyle w:val="12"/>
        <w:numPr>
          <w:ilvl w:val="2"/>
          <w:numId w:val="70"/>
        </w:numPr>
        <w:tabs>
          <w:tab w:val="left" w:pos="1052"/>
          <w:tab w:val="left" w:pos="1053"/>
        </w:tabs>
        <w:spacing w:before="0" w:after="0" w:line="240" w:lineRule="auto"/>
        <w:ind w:left="1052" w:right="0" w:hanging="841"/>
        <w:jc w:val="left"/>
        <w:rPr>
          <w:sz w:val="21"/>
        </w:rPr>
      </w:pPr>
      <w:bookmarkStart w:id="304" w:name="5.5.3公交车站宜设置人机交互式盲文站牌。"/>
      <w:bookmarkEnd w:id="304"/>
      <w:bookmarkStart w:id="305" w:name="5.5.3公交车站宜设置人机交互式盲文站牌。"/>
      <w:bookmarkEnd w:id="305"/>
      <w:r>
        <w:rPr>
          <w:sz w:val="21"/>
        </w:rPr>
        <w:t>公交车站宜设置人机交互式盲文站牌。</w:t>
      </w:r>
    </w:p>
    <w:p>
      <w:pPr>
        <w:pStyle w:val="5"/>
        <w:spacing w:before="7"/>
        <w:rPr>
          <w:sz w:val="15"/>
        </w:rPr>
      </w:pPr>
    </w:p>
    <w:p>
      <w:pPr>
        <w:pStyle w:val="12"/>
        <w:numPr>
          <w:ilvl w:val="1"/>
          <w:numId w:val="57"/>
        </w:numPr>
        <w:tabs>
          <w:tab w:val="left" w:pos="4612"/>
        </w:tabs>
        <w:spacing w:before="0" w:after="0" w:line="240" w:lineRule="auto"/>
        <w:ind w:left="4612" w:right="0" w:hanging="420"/>
        <w:jc w:val="left"/>
        <w:rPr>
          <w:rFonts w:hint="eastAsia" w:ascii="黑体" w:eastAsia="黑体"/>
          <w:sz w:val="21"/>
        </w:rPr>
      </w:pPr>
      <w:bookmarkStart w:id="306" w:name="5.6自行车停放区"/>
      <w:bookmarkEnd w:id="306"/>
      <w:bookmarkStart w:id="307" w:name="_bookmark13"/>
      <w:bookmarkEnd w:id="307"/>
      <w:bookmarkStart w:id="308" w:name="_bookmark13"/>
      <w:bookmarkEnd w:id="308"/>
      <w:r>
        <w:rPr>
          <w:rFonts w:hint="eastAsia" w:ascii="黑体" w:eastAsia="黑体"/>
          <w:w w:val="95"/>
          <w:sz w:val="21"/>
        </w:rPr>
        <w:t>自行车停放区</w:t>
      </w:r>
    </w:p>
    <w:p>
      <w:pPr>
        <w:pStyle w:val="5"/>
        <w:spacing w:before="7"/>
        <w:rPr>
          <w:rFonts w:ascii="黑体"/>
          <w:sz w:val="15"/>
        </w:rPr>
      </w:pPr>
    </w:p>
    <w:p>
      <w:pPr>
        <w:tabs>
          <w:tab w:val="left" w:pos="1052"/>
        </w:tabs>
        <w:spacing w:before="0"/>
        <w:ind w:left="212" w:right="0" w:firstLine="0"/>
        <w:jc w:val="left"/>
        <w:rPr>
          <w:sz w:val="21"/>
        </w:rPr>
      </w:pPr>
      <w:r>
        <w:rPr>
          <w:b/>
          <w:sz w:val="21"/>
        </w:rPr>
        <w:t>5.6.1</w:t>
      </w:r>
      <w:r>
        <w:rPr>
          <w:b/>
          <w:sz w:val="21"/>
        </w:rPr>
        <w:tab/>
      </w:r>
      <w:bookmarkStart w:id="309" w:name="5.6.1自行车停放区的无障碍设计应符合下列规定："/>
      <w:bookmarkEnd w:id="309"/>
      <w:r>
        <w:rPr>
          <w:w w:val="95"/>
          <w:sz w:val="21"/>
        </w:rPr>
        <w:t>自行车停放区的无障碍设计应符合下列规定：</w:t>
      </w:r>
    </w:p>
    <w:p>
      <w:pPr>
        <w:pStyle w:val="5"/>
        <w:spacing w:before="6"/>
        <w:rPr>
          <w:sz w:val="15"/>
        </w:rPr>
      </w:pPr>
    </w:p>
    <w:p>
      <w:pPr>
        <w:pStyle w:val="12"/>
        <w:numPr>
          <w:ilvl w:val="0"/>
          <w:numId w:val="73"/>
        </w:numPr>
        <w:tabs>
          <w:tab w:val="left" w:pos="1052"/>
          <w:tab w:val="left" w:pos="1053"/>
        </w:tabs>
        <w:spacing w:before="1" w:after="0" w:line="240" w:lineRule="auto"/>
        <w:ind w:left="1052" w:right="0" w:hanging="416"/>
        <w:jc w:val="left"/>
        <w:rPr>
          <w:sz w:val="21"/>
        </w:rPr>
      </w:pPr>
      <w:r>
        <w:rPr>
          <w:spacing w:val="-3"/>
          <w:sz w:val="21"/>
        </w:rPr>
        <w:t>应在非机动车道一侧划定专门用地，不得占用消防、逃生等应急通道，不得占用盲道等无障碍设</w:t>
      </w:r>
    </w:p>
    <w:p>
      <w:pPr>
        <w:pStyle w:val="5"/>
        <w:spacing w:before="6"/>
        <w:rPr>
          <w:sz w:val="15"/>
        </w:rPr>
      </w:pPr>
    </w:p>
    <w:p>
      <w:pPr>
        <w:pStyle w:val="5"/>
        <w:ind w:left="212"/>
      </w:pPr>
      <w:r>
        <w:t>施；</w:t>
      </w:r>
    </w:p>
    <w:p>
      <w:pPr>
        <w:pStyle w:val="5"/>
        <w:spacing w:before="7"/>
        <w:rPr>
          <w:sz w:val="15"/>
        </w:rPr>
      </w:pPr>
    </w:p>
    <w:p>
      <w:pPr>
        <w:pStyle w:val="12"/>
        <w:numPr>
          <w:ilvl w:val="0"/>
          <w:numId w:val="73"/>
        </w:numPr>
        <w:tabs>
          <w:tab w:val="left" w:pos="1052"/>
          <w:tab w:val="left" w:pos="1053"/>
        </w:tabs>
        <w:spacing w:before="0" w:after="0" w:line="240" w:lineRule="auto"/>
        <w:ind w:left="1052" w:right="0" w:hanging="416"/>
        <w:jc w:val="left"/>
        <w:rPr>
          <w:sz w:val="21"/>
        </w:rPr>
      </w:pPr>
      <w:r>
        <w:rPr>
          <w:sz w:val="21"/>
        </w:rPr>
        <w:t>应与行人通道、车辆出入口保持安全距离；</w:t>
      </w:r>
    </w:p>
    <w:p>
      <w:pPr>
        <w:pStyle w:val="5"/>
        <w:spacing w:before="7"/>
        <w:rPr>
          <w:sz w:val="15"/>
        </w:rPr>
      </w:pPr>
    </w:p>
    <w:p>
      <w:pPr>
        <w:pStyle w:val="12"/>
        <w:numPr>
          <w:ilvl w:val="0"/>
          <w:numId w:val="73"/>
        </w:numPr>
        <w:tabs>
          <w:tab w:val="left" w:pos="1052"/>
          <w:tab w:val="left" w:pos="1053"/>
        </w:tabs>
        <w:spacing w:before="0" w:after="0" w:line="240" w:lineRule="auto"/>
        <w:ind w:left="1052" w:right="0" w:hanging="418"/>
        <w:jc w:val="left"/>
        <w:rPr>
          <w:sz w:val="21"/>
        </w:rPr>
      </w:pPr>
      <w:r>
        <w:rPr>
          <w:sz w:val="21"/>
        </w:rPr>
        <w:t>宜设置雨棚，并提供照明。</w:t>
      </w:r>
    </w:p>
    <w:p>
      <w:pPr>
        <w:spacing w:after="0" w:line="240" w:lineRule="auto"/>
        <w:jc w:val="left"/>
        <w:rPr>
          <w:sz w:val="21"/>
        </w:rPr>
        <w:sectPr>
          <w:pgSz w:w="11910" w:h="16840"/>
          <w:pgMar w:top="1580" w:right="820" w:bottom="1280" w:left="920" w:header="0" w:footer="1095" w:gutter="0"/>
          <w:cols w:space="720" w:num="1"/>
        </w:sectPr>
      </w:pPr>
    </w:p>
    <w:p>
      <w:pPr>
        <w:pStyle w:val="2"/>
        <w:numPr>
          <w:ilvl w:val="1"/>
          <w:numId w:val="73"/>
        </w:numPr>
        <w:tabs>
          <w:tab w:val="left" w:pos="4599"/>
          <w:tab w:val="left" w:pos="4600"/>
        </w:tabs>
        <w:spacing w:before="68" w:after="0" w:line="240" w:lineRule="auto"/>
        <w:ind w:left="4600" w:right="0" w:hanging="420"/>
        <w:jc w:val="left"/>
      </w:pPr>
      <w:bookmarkStart w:id="310" w:name="6城市广场"/>
      <w:bookmarkEnd w:id="310"/>
      <w:bookmarkStart w:id="311" w:name="_bookmark14"/>
      <w:bookmarkEnd w:id="311"/>
      <w:r>
        <w:t>城市广场</w:t>
      </w:r>
    </w:p>
    <w:p>
      <w:pPr>
        <w:pStyle w:val="12"/>
        <w:numPr>
          <w:ilvl w:val="2"/>
          <w:numId w:val="73"/>
        </w:numPr>
        <w:tabs>
          <w:tab w:val="left" w:pos="4824"/>
        </w:tabs>
        <w:spacing w:before="206" w:after="0" w:line="240" w:lineRule="auto"/>
        <w:ind w:left="4823" w:right="0" w:hanging="421"/>
        <w:jc w:val="left"/>
        <w:rPr>
          <w:rFonts w:hint="eastAsia" w:ascii="黑体" w:eastAsia="黑体"/>
          <w:sz w:val="21"/>
        </w:rPr>
      </w:pPr>
      <w:bookmarkStart w:id="312" w:name="6.1一般规定"/>
      <w:bookmarkEnd w:id="312"/>
      <w:bookmarkStart w:id="313" w:name="_bookmark15"/>
      <w:bookmarkEnd w:id="313"/>
      <w:bookmarkStart w:id="314" w:name="_bookmark15"/>
      <w:bookmarkEnd w:id="314"/>
      <w:r>
        <w:rPr>
          <w:rFonts w:hint="eastAsia" w:ascii="黑体" w:eastAsia="黑体"/>
          <w:w w:val="95"/>
          <w:sz w:val="21"/>
        </w:rPr>
        <w:t>一般规定</w:t>
      </w:r>
    </w:p>
    <w:p>
      <w:pPr>
        <w:pStyle w:val="5"/>
        <w:spacing w:before="6"/>
        <w:rPr>
          <w:rFonts w:ascii="黑体"/>
          <w:sz w:val="15"/>
        </w:rPr>
      </w:pPr>
    </w:p>
    <w:p>
      <w:pPr>
        <w:pStyle w:val="12"/>
        <w:numPr>
          <w:ilvl w:val="2"/>
          <w:numId w:val="74"/>
        </w:numPr>
        <w:tabs>
          <w:tab w:val="left" w:pos="1052"/>
          <w:tab w:val="left" w:pos="1053"/>
        </w:tabs>
        <w:spacing w:before="1" w:after="0" w:line="240" w:lineRule="auto"/>
        <w:ind w:left="1052" w:right="0" w:hanging="841"/>
        <w:jc w:val="left"/>
        <w:rPr>
          <w:sz w:val="21"/>
        </w:rPr>
      </w:pPr>
      <w:bookmarkStart w:id="315" w:name="6.1.1以下城市广场应进行无障碍设计： "/>
      <w:bookmarkEnd w:id="315"/>
      <w:bookmarkStart w:id="316" w:name="6.1.1以下城市广场应进行无障碍设计： "/>
      <w:bookmarkEnd w:id="316"/>
      <w:r>
        <w:rPr>
          <w:w w:val="95"/>
          <w:sz w:val="21"/>
        </w:rPr>
        <w:t>以下城市广场应进行无障碍设计：</w:t>
      </w:r>
    </w:p>
    <w:p>
      <w:pPr>
        <w:pStyle w:val="5"/>
        <w:spacing w:before="6"/>
        <w:rPr>
          <w:sz w:val="15"/>
        </w:rPr>
      </w:pPr>
    </w:p>
    <w:p>
      <w:pPr>
        <w:pStyle w:val="12"/>
        <w:numPr>
          <w:ilvl w:val="0"/>
          <w:numId w:val="75"/>
        </w:numPr>
        <w:tabs>
          <w:tab w:val="left" w:pos="1052"/>
          <w:tab w:val="left" w:pos="1053"/>
        </w:tabs>
        <w:spacing w:before="0" w:after="0" w:line="240" w:lineRule="auto"/>
        <w:ind w:left="1052" w:right="0" w:hanging="416"/>
        <w:jc w:val="left"/>
        <w:rPr>
          <w:sz w:val="21"/>
        </w:rPr>
      </w:pPr>
      <w:r>
        <w:rPr>
          <w:w w:val="95"/>
          <w:sz w:val="21"/>
        </w:rPr>
        <w:t>公共活动广场；</w:t>
      </w:r>
    </w:p>
    <w:p>
      <w:pPr>
        <w:pStyle w:val="5"/>
        <w:spacing w:before="7"/>
        <w:rPr>
          <w:sz w:val="15"/>
        </w:rPr>
      </w:pPr>
    </w:p>
    <w:p>
      <w:pPr>
        <w:pStyle w:val="12"/>
        <w:numPr>
          <w:ilvl w:val="0"/>
          <w:numId w:val="75"/>
        </w:numPr>
        <w:tabs>
          <w:tab w:val="left" w:pos="1052"/>
          <w:tab w:val="left" w:pos="1053"/>
        </w:tabs>
        <w:spacing w:before="0" w:after="0" w:line="240" w:lineRule="auto"/>
        <w:ind w:left="1052" w:right="0" w:hanging="416"/>
        <w:jc w:val="left"/>
        <w:rPr>
          <w:sz w:val="21"/>
        </w:rPr>
      </w:pPr>
      <w:r>
        <w:rPr>
          <w:w w:val="95"/>
          <w:sz w:val="21"/>
        </w:rPr>
        <w:t>交通集散广场；</w:t>
      </w:r>
    </w:p>
    <w:p>
      <w:pPr>
        <w:pStyle w:val="5"/>
        <w:spacing w:before="7"/>
        <w:rPr>
          <w:sz w:val="15"/>
        </w:rPr>
      </w:pPr>
    </w:p>
    <w:p>
      <w:pPr>
        <w:pStyle w:val="12"/>
        <w:numPr>
          <w:ilvl w:val="0"/>
          <w:numId w:val="75"/>
        </w:numPr>
        <w:tabs>
          <w:tab w:val="left" w:pos="1052"/>
          <w:tab w:val="left" w:pos="1053"/>
        </w:tabs>
        <w:spacing w:before="0" w:after="0" w:line="240" w:lineRule="auto"/>
        <w:ind w:left="1052" w:right="0" w:hanging="416"/>
        <w:jc w:val="left"/>
        <w:rPr>
          <w:sz w:val="21"/>
        </w:rPr>
      </w:pPr>
      <w:r>
        <w:rPr>
          <w:w w:val="95"/>
          <w:sz w:val="21"/>
        </w:rPr>
        <w:t>纪念性广场；</w:t>
      </w:r>
    </w:p>
    <w:p>
      <w:pPr>
        <w:pStyle w:val="5"/>
        <w:spacing w:before="6"/>
        <w:rPr>
          <w:sz w:val="15"/>
        </w:rPr>
      </w:pPr>
    </w:p>
    <w:p>
      <w:pPr>
        <w:pStyle w:val="12"/>
        <w:numPr>
          <w:ilvl w:val="0"/>
          <w:numId w:val="75"/>
        </w:numPr>
        <w:tabs>
          <w:tab w:val="left" w:pos="1052"/>
          <w:tab w:val="left" w:pos="1053"/>
        </w:tabs>
        <w:spacing w:before="1" w:after="0" w:line="240" w:lineRule="auto"/>
        <w:ind w:left="1052" w:right="0" w:hanging="416"/>
        <w:jc w:val="left"/>
        <w:rPr>
          <w:sz w:val="21"/>
        </w:rPr>
      </w:pPr>
      <w:r>
        <w:rPr>
          <w:w w:val="95"/>
          <w:sz w:val="21"/>
        </w:rPr>
        <w:t>商业性广场。</w:t>
      </w:r>
    </w:p>
    <w:p>
      <w:pPr>
        <w:pStyle w:val="5"/>
        <w:spacing w:before="6"/>
        <w:rPr>
          <w:sz w:val="15"/>
        </w:rPr>
      </w:pPr>
    </w:p>
    <w:p>
      <w:pPr>
        <w:pStyle w:val="12"/>
        <w:numPr>
          <w:ilvl w:val="2"/>
          <w:numId w:val="74"/>
        </w:numPr>
        <w:tabs>
          <w:tab w:val="left" w:pos="1052"/>
          <w:tab w:val="left" w:pos="1053"/>
        </w:tabs>
        <w:spacing w:before="0" w:after="0" w:line="240" w:lineRule="auto"/>
        <w:ind w:left="1052" w:right="0" w:hanging="841"/>
        <w:jc w:val="left"/>
        <w:rPr>
          <w:sz w:val="21"/>
        </w:rPr>
      </w:pPr>
      <w:bookmarkStart w:id="317" w:name="6.1.2城市广场无障碍设施应与周边毗连的无障碍设施有效衔接。"/>
      <w:bookmarkEnd w:id="317"/>
      <w:bookmarkStart w:id="318" w:name="6.1.2城市广场无障碍设施应与周边毗连的无障碍设施有效衔接。"/>
      <w:bookmarkEnd w:id="318"/>
      <w:r>
        <w:rPr>
          <w:sz w:val="21"/>
        </w:rPr>
        <w:t>城市广场无障碍设施应与周边毗连的无障碍设施有效衔接。</w:t>
      </w:r>
    </w:p>
    <w:p>
      <w:pPr>
        <w:pStyle w:val="5"/>
        <w:spacing w:before="7"/>
        <w:rPr>
          <w:sz w:val="15"/>
        </w:rPr>
      </w:pPr>
    </w:p>
    <w:p>
      <w:pPr>
        <w:pStyle w:val="12"/>
        <w:numPr>
          <w:ilvl w:val="2"/>
          <w:numId w:val="74"/>
        </w:numPr>
        <w:tabs>
          <w:tab w:val="left" w:pos="1052"/>
          <w:tab w:val="left" w:pos="1053"/>
        </w:tabs>
        <w:spacing w:before="0" w:after="0" w:line="240" w:lineRule="auto"/>
        <w:ind w:left="1052" w:right="0" w:hanging="841"/>
        <w:jc w:val="left"/>
        <w:rPr>
          <w:sz w:val="21"/>
        </w:rPr>
      </w:pPr>
      <w:bookmarkStart w:id="319" w:name="6.1.3城市广场宜结合浓荫植物，设置绿化休憩一体化的遮阳蔽雨设施。"/>
      <w:bookmarkEnd w:id="319"/>
      <w:bookmarkStart w:id="320" w:name="6.1.3城市广场宜结合浓荫植物，设置绿化休憩一体化的遮阳蔽雨设施。"/>
      <w:bookmarkEnd w:id="320"/>
      <w:r>
        <w:rPr>
          <w:w w:val="95"/>
          <w:sz w:val="21"/>
        </w:rPr>
        <w:t>城市广场宜结合浓荫植物，设置绿化休憩一体化的遮阳蔽雨设施。</w:t>
      </w:r>
    </w:p>
    <w:p>
      <w:pPr>
        <w:pStyle w:val="5"/>
        <w:spacing w:before="7"/>
        <w:rPr>
          <w:sz w:val="15"/>
        </w:rPr>
      </w:pPr>
    </w:p>
    <w:p>
      <w:pPr>
        <w:pStyle w:val="12"/>
        <w:numPr>
          <w:ilvl w:val="2"/>
          <w:numId w:val="74"/>
        </w:numPr>
        <w:tabs>
          <w:tab w:val="left" w:pos="1052"/>
          <w:tab w:val="left" w:pos="1053"/>
        </w:tabs>
        <w:spacing w:before="0" w:after="0" w:line="240" w:lineRule="auto"/>
        <w:ind w:left="1052" w:right="0" w:hanging="841"/>
        <w:jc w:val="left"/>
        <w:rPr>
          <w:sz w:val="21"/>
        </w:rPr>
      </w:pPr>
      <w:bookmarkStart w:id="321" w:name="6.1.4城市广场内无障碍通行设施和无障碍服务设施处应设置标识设施。"/>
      <w:bookmarkEnd w:id="321"/>
      <w:bookmarkStart w:id="322" w:name="6.1.4城市广场内无障碍通行设施和无障碍服务设施处应设置标识设施。"/>
      <w:bookmarkEnd w:id="322"/>
      <w:r>
        <w:rPr>
          <w:w w:val="95"/>
          <w:sz w:val="21"/>
        </w:rPr>
        <w:t>城市广场内无障碍通行设施和无障碍服务设施处应设置标识设施。</w:t>
      </w:r>
    </w:p>
    <w:p>
      <w:pPr>
        <w:pStyle w:val="5"/>
        <w:spacing w:before="6"/>
        <w:rPr>
          <w:sz w:val="15"/>
        </w:rPr>
      </w:pPr>
    </w:p>
    <w:p>
      <w:pPr>
        <w:pStyle w:val="12"/>
        <w:numPr>
          <w:ilvl w:val="2"/>
          <w:numId w:val="74"/>
        </w:numPr>
        <w:tabs>
          <w:tab w:val="left" w:pos="1052"/>
          <w:tab w:val="left" w:pos="1053"/>
        </w:tabs>
        <w:spacing w:before="1" w:after="0" w:line="240" w:lineRule="auto"/>
        <w:ind w:left="1052" w:right="0" w:hanging="841"/>
        <w:jc w:val="left"/>
        <w:rPr>
          <w:sz w:val="21"/>
        </w:rPr>
      </w:pPr>
      <w:bookmarkStart w:id="323" w:name="6.1.5城市广场无障碍设施的设计要求，尚应符合本标准第4章有关规定。"/>
      <w:bookmarkEnd w:id="323"/>
      <w:bookmarkStart w:id="324" w:name="6.1.5城市广场无障碍设施的设计要求，尚应符合本标准第4章有关规定。"/>
      <w:bookmarkEnd w:id="324"/>
      <w:r>
        <w:rPr>
          <w:spacing w:val="-3"/>
          <w:sz w:val="21"/>
        </w:rPr>
        <w:t xml:space="preserve">城市广场无障碍设施的设计要求，尚应符合本标准第 </w:t>
      </w:r>
      <w:r>
        <w:rPr>
          <w:sz w:val="21"/>
        </w:rPr>
        <w:t>4</w:t>
      </w:r>
      <w:r>
        <w:rPr>
          <w:spacing w:val="-9"/>
          <w:sz w:val="21"/>
        </w:rPr>
        <w:t xml:space="preserve"> 章有关规定。</w:t>
      </w:r>
    </w:p>
    <w:p>
      <w:pPr>
        <w:pStyle w:val="5"/>
        <w:spacing w:before="6"/>
        <w:rPr>
          <w:sz w:val="15"/>
        </w:rPr>
      </w:pPr>
    </w:p>
    <w:p>
      <w:pPr>
        <w:pStyle w:val="12"/>
        <w:numPr>
          <w:ilvl w:val="2"/>
          <w:numId w:val="74"/>
        </w:numPr>
        <w:tabs>
          <w:tab w:val="left" w:pos="1052"/>
          <w:tab w:val="left" w:pos="1053"/>
        </w:tabs>
        <w:spacing w:before="0" w:after="0" w:line="240" w:lineRule="auto"/>
        <w:ind w:left="1052" w:right="0" w:hanging="841"/>
        <w:jc w:val="left"/>
        <w:rPr>
          <w:sz w:val="21"/>
        </w:rPr>
      </w:pPr>
      <w:bookmarkStart w:id="325" w:name="6.1.6城市广场内同时建设有其他类型工程时，其无障碍设计应符合本标准相应类型工"/>
      <w:bookmarkEnd w:id="325"/>
      <w:bookmarkStart w:id="326" w:name="6.1.6城市广场内同时建设有其他类型工程时，其无障碍设计应符合本标准相应类型工"/>
      <w:bookmarkEnd w:id="326"/>
      <w:r>
        <w:rPr>
          <w:sz w:val="21"/>
        </w:rPr>
        <w:t>城市广场内同时建设有其他类型工程时，其无障碍设计应符合本标准相应类型工程的有关规定。</w:t>
      </w:r>
    </w:p>
    <w:p>
      <w:pPr>
        <w:pStyle w:val="5"/>
        <w:spacing w:before="7"/>
        <w:rPr>
          <w:sz w:val="15"/>
        </w:rPr>
      </w:pPr>
    </w:p>
    <w:p>
      <w:pPr>
        <w:pStyle w:val="12"/>
        <w:numPr>
          <w:ilvl w:val="2"/>
          <w:numId w:val="73"/>
        </w:numPr>
        <w:tabs>
          <w:tab w:val="left" w:pos="4824"/>
        </w:tabs>
        <w:spacing w:before="0" w:after="0" w:line="240" w:lineRule="auto"/>
        <w:ind w:left="4823" w:right="0" w:hanging="421"/>
        <w:jc w:val="left"/>
        <w:rPr>
          <w:rFonts w:hint="eastAsia" w:ascii="黑体" w:eastAsia="黑体"/>
          <w:sz w:val="21"/>
        </w:rPr>
      </w:pPr>
      <w:bookmarkStart w:id="327" w:name="6.2技术要求"/>
      <w:bookmarkEnd w:id="327"/>
      <w:bookmarkStart w:id="328" w:name="_bookmark16"/>
      <w:bookmarkEnd w:id="328"/>
      <w:bookmarkStart w:id="329" w:name="_bookmark16"/>
      <w:bookmarkEnd w:id="329"/>
      <w:r>
        <w:rPr>
          <w:rFonts w:hint="eastAsia" w:ascii="黑体" w:eastAsia="黑体"/>
          <w:sz w:val="21"/>
        </w:rPr>
        <w:t>技术要求</w:t>
      </w:r>
    </w:p>
    <w:p>
      <w:pPr>
        <w:pStyle w:val="5"/>
        <w:spacing w:before="7"/>
        <w:rPr>
          <w:rFonts w:ascii="黑体"/>
          <w:sz w:val="15"/>
        </w:rPr>
      </w:pPr>
    </w:p>
    <w:p>
      <w:pPr>
        <w:pStyle w:val="12"/>
        <w:numPr>
          <w:ilvl w:val="2"/>
          <w:numId w:val="76"/>
        </w:numPr>
        <w:tabs>
          <w:tab w:val="left" w:pos="1052"/>
          <w:tab w:val="left" w:pos="1053"/>
        </w:tabs>
        <w:spacing w:before="0" w:after="0" w:line="417" w:lineRule="auto"/>
        <w:ind w:left="212" w:right="312" w:firstLine="0"/>
        <w:jc w:val="left"/>
        <w:rPr>
          <w:sz w:val="21"/>
        </w:rPr>
      </w:pPr>
      <w:bookmarkStart w:id="330" w:name="6.2.1城市广场附近设有公交车站、轨道交通车站出入口、出租车停靠点时，应考虑乘"/>
      <w:bookmarkEnd w:id="330"/>
      <w:bookmarkStart w:id="331" w:name="6.2.1城市广场附近设有公交车站、轨道交通车站出入口、出租车停靠点时，应考虑乘"/>
      <w:bookmarkEnd w:id="331"/>
      <w:r>
        <w:rPr>
          <w:spacing w:val="-3"/>
          <w:w w:val="95"/>
          <w:sz w:val="21"/>
        </w:rPr>
        <w:t xml:space="preserve">城市广场附近设有公交车站、轨道交通车站出入口、出租车停靠点时，应考虑乘轮椅者的通行及   </w:t>
      </w:r>
      <w:r>
        <w:rPr>
          <w:spacing w:val="-3"/>
          <w:sz w:val="21"/>
        </w:rPr>
        <w:t>乘坐方便。</w:t>
      </w:r>
    </w:p>
    <w:p>
      <w:pPr>
        <w:pStyle w:val="12"/>
        <w:numPr>
          <w:ilvl w:val="2"/>
          <w:numId w:val="76"/>
        </w:numPr>
        <w:tabs>
          <w:tab w:val="left" w:pos="1052"/>
          <w:tab w:val="left" w:pos="1053"/>
        </w:tabs>
        <w:spacing w:before="0" w:after="0" w:line="269" w:lineRule="exact"/>
        <w:ind w:left="1052" w:right="0" w:hanging="841"/>
        <w:jc w:val="left"/>
        <w:rPr>
          <w:sz w:val="21"/>
        </w:rPr>
      </w:pPr>
      <w:bookmarkStart w:id="332" w:name="6.2.2城市广场设有公共停车场时，其无障碍设计应符合下列规定："/>
      <w:bookmarkEnd w:id="332"/>
      <w:bookmarkStart w:id="333" w:name="6.2.2城市广场设有公共停车场时，其无障碍设计应符合下列规定："/>
      <w:bookmarkEnd w:id="333"/>
      <w:r>
        <w:rPr>
          <w:sz w:val="21"/>
        </w:rPr>
        <w:t>城市广场设有公共停车场时，其无障碍设计应符合下列规定：</w:t>
      </w:r>
    </w:p>
    <w:p>
      <w:pPr>
        <w:pStyle w:val="5"/>
        <w:spacing w:before="6"/>
        <w:rPr>
          <w:sz w:val="15"/>
        </w:rPr>
      </w:pPr>
    </w:p>
    <w:p>
      <w:pPr>
        <w:pStyle w:val="12"/>
        <w:numPr>
          <w:ilvl w:val="0"/>
          <w:numId w:val="77"/>
        </w:numPr>
        <w:tabs>
          <w:tab w:val="left" w:pos="1052"/>
          <w:tab w:val="left" w:pos="1053"/>
        </w:tabs>
        <w:spacing w:before="1" w:after="0" w:line="240" w:lineRule="auto"/>
        <w:ind w:left="1052" w:right="0" w:hanging="416"/>
        <w:jc w:val="left"/>
        <w:rPr>
          <w:sz w:val="21"/>
        </w:rPr>
      </w:pPr>
      <w:r>
        <w:rPr>
          <w:sz w:val="21"/>
        </w:rPr>
        <w:t>公共停车场设置应遵循人车分流原则；</w:t>
      </w:r>
    </w:p>
    <w:p>
      <w:pPr>
        <w:pStyle w:val="5"/>
        <w:spacing w:before="6"/>
        <w:rPr>
          <w:sz w:val="15"/>
        </w:rPr>
      </w:pPr>
    </w:p>
    <w:p>
      <w:pPr>
        <w:pStyle w:val="12"/>
        <w:numPr>
          <w:ilvl w:val="0"/>
          <w:numId w:val="77"/>
        </w:numPr>
        <w:tabs>
          <w:tab w:val="left" w:pos="1052"/>
          <w:tab w:val="left" w:pos="1053"/>
        </w:tabs>
        <w:spacing w:before="0" w:after="0" w:line="240" w:lineRule="auto"/>
        <w:ind w:left="1052" w:right="0" w:hanging="416"/>
        <w:jc w:val="left"/>
        <w:rPr>
          <w:sz w:val="21"/>
        </w:rPr>
      </w:pPr>
      <w:r>
        <w:rPr>
          <w:sz w:val="21"/>
        </w:rPr>
        <w:t>广场人员公共活动区域与公共停车场之间，应设置实体隔离；</w:t>
      </w:r>
    </w:p>
    <w:p>
      <w:pPr>
        <w:pStyle w:val="5"/>
        <w:spacing w:before="7"/>
        <w:rPr>
          <w:sz w:val="15"/>
        </w:rPr>
      </w:pPr>
    </w:p>
    <w:p>
      <w:pPr>
        <w:pStyle w:val="12"/>
        <w:numPr>
          <w:ilvl w:val="0"/>
          <w:numId w:val="77"/>
        </w:numPr>
        <w:tabs>
          <w:tab w:val="left" w:pos="1052"/>
          <w:tab w:val="left" w:pos="1053"/>
        </w:tabs>
        <w:spacing w:before="0" w:after="0" w:line="417" w:lineRule="auto"/>
        <w:ind w:left="212" w:right="310" w:firstLine="424"/>
        <w:jc w:val="left"/>
        <w:rPr>
          <w:sz w:val="21"/>
        </w:rPr>
      </w:pPr>
      <w:r>
        <w:rPr>
          <w:spacing w:val="-5"/>
          <w:sz w:val="21"/>
        </w:rPr>
        <w:t xml:space="preserve">应设置不小于总停车数 </w:t>
      </w:r>
      <w:r>
        <w:rPr>
          <w:sz w:val="21"/>
        </w:rPr>
        <w:t>2</w:t>
      </w:r>
      <w:r>
        <w:rPr>
          <w:spacing w:val="-10"/>
          <w:sz w:val="21"/>
        </w:rPr>
        <w:t xml:space="preserve">%的无障碍机动车停车位，比例不足 </w:t>
      </w:r>
      <w:r>
        <w:rPr>
          <w:sz w:val="21"/>
        </w:rPr>
        <w:t>1</w:t>
      </w:r>
      <w:r>
        <w:rPr>
          <w:spacing w:val="-13"/>
          <w:sz w:val="21"/>
        </w:rPr>
        <w:t xml:space="preserve"> 个停车位的至少设置 </w:t>
      </w:r>
      <w:r>
        <w:rPr>
          <w:sz w:val="21"/>
        </w:rPr>
        <w:t>1</w:t>
      </w:r>
      <w:r>
        <w:rPr>
          <w:spacing w:val="-10"/>
          <w:sz w:val="21"/>
        </w:rPr>
        <w:t xml:space="preserve"> 个无障碍停车位。</w:t>
      </w:r>
    </w:p>
    <w:p>
      <w:pPr>
        <w:pStyle w:val="12"/>
        <w:numPr>
          <w:ilvl w:val="2"/>
          <w:numId w:val="76"/>
        </w:numPr>
        <w:tabs>
          <w:tab w:val="left" w:pos="1052"/>
          <w:tab w:val="left" w:pos="1053"/>
        </w:tabs>
        <w:spacing w:before="0" w:after="0" w:line="269" w:lineRule="exact"/>
        <w:ind w:left="1052" w:right="0" w:hanging="841"/>
        <w:jc w:val="left"/>
        <w:rPr>
          <w:sz w:val="21"/>
        </w:rPr>
      </w:pPr>
      <w:bookmarkStart w:id="334" w:name="6.2.3城市广场的地面应符合下列规定："/>
      <w:bookmarkEnd w:id="334"/>
      <w:bookmarkStart w:id="335" w:name="6.2.3城市广场的地面应符合下列规定："/>
      <w:bookmarkEnd w:id="335"/>
      <w:r>
        <w:rPr>
          <w:sz w:val="21"/>
        </w:rPr>
        <w:t>城市广场的地面应符合下列规定：</w:t>
      </w:r>
    </w:p>
    <w:p>
      <w:pPr>
        <w:pStyle w:val="5"/>
        <w:spacing w:before="7"/>
        <w:rPr>
          <w:sz w:val="15"/>
        </w:rPr>
      </w:pPr>
    </w:p>
    <w:p>
      <w:pPr>
        <w:pStyle w:val="12"/>
        <w:numPr>
          <w:ilvl w:val="0"/>
          <w:numId w:val="78"/>
        </w:numPr>
        <w:tabs>
          <w:tab w:val="left" w:pos="1052"/>
          <w:tab w:val="left" w:pos="1053"/>
        </w:tabs>
        <w:spacing w:before="0" w:after="0" w:line="240" w:lineRule="auto"/>
        <w:ind w:left="1052" w:right="0" w:hanging="416"/>
        <w:jc w:val="left"/>
        <w:rPr>
          <w:sz w:val="21"/>
        </w:rPr>
      </w:pPr>
      <w:r>
        <w:rPr>
          <w:sz w:val="21"/>
        </w:rPr>
        <w:t>应平整、不积水，且不应采用光滑表面的铺装材料；</w:t>
      </w:r>
    </w:p>
    <w:p>
      <w:pPr>
        <w:pStyle w:val="5"/>
        <w:spacing w:before="6"/>
        <w:rPr>
          <w:sz w:val="15"/>
        </w:rPr>
      </w:pPr>
    </w:p>
    <w:p>
      <w:pPr>
        <w:pStyle w:val="12"/>
        <w:numPr>
          <w:ilvl w:val="0"/>
          <w:numId w:val="78"/>
        </w:numPr>
        <w:tabs>
          <w:tab w:val="left" w:pos="1052"/>
          <w:tab w:val="left" w:pos="1053"/>
        </w:tabs>
        <w:spacing w:before="1" w:after="0" w:line="240" w:lineRule="auto"/>
        <w:ind w:left="1052" w:right="0" w:hanging="416"/>
        <w:jc w:val="left"/>
        <w:rPr>
          <w:sz w:val="21"/>
        </w:rPr>
      </w:pPr>
      <w:r>
        <w:rPr>
          <w:spacing w:val="-7"/>
          <w:sz w:val="21"/>
        </w:rPr>
        <w:t xml:space="preserve">广场设计坡度宜为 </w:t>
      </w:r>
      <w:r>
        <w:rPr>
          <w:sz w:val="21"/>
        </w:rPr>
        <w:t>0.3%～3.0</w:t>
      </w:r>
      <w:r>
        <w:rPr>
          <w:spacing w:val="-9"/>
          <w:sz w:val="21"/>
        </w:rPr>
        <w:t>%。广场高差较大时，可建成阶梯式，且宜设置轮椅坡道或无障碍电</w:t>
      </w:r>
    </w:p>
    <w:p>
      <w:pPr>
        <w:pStyle w:val="5"/>
        <w:spacing w:before="6"/>
        <w:rPr>
          <w:sz w:val="15"/>
        </w:rPr>
      </w:pPr>
    </w:p>
    <w:p>
      <w:pPr>
        <w:pStyle w:val="5"/>
        <w:ind w:left="212"/>
      </w:pPr>
      <w:r>
        <w:t>梯；</w:t>
      </w:r>
    </w:p>
    <w:p>
      <w:pPr>
        <w:pStyle w:val="5"/>
        <w:spacing w:before="7"/>
        <w:rPr>
          <w:sz w:val="15"/>
        </w:rPr>
      </w:pPr>
    </w:p>
    <w:p>
      <w:pPr>
        <w:pStyle w:val="12"/>
        <w:numPr>
          <w:ilvl w:val="0"/>
          <w:numId w:val="78"/>
        </w:numPr>
        <w:tabs>
          <w:tab w:val="left" w:pos="1052"/>
          <w:tab w:val="left" w:pos="1053"/>
        </w:tabs>
        <w:spacing w:before="0" w:after="0" w:line="240" w:lineRule="auto"/>
        <w:ind w:left="1052" w:right="0" w:hanging="416"/>
        <w:jc w:val="left"/>
        <w:rPr>
          <w:sz w:val="21"/>
        </w:rPr>
      </w:pPr>
      <w:r>
        <w:rPr>
          <w:spacing w:val="-4"/>
          <w:sz w:val="21"/>
        </w:rPr>
        <w:t xml:space="preserve">与广场相连接的道路纵坡宜为 </w:t>
      </w:r>
      <w:r>
        <w:rPr>
          <w:sz w:val="21"/>
        </w:rPr>
        <w:t>0.5%～2.0</w:t>
      </w:r>
      <w:r>
        <w:rPr>
          <w:spacing w:val="-4"/>
          <w:sz w:val="21"/>
        </w:rPr>
        <w:t xml:space="preserve">%；高差较大时，纵坡不应大于 </w:t>
      </w:r>
      <w:r>
        <w:rPr>
          <w:sz w:val="21"/>
        </w:rPr>
        <w:t>7.0%；</w:t>
      </w:r>
    </w:p>
    <w:p>
      <w:pPr>
        <w:pStyle w:val="5"/>
        <w:spacing w:before="7"/>
        <w:rPr>
          <w:sz w:val="15"/>
        </w:rPr>
      </w:pPr>
    </w:p>
    <w:p>
      <w:pPr>
        <w:pStyle w:val="12"/>
        <w:numPr>
          <w:ilvl w:val="0"/>
          <w:numId w:val="78"/>
        </w:numPr>
        <w:tabs>
          <w:tab w:val="left" w:pos="1052"/>
          <w:tab w:val="left" w:pos="1053"/>
        </w:tabs>
        <w:spacing w:before="0" w:after="0" w:line="240" w:lineRule="auto"/>
        <w:ind w:left="1052" w:right="0" w:hanging="416"/>
        <w:jc w:val="left"/>
        <w:rPr>
          <w:sz w:val="21"/>
        </w:rPr>
      </w:pPr>
      <w:r>
        <w:rPr>
          <w:spacing w:val="-4"/>
          <w:sz w:val="21"/>
        </w:rPr>
        <w:t xml:space="preserve">出入口处应设置纵坡不大于 </w:t>
      </w:r>
      <w:r>
        <w:rPr>
          <w:sz w:val="21"/>
        </w:rPr>
        <w:t>2.0%的缓坡段。</w:t>
      </w:r>
    </w:p>
    <w:p>
      <w:pPr>
        <w:pStyle w:val="5"/>
        <w:spacing w:before="6"/>
        <w:rPr>
          <w:sz w:val="15"/>
        </w:rPr>
      </w:pPr>
    </w:p>
    <w:p>
      <w:pPr>
        <w:pStyle w:val="12"/>
        <w:numPr>
          <w:ilvl w:val="2"/>
          <w:numId w:val="76"/>
        </w:numPr>
        <w:tabs>
          <w:tab w:val="left" w:pos="1052"/>
          <w:tab w:val="left" w:pos="1053"/>
        </w:tabs>
        <w:spacing w:before="1" w:after="0" w:line="240" w:lineRule="auto"/>
        <w:ind w:left="1052" w:right="0" w:hanging="841"/>
        <w:jc w:val="left"/>
        <w:rPr>
          <w:sz w:val="21"/>
        </w:rPr>
      </w:pPr>
      <w:bookmarkStart w:id="336" w:name="6.2.4城市广场盲道的设置应符合下列规定："/>
      <w:bookmarkEnd w:id="336"/>
      <w:bookmarkStart w:id="337" w:name="6.2.4城市广场盲道的设置应符合下列规定："/>
      <w:bookmarkEnd w:id="337"/>
      <w:r>
        <w:rPr>
          <w:sz w:val="21"/>
        </w:rPr>
        <w:t>城市广场盲道的设置应符合下列规定：</w:t>
      </w:r>
    </w:p>
    <w:p>
      <w:pPr>
        <w:pStyle w:val="5"/>
        <w:spacing w:before="6"/>
        <w:rPr>
          <w:sz w:val="15"/>
        </w:rPr>
      </w:pPr>
    </w:p>
    <w:p>
      <w:pPr>
        <w:pStyle w:val="12"/>
        <w:numPr>
          <w:ilvl w:val="3"/>
          <w:numId w:val="76"/>
        </w:numPr>
        <w:tabs>
          <w:tab w:val="left" w:pos="1052"/>
          <w:tab w:val="left" w:pos="1053"/>
        </w:tabs>
        <w:spacing w:before="0" w:after="0" w:line="417" w:lineRule="auto"/>
        <w:ind w:left="212" w:right="312" w:firstLine="424"/>
        <w:jc w:val="left"/>
        <w:rPr>
          <w:sz w:val="21"/>
        </w:rPr>
      </w:pPr>
      <w:r>
        <w:rPr>
          <w:spacing w:val="-3"/>
          <w:sz w:val="21"/>
        </w:rPr>
        <w:t xml:space="preserve">设有台阶或坡道时，距每段台阶与坡道的起终点 </w:t>
      </w:r>
      <w:r>
        <w:rPr>
          <w:sz w:val="21"/>
        </w:rPr>
        <w:t>250</w:t>
      </w:r>
      <w:r>
        <w:rPr>
          <w:rFonts w:hint="eastAsia" w:ascii="仿宋" w:eastAsia="仿宋"/>
          <w:sz w:val="21"/>
        </w:rPr>
        <w:t>mm</w:t>
      </w:r>
      <w:r>
        <w:rPr>
          <w:sz w:val="21"/>
        </w:rPr>
        <w:t>～300</w:t>
      </w:r>
      <w:r>
        <w:rPr>
          <w:rFonts w:hint="eastAsia" w:ascii="仿宋" w:eastAsia="仿宋"/>
          <w:sz w:val="21"/>
        </w:rPr>
        <w:t>mm</w:t>
      </w:r>
      <w:r>
        <w:rPr>
          <w:rFonts w:hint="eastAsia" w:ascii="仿宋" w:eastAsia="仿宋"/>
          <w:spacing w:val="-51"/>
          <w:sz w:val="21"/>
        </w:rPr>
        <w:t xml:space="preserve"> </w:t>
      </w:r>
      <w:r>
        <w:rPr>
          <w:sz w:val="21"/>
        </w:rPr>
        <w:t>处应设置与台阶、坡道等宽的提示盲道；</w:t>
      </w:r>
    </w:p>
    <w:p>
      <w:pPr>
        <w:spacing w:after="0" w:line="417" w:lineRule="auto"/>
        <w:jc w:val="left"/>
        <w:rPr>
          <w:sz w:val="21"/>
        </w:rPr>
        <w:sectPr>
          <w:footerReference r:id="rId8" w:type="default"/>
          <w:pgSz w:w="11910" w:h="16840"/>
          <w:pgMar w:top="1580" w:right="820" w:bottom="1280" w:left="920" w:header="0" w:footer="1095" w:gutter="0"/>
          <w:pgNumType w:start="30"/>
          <w:cols w:space="720" w:num="1"/>
        </w:sectPr>
      </w:pPr>
    </w:p>
    <w:p>
      <w:pPr>
        <w:pStyle w:val="12"/>
        <w:numPr>
          <w:ilvl w:val="3"/>
          <w:numId w:val="76"/>
        </w:numPr>
        <w:tabs>
          <w:tab w:val="left" w:pos="1052"/>
          <w:tab w:val="left" w:pos="1053"/>
        </w:tabs>
        <w:spacing w:before="60" w:after="0" w:line="240" w:lineRule="auto"/>
        <w:ind w:left="1052" w:right="0" w:hanging="416"/>
        <w:jc w:val="left"/>
        <w:rPr>
          <w:sz w:val="21"/>
        </w:rPr>
      </w:pPr>
      <w:r>
        <w:rPr>
          <w:sz w:val="21"/>
        </w:rPr>
        <w:t>当人行道中设有盲道系统时，应与提示盲道相连接。</w:t>
      </w:r>
    </w:p>
    <w:p>
      <w:pPr>
        <w:pStyle w:val="5"/>
        <w:spacing w:before="6"/>
        <w:rPr>
          <w:sz w:val="15"/>
        </w:rPr>
      </w:pPr>
    </w:p>
    <w:p>
      <w:pPr>
        <w:pStyle w:val="12"/>
        <w:numPr>
          <w:ilvl w:val="2"/>
          <w:numId w:val="76"/>
        </w:numPr>
        <w:tabs>
          <w:tab w:val="left" w:pos="1052"/>
          <w:tab w:val="left" w:pos="1053"/>
        </w:tabs>
        <w:spacing w:before="1" w:after="0" w:line="240" w:lineRule="auto"/>
        <w:ind w:left="1052" w:right="0" w:hanging="841"/>
        <w:jc w:val="left"/>
        <w:rPr>
          <w:sz w:val="21"/>
        </w:rPr>
      </w:pPr>
      <w:bookmarkStart w:id="338" w:name="6.2.5城市广场内有关设施的设置，尚应符合下列规定："/>
      <w:bookmarkEnd w:id="338"/>
      <w:bookmarkStart w:id="339" w:name="6.2.5城市广场内有关设施的设置，尚应符合下列规定："/>
      <w:bookmarkEnd w:id="339"/>
      <w:r>
        <w:rPr>
          <w:w w:val="95"/>
          <w:sz w:val="21"/>
        </w:rPr>
        <w:t>城市广场内有关设施的设置，尚应符合下列规定：</w:t>
      </w:r>
    </w:p>
    <w:p>
      <w:pPr>
        <w:pStyle w:val="5"/>
        <w:spacing w:before="6"/>
        <w:rPr>
          <w:sz w:val="15"/>
        </w:rPr>
      </w:pPr>
    </w:p>
    <w:p>
      <w:pPr>
        <w:pStyle w:val="12"/>
        <w:numPr>
          <w:ilvl w:val="0"/>
          <w:numId w:val="79"/>
        </w:numPr>
        <w:tabs>
          <w:tab w:val="left" w:pos="1052"/>
          <w:tab w:val="left" w:pos="1053"/>
        </w:tabs>
        <w:spacing w:before="0" w:after="0" w:line="240" w:lineRule="auto"/>
        <w:ind w:left="1052" w:right="0" w:hanging="416"/>
        <w:jc w:val="left"/>
        <w:rPr>
          <w:sz w:val="21"/>
        </w:rPr>
      </w:pPr>
      <w:r>
        <w:rPr>
          <w:w w:val="95"/>
          <w:sz w:val="21"/>
        </w:rPr>
        <w:t>公共服务设施应同时设置低位服务设施；</w:t>
      </w:r>
    </w:p>
    <w:p>
      <w:pPr>
        <w:pStyle w:val="5"/>
        <w:spacing w:before="7"/>
        <w:rPr>
          <w:sz w:val="15"/>
        </w:rPr>
      </w:pPr>
    </w:p>
    <w:p>
      <w:pPr>
        <w:pStyle w:val="12"/>
        <w:numPr>
          <w:ilvl w:val="0"/>
          <w:numId w:val="79"/>
        </w:numPr>
        <w:tabs>
          <w:tab w:val="left" w:pos="1052"/>
          <w:tab w:val="left" w:pos="1053"/>
        </w:tabs>
        <w:spacing w:before="0" w:after="0" w:line="240" w:lineRule="auto"/>
        <w:ind w:left="1052" w:right="0" w:hanging="416"/>
        <w:jc w:val="left"/>
        <w:rPr>
          <w:sz w:val="21"/>
        </w:rPr>
      </w:pPr>
      <w:r>
        <w:rPr>
          <w:spacing w:val="-3"/>
          <w:sz w:val="21"/>
        </w:rPr>
        <w:t xml:space="preserve">母婴经常逗留处，宜设置使用面积不小于 </w:t>
      </w:r>
      <w:r>
        <w:rPr>
          <w:sz w:val="21"/>
        </w:rPr>
        <w:t>6</w:t>
      </w:r>
      <w:r>
        <w:rPr>
          <w:spacing w:val="-9"/>
          <w:sz w:val="21"/>
        </w:rPr>
        <w:t xml:space="preserve"> ㎡的母婴室；</w:t>
      </w:r>
    </w:p>
    <w:p>
      <w:pPr>
        <w:pStyle w:val="5"/>
        <w:spacing w:before="7"/>
        <w:rPr>
          <w:sz w:val="15"/>
        </w:rPr>
      </w:pPr>
    </w:p>
    <w:p>
      <w:pPr>
        <w:pStyle w:val="12"/>
        <w:numPr>
          <w:ilvl w:val="0"/>
          <w:numId w:val="79"/>
        </w:numPr>
        <w:tabs>
          <w:tab w:val="left" w:pos="1052"/>
          <w:tab w:val="left" w:pos="1053"/>
        </w:tabs>
        <w:spacing w:before="0" w:after="0" w:line="417" w:lineRule="auto"/>
        <w:ind w:left="212" w:right="312" w:firstLine="424"/>
        <w:jc w:val="left"/>
        <w:rPr>
          <w:sz w:val="21"/>
        </w:rPr>
      </w:pPr>
      <w:r>
        <w:rPr>
          <w:spacing w:val="-4"/>
          <w:sz w:val="21"/>
        </w:rPr>
        <w:t xml:space="preserve">宜设置无障碍卫生间或第三卫生间；没有条件设置的，可设置符合本标准第 </w:t>
      </w:r>
      <w:r>
        <w:rPr>
          <w:sz w:val="21"/>
        </w:rPr>
        <w:t>4.2</w:t>
      </w:r>
      <w:r>
        <w:rPr>
          <w:spacing w:val="-9"/>
          <w:sz w:val="21"/>
        </w:rPr>
        <w:t xml:space="preserve"> 节有关规定的公共卫生间；</w:t>
      </w:r>
    </w:p>
    <w:p>
      <w:pPr>
        <w:pStyle w:val="12"/>
        <w:numPr>
          <w:ilvl w:val="0"/>
          <w:numId w:val="79"/>
        </w:numPr>
        <w:tabs>
          <w:tab w:val="left" w:pos="1052"/>
          <w:tab w:val="left" w:pos="1053"/>
        </w:tabs>
        <w:spacing w:before="0" w:after="0" w:line="269" w:lineRule="exact"/>
        <w:ind w:left="1052" w:right="0" w:hanging="416"/>
        <w:jc w:val="left"/>
        <w:rPr>
          <w:sz w:val="21"/>
        </w:rPr>
      </w:pPr>
      <w:r>
        <w:rPr>
          <w:sz w:val="21"/>
        </w:rPr>
        <w:t>邻近休息座椅处宜留有轮椅停留空间；</w:t>
      </w:r>
    </w:p>
    <w:p>
      <w:pPr>
        <w:pStyle w:val="5"/>
        <w:spacing w:before="6"/>
        <w:rPr>
          <w:sz w:val="15"/>
        </w:rPr>
      </w:pPr>
    </w:p>
    <w:p>
      <w:pPr>
        <w:pStyle w:val="12"/>
        <w:numPr>
          <w:ilvl w:val="0"/>
          <w:numId w:val="79"/>
        </w:numPr>
        <w:tabs>
          <w:tab w:val="left" w:pos="1052"/>
          <w:tab w:val="left" w:pos="1053"/>
        </w:tabs>
        <w:spacing w:before="1" w:after="0" w:line="240" w:lineRule="auto"/>
        <w:ind w:left="1052" w:right="0" w:hanging="416"/>
        <w:jc w:val="left"/>
        <w:rPr>
          <w:sz w:val="21"/>
        </w:rPr>
      </w:pPr>
      <w:r>
        <w:rPr>
          <w:spacing w:val="-6"/>
          <w:sz w:val="21"/>
        </w:rPr>
        <w:t xml:space="preserve">公共活动区域自地面起 </w:t>
      </w:r>
      <w:r>
        <w:rPr>
          <w:sz w:val="21"/>
        </w:rPr>
        <w:t>2.00</w:t>
      </w:r>
      <w:r>
        <w:rPr>
          <w:rFonts w:hint="eastAsia" w:ascii="仿宋" w:eastAsia="仿宋"/>
          <w:sz w:val="21"/>
        </w:rPr>
        <w:t>m</w:t>
      </w:r>
      <w:r>
        <w:rPr>
          <w:rFonts w:hint="eastAsia" w:ascii="仿宋" w:eastAsia="仿宋"/>
          <w:spacing w:val="-55"/>
          <w:sz w:val="21"/>
        </w:rPr>
        <w:t xml:space="preserve"> </w:t>
      </w:r>
      <w:r>
        <w:rPr>
          <w:spacing w:val="-2"/>
          <w:sz w:val="21"/>
        </w:rPr>
        <w:t>高度范围内的无障碍设施，应避免尖角、锐利边缘及过于粗糙的表</w:t>
      </w:r>
    </w:p>
    <w:p>
      <w:pPr>
        <w:pStyle w:val="5"/>
        <w:spacing w:before="6"/>
        <w:rPr>
          <w:sz w:val="15"/>
        </w:rPr>
      </w:pPr>
    </w:p>
    <w:p>
      <w:pPr>
        <w:pStyle w:val="5"/>
        <w:ind w:left="212"/>
      </w:pPr>
      <w:r>
        <w:t>面；</w:t>
      </w:r>
    </w:p>
    <w:p>
      <w:pPr>
        <w:pStyle w:val="5"/>
        <w:spacing w:before="7"/>
        <w:rPr>
          <w:sz w:val="15"/>
        </w:rPr>
      </w:pPr>
    </w:p>
    <w:p>
      <w:pPr>
        <w:pStyle w:val="12"/>
        <w:numPr>
          <w:ilvl w:val="0"/>
          <w:numId w:val="79"/>
        </w:numPr>
        <w:tabs>
          <w:tab w:val="left" w:pos="1052"/>
          <w:tab w:val="left" w:pos="1053"/>
        </w:tabs>
        <w:spacing w:before="0" w:after="0" w:line="240" w:lineRule="auto"/>
        <w:ind w:left="1052" w:right="0" w:hanging="416"/>
        <w:jc w:val="left"/>
        <w:rPr>
          <w:sz w:val="21"/>
        </w:rPr>
      </w:pPr>
      <w:r>
        <w:rPr>
          <w:sz w:val="21"/>
        </w:rPr>
        <w:t>人员聚集的公共活动广场可设置智能显示屏。</w:t>
      </w:r>
    </w:p>
    <w:p>
      <w:pPr>
        <w:pStyle w:val="5"/>
        <w:spacing w:before="7"/>
        <w:rPr>
          <w:sz w:val="15"/>
        </w:rPr>
      </w:pPr>
    </w:p>
    <w:p>
      <w:pPr>
        <w:pStyle w:val="12"/>
        <w:numPr>
          <w:ilvl w:val="2"/>
          <w:numId w:val="76"/>
        </w:numPr>
        <w:tabs>
          <w:tab w:val="left" w:pos="1052"/>
          <w:tab w:val="left" w:pos="1053"/>
        </w:tabs>
        <w:spacing w:before="0" w:after="0" w:line="417" w:lineRule="auto"/>
        <w:ind w:left="212" w:right="315" w:firstLine="0"/>
        <w:jc w:val="left"/>
        <w:rPr>
          <w:sz w:val="21"/>
        </w:rPr>
      </w:pPr>
      <w:bookmarkStart w:id="340" w:name="6.2.6城市广场与道路衔接的出入口应满足行车视距的要求。主要出入口处应结合盲文"/>
      <w:bookmarkEnd w:id="340"/>
      <w:bookmarkStart w:id="341" w:name="6.2.6城市广场与道路衔接的出入口应满足行车视距的要求。主要出入口处应结合盲文"/>
      <w:bookmarkEnd w:id="341"/>
      <w:r>
        <w:rPr>
          <w:spacing w:val="-1"/>
          <w:w w:val="95"/>
          <w:sz w:val="21"/>
        </w:rPr>
        <w:t xml:space="preserve">城市广场与道路衔接的出入口应满足行车视距的要求。主要出入口处应结合盲文地图和广场平面   </w:t>
      </w:r>
      <w:r>
        <w:rPr>
          <w:spacing w:val="-1"/>
          <w:sz w:val="21"/>
        </w:rPr>
        <w:t>示意图，标注无障碍设施位置。</w:t>
      </w:r>
    </w:p>
    <w:p>
      <w:pPr>
        <w:spacing w:after="0" w:line="417" w:lineRule="auto"/>
        <w:jc w:val="left"/>
        <w:rPr>
          <w:sz w:val="21"/>
        </w:rPr>
        <w:sectPr>
          <w:pgSz w:w="11910" w:h="16840"/>
          <w:pgMar w:top="1580" w:right="820" w:bottom="1280" w:left="920" w:header="0" w:footer="1095" w:gutter="0"/>
          <w:cols w:space="720" w:num="1"/>
        </w:sectPr>
      </w:pPr>
    </w:p>
    <w:p>
      <w:pPr>
        <w:pStyle w:val="2"/>
        <w:numPr>
          <w:ilvl w:val="0"/>
          <w:numId w:val="79"/>
        </w:numPr>
        <w:tabs>
          <w:tab w:val="left" w:pos="4599"/>
          <w:tab w:val="left" w:pos="4600"/>
        </w:tabs>
        <w:spacing w:before="68" w:after="0" w:line="240" w:lineRule="auto"/>
        <w:ind w:left="4600" w:right="0" w:hanging="420"/>
        <w:jc w:val="left"/>
      </w:pPr>
      <w:bookmarkStart w:id="342" w:name="7城市绿地"/>
      <w:bookmarkEnd w:id="342"/>
      <w:bookmarkStart w:id="343" w:name="_bookmark17"/>
      <w:bookmarkEnd w:id="343"/>
      <w:r>
        <w:t>城市绿地</w:t>
      </w:r>
    </w:p>
    <w:p>
      <w:pPr>
        <w:pStyle w:val="12"/>
        <w:numPr>
          <w:ilvl w:val="1"/>
          <w:numId w:val="79"/>
        </w:numPr>
        <w:tabs>
          <w:tab w:val="left" w:pos="4824"/>
        </w:tabs>
        <w:spacing w:before="206" w:after="0" w:line="240" w:lineRule="auto"/>
        <w:ind w:left="4823" w:right="0" w:hanging="421"/>
        <w:jc w:val="left"/>
        <w:rPr>
          <w:rFonts w:hint="eastAsia" w:ascii="黑体" w:eastAsia="黑体"/>
          <w:sz w:val="21"/>
        </w:rPr>
      </w:pPr>
      <w:bookmarkStart w:id="344" w:name="_bookmark18"/>
      <w:bookmarkEnd w:id="344"/>
      <w:bookmarkStart w:id="345" w:name="_bookmark18"/>
      <w:bookmarkEnd w:id="345"/>
      <w:bookmarkStart w:id="346" w:name="7.1一般规定"/>
      <w:bookmarkEnd w:id="346"/>
      <w:r>
        <w:rPr>
          <w:rFonts w:hint="eastAsia" w:ascii="黑体" w:eastAsia="黑体"/>
          <w:w w:val="95"/>
          <w:sz w:val="21"/>
        </w:rPr>
        <w:t>一般规定</w:t>
      </w:r>
    </w:p>
    <w:p>
      <w:pPr>
        <w:pStyle w:val="5"/>
        <w:spacing w:before="6"/>
        <w:rPr>
          <w:rFonts w:ascii="黑体"/>
          <w:sz w:val="15"/>
        </w:rPr>
      </w:pPr>
    </w:p>
    <w:p>
      <w:pPr>
        <w:pStyle w:val="12"/>
        <w:numPr>
          <w:ilvl w:val="2"/>
          <w:numId w:val="80"/>
        </w:numPr>
        <w:tabs>
          <w:tab w:val="left" w:pos="1052"/>
          <w:tab w:val="left" w:pos="1053"/>
        </w:tabs>
        <w:spacing w:before="1" w:after="0" w:line="240" w:lineRule="auto"/>
        <w:ind w:left="1052" w:right="0" w:hanging="841"/>
        <w:jc w:val="left"/>
        <w:rPr>
          <w:sz w:val="21"/>
        </w:rPr>
      </w:pPr>
      <w:bookmarkStart w:id="347" w:name="7.1.1以下城市绿地应进行无障碍设计："/>
      <w:bookmarkEnd w:id="347"/>
      <w:bookmarkStart w:id="348" w:name="7.1.1以下城市绿地应进行无障碍设计："/>
      <w:bookmarkEnd w:id="348"/>
      <w:r>
        <w:rPr>
          <w:w w:val="95"/>
          <w:sz w:val="21"/>
        </w:rPr>
        <w:t>以下城市绿地应进行无障碍设计：</w:t>
      </w:r>
    </w:p>
    <w:p>
      <w:pPr>
        <w:pStyle w:val="5"/>
        <w:spacing w:before="6"/>
        <w:rPr>
          <w:sz w:val="15"/>
        </w:rPr>
      </w:pPr>
    </w:p>
    <w:p>
      <w:pPr>
        <w:pStyle w:val="12"/>
        <w:numPr>
          <w:ilvl w:val="0"/>
          <w:numId w:val="81"/>
        </w:numPr>
        <w:tabs>
          <w:tab w:val="left" w:pos="1052"/>
          <w:tab w:val="left" w:pos="1053"/>
        </w:tabs>
        <w:spacing w:before="0" w:after="0" w:line="240" w:lineRule="auto"/>
        <w:ind w:left="1052" w:right="0" w:hanging="416"/>
        <w:jc w:val="left"/>
        <w:rPr>
          <w:sz w:val="21"/>
        </w:rPr>
      </w:pPr>
      <w:r>
        <w:rPr>
          <w:sz w:val="21"/>
        </w:rPr>
        <w:t>城市中的各类公园，包括综合公园、社区公园、专类公园、带状公园、街旁绿地等；</w:t>
      </w:r>
    </w:p>
    <w:p>
      <w:pPr>
        <w:pStyle w:val="5"/>
        <w:spacing w:before="7"/>
        <w:rPr>
          <w:sz w:val="15"/>
        </w:rPr>
      </w:pPr>
    </w:p>
    <w:p>
      <w:pPr>
        <w:pStyle w:val="12"/>
        <w:numPr>
          <w:ilvl w:val="0"/>
          <w:numId w:val="81"/>
        </w:numPr>
        <w:tabs>
          <w:tab w:val="left" w:pos="1052"/>
          <w:tab w:val="left" w:pos="1053"/>
        </w:tabs>
        <w:spacing w:before="0" w:after="0" w:line="240" w:lineRule="auto"/>
        <w:ind w:left="1052" w:right="0" w:hanging="418"/>
        <w:jc w:val="left"/>
        <w:rPr>
          <w:sz w:val="21"/>
        </w:rPr>
      </w:pPr>
      <w:r>
        <w:rPr>
          <w:sz w:val="21"/>
        </w:rPr>
        <w:t>附属绿地中的开放式绿地；</w:t>
      </w:r>
    </w:p>
    <w:p>
      <w:pPr>
        <w:pStyle w:val="5"/>
        <w:spacing w:before="7"/>
        <w:rPr>
          <w:sz w:val="15"/>
        </w:rPr>
      </w:pPr>
    </w:p>
    <w:p>
      <w:pPr>
        <w:pStyle w:val="12"/>
        <w:numPr>
          <w:ilvl w:val="0"/>
          <w:numId w:val="81"/>
        </w:numPr>
        <w:tabs>
          <w:tab w:val="left" w:pos="1052"/>
          <w:tab w:val="left" w:pos="1053"/>
        </w:tabs>
        <w:spacing w:before="0" w:after="0" w:line="240" w:lineRule="auto"/>
        <w:ind w:left="1052" w:right="0" w:hanging="418"/>
        <w:jc w:val="left"/>
        <w:rPr>
          <w:sz w:val="21"/>
        </w:rPr>
      </w:pPr>
      <w:r>
        <w:rPr>
          <w:sz w:val="21"/>
        </w:rPr>
        <w:t>区域绿地中的风景游憩绿地；</w:t>
      </w:r>
    </w:p>
    <w:p>
      <w:pPr>
        <w:pStyle w:val="5"/>
        <w:spacing w:before="6"/>
        <w:rPr>
          <w:sz w:val="15"/>
        </w:rPr>
      </w:pPr>
    </w:p>
    <w:p>
      <w:pPr>
        <w:pStyle w:val="12"/>
        <w:numPr>
          <w:ilvl w:val="0"/>
          <w:numId w:val="81"/>
        </w:numPr>
        <w:tabs>
          <w:tab w:val="left" w:pos="1052"/>
          <w:tab w:val="left" w:pos="1053"/>
        </w:tabs>
        <w:spacing w:before="1" w:after="0" w:line="240" w:lineRule="auto"/>
        <w:ind w:left="1052" w:right="0" w:hanging="418"/>
        <w:jc w:val="left"/>
        <w:rPr>
          <w:sz w:val="21"/>
        </w:rPr>
      </w:pPr>
      <w:r>
        <w:rPr>
          <w:sz w:val="21"/>
        </w:rPr>
        <w:t>对公众开放的其他绿地。</w:t>
      </w:r>
    </w:p>
    <w:p>
      <w:pPr>
        <w:pStyle w:val="5"/>
        <w:spacing w:before="6"/>
        <w:rPr>
          <w:sz w:val="15"/>
        </w:rPr>
      </w:pPr>
    </w:p>
    <w:p>
      <w:pPr>
        <w:pStyle w:val="12"/>
        <w:numPr>
          <w:ilvl w:val="2"/>
          <w:numId w:val="80"/>
        </w:numPr>
        <w:tabs>
          <w:tab w:val="left" w:pos="1052"/>
          <w:tab w:val="left" w:pos="1053"/>
        </w:tabs>
        <w:spacing w:before="0" w:after="0" w:line="240" w:lineRule="auto"/>
        <w:ind w:left="1052" w:right="0" w:hanging="841"/>
        <w:jc w:val="left"/>
        <w:rPr>
          <w:sz w:val="21"/>
        </w:rPr>
      </w:pPr>
      <w:bookmarkStart w:id="349" w:name="7.1.2城市绿地无障碍设施应与周边毗连的无障碍设施有效衔接。"/>
      <w:bookmarkEnd w:id="349"/>
      <w:bookmarkStart w:id="350" w:name="7.1.2城市绿地无障碍设施应与周边毗连的无障碍设施有效衔接。"/>
      <w:bookmarkEnd w:id="350"/>
      <w:r>
        <w:rPr>
          <w:sz w:val="21"/>
        </w:rPr>
        <w:t>城市绿地无障碍设施应与周边毗连的无障碍设施有效衔接。</w:t>
      </w:r>
    </w:p>
    <w:p>
      <w:pPr>
        <w:pStyle w:val="5"/>
        <w:spacing w:before="7"/>
        <w:rPr>
          <w:sz w:val="15"/>
        </w:rPr>
      </w:pPr>
    </w:p>
    <w:p>
      <w:pPr>
        <w:pStyle w:val="12"/>
        <w:numPr>
          <w:ilvl w:val="2"/>
          <w:numId w:val="80"/>
        </w:numPr>
        <w:tabs>
          <w:tab w:val="left" w:pos="1052"/>
          <w:tab w:val="left" w:pos="1053"/>
        </w:tabs>
        <w:spacing w:before="0" w:after="0" w:line="240" w:lineRule="auto"/>
        <w:ind w:left="1052" w:right="0" w:hanging="841"/>
        <w:jc w:val="left"/>
        <w:rPr>
          <w:sz w:val="21"/>
        </w:rPr>
      </w:pPr>
      <w:bookmarkStart w:id="351" w:name="7.1.3城市绿地无障碍游览路线两侧和游憩区，宜结合浓荫植物，设置绿化休憩一体化"/>
      <w:bookmarkEnd w:id="351"/>
      <w:bookmarkStart w:id="352" w:name="7.1.3城市绿地无障碍游览路线两侧和游憩区，宜结合浓荫植物，设置绿化休憩一体化"/>
      <w:bookmarkEnd w:id="352"/>
      <w:r>
        <w:rPr>
          <w:spacing w:val="-7"/>
          <w:sz w:val="21"/>
        </w:rPr>
        <w:t>城市绿地无障碍游览路线两侧和游憩区，宜结合浓荫植物，设置绿化休憩一体化的遮阳蔽雨设施。</w:t>
      </w:r>
    </w:p>
    <w:p>
      <w:pPr>
        <w:pStyle w:val="5"/>
        <w:spacing w:before="7"/>
        <w:rPr>
          <w:sz w:val="15"/>
        </w:rPr>
      </w:pPr>
    </w:p>
    <w:p>
      <w:pPr>
        <w:pStyle w:val="12"/>
        <w:numPr>
          <w:ilvl w:val="2"/>
          <w:numId w:val="80"/>
        </w:numPr>
        <w:tabs>
          <w:tab w:val="left" w:pos="1052"/>
          <w:tab w:val="left" w:pos="1053"/>
        </w:tabs>
        <w:spacing w:before="0" w:after="0" w:line="240" w:lineRule="auto"/>
        <w:ind w:left="1052" w:right="0" w:hanging="841"/>
        <w:jc w:val="left"/>
        <w:rPr>
          <w:sz w:val="21"/>
        </w:rPr>
      </w:pPr>
      <w:bookmarkStart w:id="353" w:name="7.1.4城市绿地内无障碍通行设施和无障碍服务设施处应设置标识设施。"/>
      <w:bookmarkEnd w:id="353"/>
      <w:bookmarkStart w:id="354" w:name="7.1.4城市绿地内无障碍通行设施和无障碍服务设施处应设置标识设施。"/>
      <w:bookmarkEnd w:id="354"/>
      <w:r>
        <w:rPr>
          <w:sz w:val="21"/>
        </w:rPr>
        <w:t>城市绿地内无障碍通行设施和无障碍服务设施处应设置标识设施。</w:t>
      </w:r>
    </w:p>
    <w:p>
      <w:pPr>
        <w:pStyle w:val="5"/>
        <w:spacing w:before="6"/>
        <w:rPr>
          <w:sz w:val="15"/>
        </w:rPr>
      </w:pPr>
    </w:p>
    <w:p>
      <w:pPr>
        <w:pStyle w:val="12"/>
        <w:numPr>
          <w:ilvl w:val="2"/>
          <w:numId w:val="80"/>
        </w:numPr>
        <w:tabs>
          <w:tab w:val="left" w:pos="1052"/>
          <w:tab w:val="left" w:pos="1053"/>
        </w:tabs>
        <w:spacing w:before="1" w:after="0" w:line="240" w:lineRule="auto"/>
        <w:ind w:left="1052" w:right="0" w:hanging="841"/>
        <w:jc w:val="left"/>
        <w:rPr>
          <w:sz w:val="21"/>
        </w:rPr>
      </w:pPr>
      <w:bookmarkStart w:id="355" w:name="7.1.5城市绿地无障碍设施的设计要求，尚应符合本标准第4章有关规定。"/>
      <w:bookmarkEnd w:id="355"/>
      <w:bookmarkStart w:id="356" w:name="7.1.5城市绿地无障碍设施的设计要求，尚应符合本标准第4章有关规定。"/>
      <w:bookmarkEnd w:id="356"/>
      <w:r>
        <w:rPr>
          <w:spacing w:val="-3"/>
          <w:sz w:val="21"/>
        </w:rPr>
        <w:t xml:space="preserve">城市绿地无障碍设施的设计要求，尚应符合本标准第 </w:t>
      </w:r>
      <w:r>
        <w:rPr>
          <w:sz w:val="21"/>
        </w:rPr>
        <w:t>4</w:t>
      </w:r>
      <w:r>
        <w:rPr>
          <w:spacing w:val="-9"/>
          <w:sz w:val="21"/>
        </w:rPr>
        <w:t xml:space="preserve"> 章有关规定。</w:t>
      </w:r>
    </w:p>
    <w:p>
      <w:pPr>
        <w:pStyle w:val="5"/>
        <w:spacing w:before="6"/>
        <w:rPr>
          <w:sz w:val="15"/>
        </w:rPr>
      </w:pPr>
    </w:p>
    <w:p>
      <w:pPr>
        <w:pStyle w:val="12"/>
        <w:numPr>
          <w:ilvl w:val="2"/>
          <w:numId w:val="80"/>
        </w:numPr>
        <w:tabs>
          <w:tab w:val="left" w:pos="1052"/>
          <w:tab w:val="left" w:pos="1053"/>
        </w:tabs>
        <w:spacing w:before="0" w:after="0" w:line="240" w:lineRule="auto"/>
        <w:ind w:left="1052" w:right="0" w:hanging="841"/>
        <w:jc w:val="left"/>
        <w:rPr>
          <w:sz w:val="21"/>
        </w:rPr>
      </w:pPr>
      <w:bookmarkStart w:id="357" w:name="7.1.6城市绿地内同时建设有其他类型工程时，其无障碍设计应符合本标准相应类型工"/>
      <w:bookmarkEnd w:id="357"/>
      <w:bookmarkStart w:id="358" w:name="7.1.6城市绿地内同时建设有其他类型工程时，其无障碍设计应符合本标准相应类型工"/>
      <w:bookmarkEnd w:id="358"/>
      <w:r>
        <w:rPr>
          <w:sz w:val="21"/>
        </w:rPr>
        <w:t>城市绿地内同时建设有其他类型工程时，其无障碍设计应符合本标准相应类型工程的有关规定。</w:t>
      </w:r>
    </w:p>
    <w:p>
      <w:pPr>
        <w:pStyle w:val="5"/>
        <w:spacing w:before="7"/>
        <w:rPr>
          <w:sz w:val="15"/>
        </w:rPr>
      </w:pPr>
    </w:p>
    <w:p>
      <w:pPr>
        <w:pStyle w:val="12"/>
        <w:numPr>
          <w:ilvl w:val="1"/>
          <w:numId w:val="79"/>
        </w:numPr>
        <w:tabs>
          <w:tab w:val="left" w:pos="4824"/>
        </w:tabs>
        <w:spacing w:before="0" w:after="0" w:line="240" w:lineRule="auto"/>
        <w:ind w:left="4823" w:right="0" w:hanging="421"/>
        <w:jc w:val="left"/>
        <w:rPr>
          <w:rFonts w:hint="eastAsia" w:ascii="黑体" w:eastAsia="黑体"/>
          <w:sz w:val="21"/>
        </w:rPr>
      </w:pPr>
      <w:bookmarkStart w:id="359" w:name="_bookmark19"/>
      <w:bookmarkEnd w:id="359"/>
      <w:bookmarkStart w:id="360" w:name="_bookmark19"/>
      <w:bookmarkEnd w:id="360"/>
      <w:bookmarkStart w:id="361" w:name="7.2公园绿地"/>
      <w:bookmarkEnd w:id="361"/>
      <w:r>
        <w:rPr>
          <w:rFonts w:hint="eastAsia" w:ascii="黑体" w:eastAsia="黑体"/>
          <w:sz w:val="21"/>
        </w:rPr>
        <w:t>公园绿地</w:t>
      </w:r>
    </w:p>
    <w:p>
      <w:pPr>
        <w:pStyle w:val="5"/>
        <w:spacing w:before="7"/>
        <w:rPr>
          <w:rFonts w:ascii="黑体"/>
          <w:sz w:val="15"/>
        </w:rPr>
      </w:pPr>
    </w:p>
    <w:p>
      <w:pPr>
        <w:pStyle w:val="12"/>
        <w:numPr>
          <w:ilvl w:val="2"/>
          <w:numId w:val="82"/>
        </w:numPr>
        <w:tabs>
          <w:tab w:val="left" w:pos="1052"/>
          <w:tab w:val="left" w:pos="1053"/>
        </w:tabs>
        <w:spacing w:before="0" w:after="0" w:line="417" w:lineRule="auto"/>
        <w:ind w:left="212" w:right="310" w:firstLine="0"/>
        <w:jc w:val="left"/>
        <w:rPr>
          <w:sz w:val="21"/>
        </w:rPr>
      </w:pPr>
      <w:bookmarkStart w:id="362" w:name="7.2.1公园绿地出入口附近设有公交车站、轨道交通车站出入口、出租车停靠点时，应"/>
      <w:bookmarkEnd w:id="362"/>
      <w:bookmarkStart w:id="363" w:name="7.2.1公园绿地出入口附近设有公交车站、轨道交通车站出入口、出租车停靠点时，应"/>
      <w:bookmarkEnd w:id="363"/>
      <w:r>
        <w:rPr>
          <w:spacing w:val="-3"/>
          <w:w w:val="95"/>
          <w:sz w:val="21"/>
        </w:rPr>
        <w:t xml:space="preserve">公园绿地出入口附近设有公交车站、轨道交通车站出入口、出租车停靠点时，应考虑乘轮椅者的   </w:t>
      </w:r>
      <w:r>
        <w:rPr>
          <w:spacing w:val="-3"/>
          <w:sz w:val="21"/>
        </w:rPr>
        <w:t>通行及乘坐方便。</w:t>
      </w:r>
    </w:p>
    <w:p>
      <w:pPr>
        <w:pStyle w:val="12"/>
        <w:numPr>
          <w:ilvl w:val="2"/>
          <w:numId w:val="82"/>
        </w:numPr>
        <w:tabs>
          <w:tab w:val="left" w:pos="1052"/>
          <w:tab w:val="left" w:pos="1053"/>
        </w:tabs>
        <w:spacing w:before="0" w:after="0" w:line="417" w:lineRule="auto"/>
        <w:ind w:left="212" w:right="310" w:firstLine="0"/>
        <w:jc w:val="left"/>
        <w:rPr>
          <w:sz w:val="21"/>
        </w:rPr>
      </w:pPr>
      <w:bookmarkStart w:id="364" w:name="7.2.2公园绿地内设有公共停车场时，应设置不小于总停车数2%的无障碍机动车停车"/>
      <w:bookmarkEnd w:id="364"/>
      <w:bookmarkStart w:id="365" w:name="7.2.2公园绿地内设有公共停车场时，应设置不小于总停车数2%的无障碍机动车停车"/>
      <w:bookmarkEnd w:id="365"/>
      <w:r>
        <w:rPr>
          <w:spacing w:val="-6"/>
          <w:sz w:val="21"/>
        </w:rPr>
        <w:t xml:space="preserve">公园绿地内设有公共停车场时，应设置不小于总停车数 </w:t>
      </w:r>
      <w:r>
        <w:rPr>
          <w:sz w:val="21"/>
        </w:rPr>
        <w:t>2</w:t>
      </w:r>
      <w:r>
        <w:rPr>
          <w:spacing w:val="-8"/>
          <w:sz w:val="21"/>
        </w:rPr>
        <w:t xml:space="preserve">%的无障碍机动车停车位，比例不足 </w:t>
      </w:r>
      <w:r>
        <w:rPr>
          <w:sz w:val="21"/>
        </w:rPr>
        <w:t>1</w:t>
      </w:r>
      <w:r>
        <w:rPr>
          <w:spacing w:val="-29"/>
          <w:sz w:val="21"/>
        </w:rPr>
        <w:t xml:space="preserve"> 个</w:t>
      </w:r>
      <w:r>
        <w:rPr>
          <w:spacing w:val="-32"/>
          <w:sz w:val="21"/>
        </w:rPr>
        <w:t xml:space="preserve">停车位的至少设置 </w:t>
      </w:r>
      <w:r>
        <w:rPr>
          <w:sz w:val="21"/>
        </w:rPr>
        <w:t>1</w:t>
      </w:r>
      <w:r>
        <w:rPr>
          <w:spacing w:val="-8"/>
          <w:sz w:val="21"/>
        </w:rPr>
        <w:t xml:space="preserve"> 个无障碍停车位。</w:t>
      </w:r>
    </w:p>
    <w:p>
      <w:pPr>
        <w:pStyle w:val="12"/>
        <w:numPr>
          <w:ilvl w:val="2"/>
          <w:numId w:val="82"/>
        </w:numPr>
        <w:tabs>
          <w:tab w:val="left" w:pos="1052"/>
          <w:tab w:val="left" w:pos="1053"/>
        </w:tabs>
        <w:spacing w:before="0" w:after="0" w:line="269" w:lineRule="exact"/>
        <w:ind w:left="1052" w:right="0" w:hanging="841"/>
        <w:jc w:val="left"/>
        <w:rPr>
          <w:sz w:val="21"/>
        </w:rPr>
      </w:pPr>
      <w:bookmarkStart w:id="366" w:name="7.2.3售票处的无障碍设计应符合下列规定："/>
      <w:bookmarkEnd w:id="366"/>
      <w:bookmarkStart w:id="367" w:name="7.2.3售票处的无障碍设计应符合下列规定："/>
      <w:bookmarkEnd w:id="367"/>
      <w:r>
        <w:rPr>
          <w:sz w:val="21"/>
        </w:rPr>
        <w:t>售票处的无障碍设计应符合下列规定：</w:t>
      </w:r>
    </w:p>
    <w:p>
      <w:pPr>
        <w:pStyle w:val="5"/>
        <w:spacing w:before="6"/>
        <w:rPr>
          <w:sz w:val="15"/>
        </w:rPr>
      </w:pPr>
    </w:p>
    <w:p>
      <w:pPr>
        <w:pStyle w:val="12"/>
        <w:numPr>
          <w:ilvl w:val="0"/>
          <w:numId w:val="83"/>
        </w:numPr>
        <w:tabs>
          <w:tab w:val="left" w:pos="1052"/>
          <w:tab w:val="left" w:pos="1053"/>
        </w:tabs>
        <w:spacing w:before="0" w:after="0" w:line="240" w:lineRule="auto"/>
        <w:ind w:left="1052" w:right="0" w:hanging="416"/>
        <w:jc w:val="left"/>
        <w:rPr>
          <w:sz w:val="21"/>
        </w:rPr>
      </w:pPr>
      <w:r>
        <w:rPr>
          <w:sz w:val="21"/>
        </w:rPr>
        <w:t>主要出入口的售票处应设置低位售票窗口；</w:t>
      </w:r>
    </w:p>
    <w:p>
      <w:pPr>
        <w:pStyle w:val="5"/>
        <w:spacing w:before="7"/>
        <w:rPr>
          <w:sz w:val="15"/>
        </w:rPr>
      </w:pPr>
    </w:p>
    <w:p>
      <w:pPr>
        <w:pStyle w:val="12"/>
        <w:numPr>
          <w:ilvl w:val="0"/>
          <w:numId w:val="83"/>
        </w:numPr>
        <w:tabs>
          <w:tab w:val="left" w:pos="1052"/>
          <w:tab w:val="left" w:pos="1053"/>
        </w:tabs>
        <w:spacing w:before="0" w:after="0" w:line="240" w:lineRule="auto"/>
        <w:ind w:left="1052" w:right="0" w:hanging="416"/>
        <w:jc w:val="left"/>
        <w:rPr>
          <w:sz w:val="21"/>
        </w:rPr>
      </w:pPr>
      <w:r>
        <w:rPr>
          <w:spacing w:val="-2"/>
          <w:sz w:val="21"/>
        </w:rPr>
        <w:t xml:space="preserve">低位售票窗口前地面存在高差时，应设轮椅坡道以及不小于 </w:t>
      </w:r>
      <w:r>
        <w:rPr>
          <w:sz w:val="21"/>
        </w:rPr>
        <w:t>1.50</w:t>
      </w:r>
      <w:r>
        <w:rPr>
          <w:rFonts w:hint="eastAsia" w:ascii="仿宋" w:hAnsi="仿宋" w:eastAsia="仿宋"/>
          <w:sz w:val="21"/>
        </w:rPr>
        <w:t>m</w:t>
      </w:r>
      <w:r>
        <w:rPr>
          <w:sz w:val="21"/>
        </w:rPr>
        <w:t>×1.50</w:t>
      </w:r>
      <w:r>
        <w:rPr>
          <w:rFonts w:hint="eastAsia" w:ascii="仿宋" w:hAnsi="仿宋" w:eastAsia="仿宋"/>
          <w:sz w:val="21"/>
        </w:rPr>
        <w:t>m</w:t>
      </w:r>
      <w:r>
        <w:rPr>
          <w:rFonts w:hint="eastAsia" w:ascii="仿宋" w:hAnsi="仿宋" w:eastAsia="仿宋"/>
          <w:spacing w:val="-53"/>
          <w:sz w:val="21"/>
        </w:rPr>
        <w:t xml:space="preserve"> </w:t>
      </w:r>
      <w:r>
        <w:rPr>
          <w:sz w:val="21"/>
        </w:rPr>
        <w:t>的平台；</w:t>
      </w:r>
    </w:p>
    <w:p>
      <w:pPr>
        <w:pStyle w:val="5"/>
        <w:spacing w:before="7"/>
        <w:rPr>
          <w:sz w:val="15"/>
        </w:rPr>
      </w:pPr>
    </w:p>
    <w:p>
      <w:pPr>
        <w:pStyle w:val="12"/>
        <w:numPr>
          <w:ilvl w:val="0"/>
          <w:numId w:val="83"/>
        </w:numPr>
        <w:tabs>
          <w:tab w:val="left" w:pos="1052"/>
          <w:tab w:val="left" w:pos="1053"/>
        </w:tabs>
        <w:spacing w:before="0" w:after="0" w:line="240" w:lineRule="auto"/>
        <w:ind w:left="1052" w:right="0" w:hanging="416"/>
        <w:jc w:val="left"/>
        <w:rPr>
          <w:sz w:val="21"/>
        </w:rPr>
      </w:pPr>
      <w:r>
        <w:rPr>
          <w:spacing w:val="-3"/>
          <w:sz w:val="21"/>
        </w:rPr>
        <w:t xml:space="preserve">售票窗口前应设提示盲道，距售票处外墙应为 </w:t>
      </w:r>
      <w:r>
        <w:rPr>
          <w:sz w:val="21"/>
        </w:rPr>
        <w:t>250</w:t>
      </w:r>
      <w:r>
        <w:rPr>
          <w:rFonts w:hint="eastAsia" w:ascii="仿宋" w:eastAsia="仿宋"/>
          <w:sz w:val="21"/>
        </w:rPr>
        <w:t>mm</w:t>
      </w:r>
      <w:r>
        <w:rPr>
          <w:sz w:val="21"/>
        </w:rPr>
        <w:t>～500</w:t>
      </w:r>
      <w:r>
        <w:rPr>
          <w:rFonts w:hint="eastAsia" w:ascii="仿宋" w:eastAsia="仿宋"/>
          <w:sz w:val="21"/>
        </w:rPr>
        <w:t>mm</w:t>
      </w:r>
      <w:r>
        <w:rPr>
          <w:sz w:val="21"/>
        </w:rPr>
        <w:t>。</w:t>
      </w:r>
    </w:p>
    <w:p>
      <w:pPr>
        <w:pStyle w:val="5"/>
        <w:spacing w:before="6"/>
        <w:rPr>
          <w:sz w:val="15"/>
        </w:rPr>
      </w:pPr>
    </w:p>
    <w:p>
      <w:pPr>
        <w:pStyle w:val="12"/>
        <w:numPr>
          <w:ilvl w:val="2"/>
          <w:numId w:val="82"/>
        </w:numPr>
        <w:tabs>
          <w:tab w:val="left" w:pos="1052"/>
          <w:tab w:val="left" w:pos="1053"/>
        </w:tabs>
        <w:spacing w:before="1" w:after="0" w:line="240" w:lineRule="auto"/>
        <w:ind w:left="1052" w:right="0" w:hanging="841"/>
        <w:jc w:val="left"/>
        <w:rPr>
          <w:sz w:val="21"/>
        </w:rPr>
      </w:pPr>
      <w:bookmarkStart w:id="368" w:name="7.2.4公园绿地出入口的无障碍设计应符合下列规定："/>
      <w:bookmarkEnd w:id="368"/>
      <w:bookmarkStart w:id="369" w:name="7.2.4公园绿地出入口的无障碍设计应符合下列规定："/>
      <w:bookmarkEnd w:id="369"/>
      <w:r>
        <w:rPr>
          <w:sz w:val="21"/>
        </w:rPr>
        <w:t>公园绿地出入口的无障碍设计应符合下列规定：</w:t>
      </w:r>
    </w:p>
    <w:p>
      <w:pPr>
        <w:pStyle w:val="5"/>
        <w:spacing w:before="6"/>
        <w:rPr>
          <w:sz w:val="15"/>
        </w:rPr>
      </w:pPr>
    </w:p>
    <w:p>
      <w:pPr>
        <w:pStyle w:val="12"/>
        <w:numPr>
          <w:ilvl w:val="3"/>
          <w:numId w:val="82"/>
        </w:numPr>
        <w:tabs>
          <w:tab w:val="left" w:pos="1052"/>
          <w:tab w:val="left" w:pos="1053"/>
        </w:tabs>
        <w:spacing w:before="0" w:after="0" w:line="417" w:lineRule="auto"/>
        <w:ind w:left="212" w:right="315" w:firstLine="422"/>
        <w:jc w:val="left"/>
        <w:rPr>
          <w:sz w:val="21"/>
        </w:rPr>
      </w:pPr>
      <w:r>
        <w:rPr>
          <w:sz w:val="21"/>
        </w:rPr>
        <w:t>主要出入口应设置为无障碍出入口；设有自动检票设备的出入口,应设置专供乘轮椅者和携婴儿车者使用的检票口；</w:t>
      </w:r>
    </w:p>
    <w:p>
      <w:pPr>
        <w:pStyle w:val="12"/>
        <w:numPr>
          <w:ilvl w:val="3"/>
          <w:numId w:val="82"/>
        </w:numPr>
        <w:tabs>
          <w:tab w:val="left" w:pos="1052"/>
          <w:tab w:val="left" w:pos="1053"/>
        </w:tabs>
        <w:spacing w:before="0" w:after="0" w:line="269" w:lineRule="exact"/>
        <w:ind w:left="1052" w:right="0" w:hanging="416"/>
        <w:jc w:val="left"/>
        <w:rPr>
          <w:sz w:val="21"/>
        </w:rPr>
      </w:pPr>
      <w:r>
        <w:rPr>
          <w:spacing w:val="-3"/>
          <w:sz w:val="21"/>
        </w:rPr>
        <w:t xml:space="preserve">出入口检票口的无障碍通道宽度不应小于 </w:t>
      </w:r>
      <w:r>
        <w:rPr>
          <w:sz w:val="21"/>
        </w:rPr>
        <w:t>1.20</w:t>
      </w:r>
      <w:r>
        <w:rPr>
          <w:rFonts w:hint="eastAsia" w:ascii="仿宋" w:eastAsia="仿宋"/>
          <w:sz w:val="21"/>
        </w:rPr>
        <w:t>m</w:t>
      </w:r>
      <w:r>
        <w:rPr>
          <w:sz w:val="21"/>
        </w:rPr>
        <w:t>；</w:t>
      </w:r>
    </w:p>
    <w:p>
      <w:pPr>
        <w:pStyle w:val="5"/>
        <w:spacing w:before="7"/>
        <w:rPr>
          <w:sz w:val="15"/>
        </w:rPr>
      </w:pPr>
    </w:p>
    <w:p>
      <w:pPr>
        <w:pStyle w:val="12"/>
        <w:numPr>
          <w:ilvl w:val="3"/>
          <w:numId w:val="82"/>
        </w:numPr>
        <w:tabs>
          <w:tab w:val="left" w:pos="1052"/>
          <w:tab w:val="left" w:pos="1053"/>
        </w:tabs>
        <w:spacing w:before="0" w:after="0" w:line="240" w:lineRule="auto"/>
        <w:ind w:left="1052" w:right="0" w:hanging="416"/>
        <w:jc w:val="left"/>
        <w:rPr>
          <w:sz w:val="21"/>
        </w:rPr>
      </w:pPr>
      <w:r>
        <w:rPr>
          <w:spacing w:val="-3"/>
          <w:sz w:val="21"/>
        </w:rPr>
        <w:t xml:space="preserve">设置阻车桩时，阻车桩的净间距不应小于 </w:t>
      </w:r>
      <w:r>
        <w:rPr>
          <w:sz w:val="21"/>
        </w:rPr>
        <w:t>900</w:t>
      </w:r>
      <w:r>
        <w:rPr>
          <w:rFonts w:hint="eastAsia" w:ascii="仿宋" w:eastAsia="仿宋"/>
          <w:sz w:val="21"/>
        </w:rPr>
        <w:t>mm</w:t>
      </w:r>
      <w:r>
        <w:rPr>
          <w:spacing w:val="-13"/>
          <w:sz w:val="21"/>
        </w:rPr>
        <w:t xml:space="preserve">，宜为 </w:t>
      </w:r>
      <w:r>
        <w:rPr>
          <w:sz w:val="21"/>
        </w:rPr>
        <w:t>1.20</w:t>
      </w:r>
      <w:r>
        <w:rPr>
          <w:rFonts w:hint="eastAsia" w:ascii="仿宋" w:eastAsia="仿宋"/>
          <w:sz w:val="21"/>
        </w:rPr>
        <w:t>m</w:t>
      </w:r>
      <w:r>
        <w:rPr>
          <w:sz w:val="21"/>
        </w:rPr>
        <w:t>～1.50</w:t>
      </w:r>
      <w:r>
        <w:rPr>
          <w:rFonts w:hint="eastAsia" w:ascii="仿宋" w:eastAsia="仿宋"/>
          <w:sz w:val="21"/>
        </w:rPr>
        <w:t>m</w:t>
      </w:r>
      <w:r>
        <w:rPr>
          <w:sz w:val="21"/>
        </w:rPr>
        <w:t>；</w:t>
      </w:r>
    </w:p>
    <w:p>
      <w:pPr>
        <w:pStyle w:val="5"/>
        <w:spacing w:before="7"/>
        <w:rPr>
          <w:sz w:val="15"/>
        </w:rPr>
      </w:pPr>
    </w:p>
    <w:p>
      <w:pPr>
        <w:pStyle w:val="12"/>
        <w:numPr>
          <w:ilvl w:val="3"/>
          <w:numId w:val="82"/>
        </w:numPr>
        <w:tabs>
          <w:tab w:val="left" w:pos="1052"/>
          <w:tab w:val="left" w:pos="1053"/>
        </w:tabs>
        <w:spacing w:before="0" w:after="0" w:line="240" w:lineRule="auto"/>
        <w:ind w:left="1052" w:right="0" w:hanging="416"/>
        <w:jc w:val="left"/>
        <w:rPr>
          <w:sz w:val="21"/>
        </w:rPr>
      </w:pPr>
      <w:r>
        <w:rPr>
          <w:sz w:val="21"/>
        </w:rPr>
        <w:t>出入口、检票口处应设置提示盲道；</w:t>
      </w:r>
    </w:p>
    <w:p>
      <w:pPr>
        <w:pStyle w:val="5"/>
        <w:spacing w:before="6"/>
        <w:rPr>
          <w:sz w:val="15"/>
        </w:rPr>
      </w:pPr>
    </w:p>
    <w:p>
      <w:pPr>
        <w:pStyle w:val="12"/>
        <w:numPr>
          <w:ilvl w:val="3"/>
          <w:numId w:val="82"/>
        </w:numPr>
        <w:tabs>
          <w:tab w:val="left" w:pos="1052"/>
          <w:tab w:val="left" w:pos="1053"/>
        </w:tabs>
        <w:spacing w:before="1" w:after="0" w:line="240" w:lineRule="auto"/>
        <w:ind w:left="1052" w:right="0" w:hanging="416"/>
        <w:jc w:val="left"/>
        <w:rPr>
          <w:sz w:val="21"/>
        </w:rPr>
      </w:pPr>
      <w:r>
        <w:rPr>
          <w:w w:val="95"/>
          <w:sz w:val="21"/>
        </w:rPr>
        <w:t>附近可设置轮椅和婴儿车租赁点。</w:t>
      </w:r>
    </w:p>
    <w:p>
      <w:pPr>
        <w:pStyle w:val="5"/>
        <w:spacing w:before="6"/>
        <w:rPr>
          <w:sz w:val="15"/>
        </w:rPr>
      </w:pPr>
    </w:p>
    <w:p>
      <w:pPr>
        <w:pStyle w:val="12"/>
        <w:numPr>
          <w:ilvl w:val="2"/>
          <w:numId w:val="82"/>
        </w:numPr>
        <w:tabs>
          <w:tab w:val="left" w:pos="1052"/>
          <w:tab w:val="left" w:pos="1053"/>
        </w:tabs>
        <w:spacing w:before="0" w:after="0" w:line="240" w:lineRule="auto"/>
        <w:ind w:left="1052" w:right="0" w:hanging="841"/>
        <w:jc w:val="left"/>
        <w:rPr>
          <w:sz w:val="21"/>
        </w:rPr>
      </w:pPr>
      <w:bookmarkStart w:id="370" w:name="7.2.5无障碍游览路线应符合下列规定："/>
      <w:bookmarkEnd w:id="370"/>
      <w:bookmarkStart w:id="371" w:name="7.2.5无障碍游览路线应符合下列规定："/>
      <w:bookmarkEnd w:id="371"/>
      <w:r>
        <w:rPr>
          <w:w w:val="95"/>
          <w:sz w:val="21"/>
        </w:rPr>
        <w:t>无障碍游览路线应符合下列规定：</w:t>
      </w:r>
    </w:p>
    <w:p>
      <w:pPr>
        <w:spacing w:after="0" w:line="240" w:lineRule="auto"/>
        <w:jc w:val="left"/>
        <w:rPr>
          <w:sz w:val="21"/>
        </w:rPr>
        <w:sectPr>
          <w:pgSz w:w="11910" w:h="16840"/>
          <w:pgMar w:top="1580" w:right="820" w:bottom="1280" w:left="920" w:header="0" w:footer="1095" w:gutter="0"/>
          <w:cols w:space="720" w:num="1"/>
        </w:sectPr>
      </w:pPr>
    </w:p>
    <w:p>
      <w:pPr>
        <w:pStyle w:val="12"/>
        <w:numPr>
          <w:ilvl w:val="0"/>
          <w:numId w:val="84"/>
        </w:numPr>
        <w:tabs>
          <w:tab w:val="left" w:pos="1052"/>
          <w:tab w:val="left" w:pos="1053"/>
        </w:tabs>
        <w:spacing w:before="60" w:after="0" w:line="240" w:lineRule="auto"/>
        <w:ind w:left="1052" w:right="0" w:hanging="416"/>
        <w:jc w:val="left"/>
        <w:rPr>
          <w:sz w:val="21"/>
        </w:rPr>
      </w:pPr>
      <w:r>
        <w:rPr>
          <w:sz w:val="21"/>
        </w:rPr>
        <w:t>主园路、支园路应能到达主要景区、景点和服务类设施，并宜形成环路；</w:t>
      </w:r>
    </w:p>
    <w:p>
      <w:pPr>
        <w:pStyle w:val="5"/>
        <w:spacing w:before="6"/>
        <w:rPr>
          <w:sz w:val="15"/>
        </w:rPr>
      </w:pPr>
    </w:p>
    <w:p>
      <w:pPr>
        <w:pStyle w:val="12"/>
        <w:numPr>
          <w:ilvl w:val="0"/>
          <w:numId w:val="84"/>
        </w:numPr>
        <w:tabs>
          <w:tab w:val="left" w:pos="1052"/>
          <w:tab w:val="left" w:pos="1053"/>
        </w:tabs>
        <w:spacing w:before="1" w:after="0" w:line="240" w:lineRule="auto"/>
        <w:ind w:left="1052" w:right="0" w:hanging="416"/>
        <w:jc w:val="left"/>
        <w:rPr>
          <w:sz w:val="21"/>
        </w:rPr>
      </w:pPr>
      <w:r>
        <w:rPr>
          <w:sz w:val="21"/>
        </w:rPr>
        <w:t>小路可到达其他局部景点，不能形成环路时，应便于折返；</w:t>
      </w:r>
    </w:p>
    <w:p>
      <w:pPr>
        <w:pStyle w:val="5"/>
        <w:spacing w:before="6"/>
        <w:rPr>
          <w:sz w:val="15"/>
        </w:rPr>
      </w:pPr>
    </w:p>
    <w:p>
      <w:pPr>
        <w:pStyle w:val="12"/>
        <w:numPr>
          <w:ilvl w:val="0"/>
          <w:numId w:val="84"/>
        </w:numPr>
        <w:tabs>
          <w:tab w:val="left" w:pos="1052"/>
          <w:tab w:val="left" w:pos="1053"/>
        </w:tabs>
        <w:spacing w:before="0" w:after="0" w:line="240" w:lineRule="auto"/>
        <w:ind w:left="1052" w:right="0" w:hanging="416"/>
        <w:jc w:val="left"/>
        <w:rPr>
          <w:sz w:val="21"/>
        </w:rPr>
      </w:pPr>
      <w:r>
        <w:rPr>
          <w:sz w:val="21"/>
        </w:rPr>
        <w:t>不宜设置台阶、梯道，必须设置时应同时设置轮椅坡道；</w:t>
      </w:r>
    </w:p>
    <w:p>
      <w:pPr>
        <w:pStyle w:val="5"/>
        <w:spacing w:before="7"/>
        <w:rPr>
          <w:sz w:val="15"/>
        </w:rPr>
      </w:pPr>
    </w:p>
    <w:p>
      <w:pPr>
        <w:pStyle w:val="12"/>
        <w:numPr>
          <w:ilvl w:val="0"/>
          <w:numId w:val="84"/>
        </w:numPr>
        <w:tabs>
          <w:tab w:val="left" w:pos="1052"/>
          <w:tab w:val="left" w:pos="1053"/>
        </w:tabs>
        <w:spacing w:before="0" w:after="0" w:line="240" w:lineRule="auto"/>
        <w:ind w:left="1052" w:right="0" w:hanging="416"/>
        <w:jc w:val="left"/>
        <w:rPr>
          <w:sz w:val="21"/>
        </w:rPr>
      </w:pPr>
      <w:r>
        <w:rPr>
          <w:spacing w:val="-6"/>
          <w:sz w:val="21"/>
        </w:rPr>
        <w:t xml:space="preserve">主园路纵坡宜小于 </w:t>
      </w:r>
      <w:r>
        <w:rPr>
          <w:sz w:val="21"/>
        </w:rPr>
        <w:t>5%；</w:t>
      </w:r>
    </w:p>
    <w:p>
      <w:pPr>
        <w:pStyle w:val="5"/>
        <w:spacing w:before="7"/>
        <w:rPr>
          <w:sz w:val="15"/>
        </w:rPr>
      </w:pPr>
    </w:p>
    <w:p>
      <w:pPr>
        <w:pStyle w:val="12"/>
        <w:numPr>
          <w:ilvl w:val="0"/>
          <w:numId w:val="84"/>
        </w:numPr>
        <w:tabs>
          <w:tab w:val="left" w:pos="1052"/>
          <w:tab w:val="left" w:pos="1053"/>
        </w:tabs>
        <w:spacing w:before="0" w:after="0" w:line="240" w:lineRule="auto"/>
        <w:ind w:left="1052" w:right="0" w:hanging="416"/>
        <w:jc w:val="left"/>
        <w:rPr>
          <w:sz w:val="21"/>
        </w:rPr>
      </w:pPr>
      <w:r>
        <w:rPr>
          <w:spacing w:val="-4"/>
          <w:sz w:val="21"/>
        </w:rPr>
        <w:t xml:space="preserve">山地公园绿地的主园路纵坡应小于 </w:t>
      </w:r>
      <w:r>
        <w:rPr>
          <w:sz w:val="21"/>
        </w:rPr>
        <w:t>8%；</w:t>
      </w:r>
    </w:p>
    <w:p>
      <w:pPr>
        <w:pStyle w:val="5"/>
        <w:spacing w:before="6"/>
        <w:rPr>
          <w:sz w:val="15"/>
        </w:rPr>
      </w:pPr>
    </w:p>
    <w:p>
      <w:pPr>
        <w:pStyle w:val="12"/>
        <w:numPr>
          <w:ilvl w:val="0"/>
          <w:numId w:val="84"/>
        </w:numPr>
        <w:tabs>
          <w:tab w:val="left" w:pos="1052"/>
          <w:tab w:val="left" w:pos="1053"/>
        </w:tabs>
        <w:spacing w:before="1" w:after="0" w:line="240" w:lineRule="auto"/>
        <w:ind w:left="1052" w:right="0" w:hanging="416"/>
        <w:jc w:val="left"/>
        <w:rPr>
          <w:sz w:val="21"/>
        </w:rPr>
      </w:pPr>
      <w:r>
        <w:rPr>
          <w:spacing w:val="-5"/>
          <w:sz w:val="21"/>
        </w:rPr>
        <w:t xml:space="preserve">支园路和小路的纵坡应小于 </w:t>
      </w:r>
      <w:r>
        <w:rPr>
          <w:sz w:val="21"/>
        </w:rPr>
        <w:t>8%；</w:t>
      </w:r>
    </w:p>
    <w:p>
      <w:pPr>
        <w:pStyle w:val="5"/>
        <w:spacing w:before="6"/>
        <w:rPr>
          <w:sz w:val="15"/>
        </w:rPr>
      </w:pPr>
    </w:p>
    <w:p>
      <w:pPr>
        <w:pStyle w:val="12"/>
        <w:numPr>
          <w:ilvl w:val="0"/>
          <w:numId w:val="84"/>
        </w:numPr>
        <w:tabs>
          <w:tab w:val="left" w:pos="1052"/>
          <w:tab w:val="left" w:pos="1053"/>
        </w:tabs>
        <w:spacing w:before="0" w:after="0" w:line="240" w:lineRule="auto"/>
        <w:ind w:left="1052" w:right="0" w:hanging="416"/>
        <w:jc w:val="left"/>
        <w:rPr>
          <w:sz w:val="21"/>
        </w:rPr>
      </w:pPr>
      <w:r>
        <w:rPr>
          <w:spacing w:val="-8"/>
          <w:sz w:val="21"/>
        </w:rPr>
        <w:t xml:space="preserve">园路坡度大于 </w:t>
      </w:r>
      <w:r>
        <w:rPr>
          <w:sz w:val="21"/>
        </w:rPr>
        <w:t>8</w:t>
      </w:r>
      <w:r>
        <w:rPr>
          <w:spacing w:val="-4"/>
          <w:sz w:val="21"/>
        </w:rPr>
        <w:t xml:space="preserve">%时，不宜轮椅通行，宜每隔 </w:t>
      </w:r>
      <w:r>
        <w:rPr>
          <w:sz w:val="21"/>
        </w:rPr>
        <w:t>10.00</w:t>
      </w:r>
      <w:r>
        <w:rPr>
          <w:rFonts w:hint="eastAsia" w:ascii="仿宋" w:eastAsia="仿宋"/>
          <w:sz w:val="21"/>
        </w:rPr>
        <w:t>m</w:t>
      </w:r>
      <w:r>
        <w:rPr>
          <w:sz w:val="21"/>
        </w:rPr>
        <w:t>～20.00</w:t>
      </w:r>
      <w:r>
        <w:rPr>
          <w:rFonts w:hint="eastAsia" w:ascii="仿宋" w:eastAsia="仿宋"/>
          <w:sz w:val="21"/>
        </w:rPr>
        <w:t>m</w:t>
      </w:r>
      <w:r>
        <w:rPr>
          <w:rFonts w:hint="eastAsia" w:ascii="仿宋" w:eastAsia="仿宋"/>
          <w:spacing w:val="-53"/>
          <w:sz w:val="21"/>
        </w:rPr>
        <w:t xml:space="preserve"> </w:t>
      </w:r>
      <w:r>
        <w:rPr>
          <w:sz w:val="21"/>
        </w:rPr>
        <w:t>在路旁设置休息平台；</w:t>
      </w:r>
    </w:p>
    <w:p>
      <w:pPr>
        <w:pStyle w:val="5"/>
        <w:spacing w:before="7"/>
        <w:rPr>
          <w:sz w:val="15"/>
        </w:rPr>
      </w:pPr>
    </w:p>
    <w:p>
      <w:pPr>
        <w:pStyle w:val="12"/>
        <w:numPr>
          <w:ilvl w:val="0"/>
          <w:numId w:val="84"/>
        </w:numPr>
        <w:tabs>
          <w:tab w:val="left" w:pos="1052"/>
          <w:tab w:val="left" w:pos="1053"/>
        </w:tabs>
        <w:spacing w:before="0" w:after="0" w:line="240" w:lineRule="auto"/>
        <w:ind w:left="1052" w:right="0" w:hanging="416"/>
        <w:jc w:val="left"/>
        <w:rPr>
          <w:sz w:val="21"/>
        </w:rPr>
      </w:pPr>
      <w:r>
        <w:rPr>
          <w:sz w:val="21"/>
        </w:rPr>
        <w:t>路面应平整、防滑、不松动，避免或减少使用汀步石、防腐木铺装；</w:t>
      </w:r>
    </w:p>
    <w:p>
      <w:pPr>
        <w:pStyle w:val="5"/>
        <w:spacing w:before="7"/>
        <w:rPr>
          <w:sz w:val="15"/>
        </w:rPr>
      </w:pPr>
    </w:p>
    <w:p>
      <w:pPr>
        <w:pStyle w:val="12"/>
        <w:numPr>
          <w:ilvl w:val="0"/>
          <w:numId w:val="84"/>
        </w:numPr>
        <w:tabs>
          <w:tab w:val="left" w:pos="1052"/>
          <w:tab w:val="left" w:pos="1053"/>
        </w:tabs>
        <w:spacing w:before="0" w:after="0" w:line="240" w:lineRule="auto"/>
        <w:ind w:left="1052" w:right="0" w:hanging="416"/>
        <w:jc w:val="left"/>
        <w:rPr>
          <w:sz w:val="21"/>
        </w:rPr>
      </w:pPr>
      <w:r>
        <w:rPr>
          <w:spacing w:val="-2"/>
          <w:sz w:val="21"/>
        </w:rPr>
        <w:t xml:space="preserve">园路上的井盖应与路面平齐，排水沟的滤水箅子孔洞宽度不宜大于 </w:t>
      </w:r>
      <w:r>
        <w:rPr>
          <w:rFonts w:ascii="Calibri" w:eastAsia="Calibri"/>
          <w:sz w:val="21"/>
        </w:rPr>
        <w:t>13</w:t>
      </w:r>
      <w:r>
        <w:rPr>
          <w:rFonts w:hint="eastAsia" w:ascii="仿宋" w:eastAsia="仿宋"/>
          <w:sz w:val="21"/>
        </w:rPr>
        <w:t>mm</w:t>
      </w:r>
      <w:r>
        <w:rPr>
          <w:sz w:val="21"/>
        </w:rPr>
        <w:t>。</w:t>
      </w:r>
    </w:p>
    <w:p>
      <w:pPr>
        <w:pStyle w:val="5"/>
        <w:spacing w:before="6"/>
        <w:rPr>
          <w:sz w:val="15"/>
        </w:rPr>
      </w:pPr>
    </w:p>
    <w:p>
      <w:pPr>
        <w:pStyle w:val="12"/>
        <w:numPr>
          <w:ilvl w:val="2"/>
          <w:numId w:val="82"/>
        </w:numPr>
        <w:tabs>
          <w:tab w:val="left" w:pos="839"/>
          <w:tab w:val="left" w:pos="840"/>
        </w:tabs>
        <w:spacing w:before="1" w:after="0" w:line="240" w:lineRule="auto"/>
        <w:ind w:left="1052" w:right="5542" w:hanging="1053"/>
        <w:jc w:val="right"/>
        <w:rPr>
          <w:sz w:val="21"/>
        </w:rPr>
      </w:pPr>
      <w:bookmarkStart w:id="372" w:name="7.2.6游憩区的无障碍设计应符合下列规定："/>
      <w:bookmarkEnd w:id="372"/>
      <w:bookmarkStart w:id="373" w:name="7.2.6游憩区的无障碍设计应符合下列规定："/>
      <w:bookmarkEnd w:id="373"/>
      <w:r>
        <w:rPr>
          <w:w w:val="95"/>
          <w:sz w:val="21"/>
        </w:rPr>
        <w:t>游憩区的无障碍设计应符合下列规定：</w:t>
      </w:r>
    </w:p>
    <w:p>
      <w:pPr>
        <w:pStyle w:val="5"/>
        <w:spacing w:before="6"/>
        <w:rPr>
          <w:sz w:val="15"/>
        </w:rPr>
      </w:pPr>
    </w:p>
    <w:p>
      <w:pPr>
        <w:pStyle w:val="12"/>
        <w:numPr>
          <w:ilvl w:val="0"/>
          <w:numId w:val="85"/>
        </w:numPr>
        <w:tabs>
          <w:tab w:val="left" w:pos="1052"/>
          <w:tab w:val="left" w:pos="1053"/>
        </w:tabs>
        <w:spacing w:before="0" w:after="0" w:line="240" w:lineRule="auto"/>
        <w:ind w:left="1052" w:right="0" w:hanging="416"/>
        <w:jc w:val="left"/>
        <w:rPr>
          <w:sz w:val="21"/>
        </w:rPr>
      </w:pPr>
      <w:r>
        <w:rPr>
          <w:sz w:val="21"/>
        </w:rPr>
        <w:t>主要出入口、无障碍游览园路沿线应设置一定面积的无障碍游憩区；</w:t>
      </w:r>
    </w:p>
    <w:p>
      <w:pPr>
        <w:pStyle w:val="5"/>
        <w:spacing w:before="7"/>
        <w:rPr>
          <w:sz w:val="15"/>
        </w:rPr>
      </w:pPr>
    </w:p>
    <w:p>
      <w:pPr>
        <w:pStyle w:val="12"/>
        <w:numPr>
          <w:ilvl w:val="0"/>
          <w:numId w:val="85"/>
        </w:numPr>
        <w:tabs>
          <w:tab w:val="left" w:pos="415"/>
          <w:tab w:val="left" w:pos="1053"/>
        </w:tabs>
        <w:spacing w:before="0" w:after="0" w:line="240" w:lineRule="auto"/>
        <w:ind w:left="1052" w:right="5542" w:hanging="1053"/>
        <w:jc w:val="right"/>
        <w:rPr>
          <w:sz w:val="21"/>
        </w:rPr>
      </w:pPr>
      <w:r>
        <w:rPr>
          <w:w w:val="95"/>
          <w:sz w:val="21"/>
        </w:rPr>
        <w:t>邻近休息座椅处宜留有轮椅停留空间；</w:t>
      </w:r>
    </w:p>
    <w:p>
      <w:pPr>
        <w:pStyle w:val="5"/>
        <w:spacing w:before="7"/>
        <w:rPr>
          <w:sz w:val="15"/>
        </w:rPr>
      </w:pPr>
    </w:p>
    <w:p>
      <w:pPr>
        <w:pStyle w:val="12"/>
        <w:numPr>
          <w:ilvl w:val="0"/>
          <w:numId w:val="85"/>
        </w:numPr>
        <w:tabs>
          <w:tab w:val="left" w:pos="1052"/>
          <w:tab w:val="left" w:pos="1053"/>
        </w:tabs>
        <w:spacing w:before="0" w:after="0" w:line="240" w:lineRule="auto"/>
        <w:ind w:left="1052" w:right="0" w:hanging="416"/>
        <w:jc w:val="left"/>
        <w:rPr>
          <w:sz w:val="21"/>
        </w:rPr>
      </w:pPr>
      <w:r>
        <w:rPr>
          <w:sz w:val="21"/>
        </w:rPr>
        <w:t>无障碍游憩区应方便轮椅通行，存在高差时应设置轮椅坡道。地面应平整、防滑、不松动；</w:t>
      </w:r>
    </w:p>
    <w:p>
      <w:pPr>
        <w:pStyle w:val="5"/>
        <w:spacing w:before="6"/>
        <w:rPr>
          <w:sz w:val="15"/>
        </w:rPr>
      </w:pPr>
    </w:p>
    <w:p>
      <w:pPr>
        <w:pStyle w:val="12"/>
        <w:numPr>
          <w:ilvl w:val="0"/>
          <w:numId w:val="85"/>
        </w:numPr>
        <w:tabs>
          <w:tab w:val="left" w:pos="1052"/>
          <w:tab w:val="left" w:pos="1053"/>
        </w:tabs>
        <w:spacing w:before="1" w:after="0" w:line="240" w:lineRule="auto"/>
        <w:ind w:left="1052" w:right="0" w:hanging="416"/>
        <w:jc w:val="left"/>
        <w:rPr>
          <w:sz w:val="21"/>
        </w:rPr>
      </w:pPr>
      <w:r>
        <w:rPr>
          <w:sz w:val="21"/>
        </w:rPr>
        <w:t>无障碍游憩区的广场树池宜高出广场地面，与广场地面相平的树池应设置树箅。</w:t>
      </w:r>
    </w:p>
    <w:p>
      <w:pPr>
        <w:pStyle w:val="5"/>
        <w:spacing w:before="6"/>
        <w:rPr>
          <w:sz w:val="15"/>
        </w:rPr>
      </w:pPr>
    </w:p>
    <w:p>
      <w:pPr>
        <w:pStyle w:val="12"/>
        <w:numPr>
          <w:ilvl w:val="2"/>
          <w:numId w:val="82"/>
        </w:numPr>
        <w:tabs>
          <w:tab w:val="left" w:pos="1052"/>
          <w:tab w:val="left" w:pos="1053"/>
        </w:tabs>
        <w:spacing w:before="0" w:after="0" w:line="240" w:lineRule="auto"/>
        <w:ind w:left="1052" w:right="0" w:hanging="841"/>
        <w:jc w:val="left"/>
        <w:rPr>
          <w:sz w:val="21"/>
        </w:rPr>
      </w:pPr>
      <w:bookmarkStart w:id="374" w:name="7.2.7游憩设施的无障碍设计应符合下列规定："/>
      <w:bookmarkEnd w:id="374"/>
      <w:bookmarkStart w:id="375" w:name="7.2.7游憩设施的无障碍设计应符合下列规定："/>
      <w:bookmarkEnd w:id="375"/>
      <w:r>
        <w:rPr>
          <w:sz w:val="21"/>
        </w:rPr>
        <w:t>游憩设施的无障碍设计应符合下列规定：</w:t>
      </w:r>
    </w:p>
    <w:p>
      <w:pPr>
        <w:pStyle w:val="5"/>
        <w:spacing w:before="7"/>
        <w:rPr>
          <w:sz w:val="15"/>
        </w:rPr>
      </w:pPr>
    </w:p>
    <w:p>
      <w:pPr>
        <w:pStyle w:val="12"/>
        <w:numPr>
          <w:ilvl w:val="0"/>
          <w:numId w:val="86"/>
        </w:numPr>
        <w:tabs>
          <w:tab w:val="left" w:pos="1052"/>
          <w:tab w:val="left" w:pos="1053"/>
        </w:tabs>
        <w:spacing w:before="0" w:after="0" w:line="240" w:lineRule="auto"/>
        <w:ind w:left="1052" w:right="0" w:hanging="416"/>
        <w:jc w:val="left"/>
        <w:rPr>
          <w:sz w:val="21"/>
        </w:rPr>
      </w:pPr>
      <w:r>
        <w:rPr>
          <w:sz w:val="21"/>
        </w:rPr>
        <w:t>在没有特殊景观要求的前提下，应满足无障碍使用要求；</w:t>
      </w:r>
    </w:p>
    <w:p>
      <w:pPr>
        <w:pStyle w:val="5"/>
        <w:spacing w:before="7"/>
        <w:rPr>
          <w:sz w:val="15"/>
        </w:rPr>
      </w:pPr>
    </w:p>
    <w:p>
      <w:pPr>
        <w:pStyle w:val="12"/>
        <w:numPr>
          <w:ilvl w:val="0"/>
          <w:numId w:val="86"/>
        </w:numPr>
        <w:tabs>
          <w:tab w:val="left" w:pos="1052"/>
          <w:tab w:val="left" w:pos="1053"/>
        </w:tabs>
        <w:spacing w:before="0" w:after="0" w:line="417" w:lineRule="auto"/>
        <w:ind w:left="212" w:right="310" w:firstLine="424"/>
        <w:jc w:val="left"/>
        <w:rPr>
          <w:sz w:val="21"/>
        </w:rPr>
      </w:pPr>
      <w:r>
        <w:rPr>
          <w:spacing w:val="-4"/>
          <w:w w:val="95"/>
          <w:sz w:val="21"/>
        </w:rPr>
        <w:t xml:space="preserve">设有台明、台阶时，或与无障碍园路、广场衔接处存在高差时，应同时设置轮椅坡道，且台明不   </w:t>
      </w:r>
      <w:r>
        <w:rPr>
          <w:spacing w:val="-4"/>
          <w:sz w:val="21"/>
        </w:rPr>
        <w:t>宜过高；</w:t>
      </w:r>
    </w:p>
    <w:p>
      <w:pPr>
        <w:pStyle w:val="12"/>
        <w:numPr>
          <w:ilvl w:val="0"/>
          <w:numId w:val="86"/>
        </w:numPr>
        <w:tabs>
          <w:tab w:val="left" w:pos="1052"/>
          <w:tab w:val="left" w:pos="1053"/>
        </w:tabs>
        <w:spacing w:before="0" w:after="0" w:line="269" w:lineRule="exact"/>
        <w:ind w:left="1052" w:right="0" w:hanging="416"/>
        <w:jc w:val="left"/>
        <w:rPr>
          <w:sz w:val="21"/>
        </w:rPr>
      </w:pPr>
      <w:r>
        <w:rPr>
          <w:spacing w:val="-6"/>
          <w:sz w:val="21"/>
        </w:rPr>
        <w:t xml:space="preserve">建筑院落应至少设置 </w:t>
      </w:r>
      <w:r>
        <w:rPr>
          <w:sz w:val="21"/>
        </w:rPr>
        <w:t>1</w:t>
      </w:r>
      <w:r>
        <w:rPr>
          <w:spacing w:val="-17"/>
          <w:sz w:val="21"/>
        </w:rPr>
        <w:t xml:space="preserve"> 个无障碍出入口；当有 </w:t>
      </w:r>
      <w:r>
        <w:rPr>
          <w:sz w:val="21"/>
        </w:rPr>
        <w:t>3</w:t>
      </w:r>
      <w:r>
        <w:rPr>
          <w:spacing w:val="-15"/>
          <w:sz w:val="21"/>
        </w:rPr>
        <w:t xml:space="preserve"> 个以上出入口时，应至少设置 </w:t>
      </w:r>
      <w:r>
        <w:rPr>
          <w:sz w:val="21"/>
        </w:rPr>
        <w:t>2</w:t>
      </w:r>
      <w:r>
        <w:rPr>
          <w:spacing w:val="-8"/>
          <w:sz w:val="21"/>
        </w:rPr>
        <w:t xml:space="preserve"> 个无障碍出入口；</w:t>
      </w:r>
    </w:p>
    <w:p>
      <w:pPr>
        <w:pStyle w:val="5"/>
        <w:spacing w:before="6"/>
        <w:rPr>
          <w:sz w:val="15"/>
        </w:rPr>
      </w:pPr>
    </w:p>
    <w:p>
      <w:pPr>
        <w:pStyle w:val="12"/>
        <w:numPr>
          <w:ilvl w:val="0"/>
          <w:numId w:val="86"/>
        </w:numPr>
        <w:tabs>
          <w:tab w:val="left" w:pos="1052"/>
          <w:tab w:val="left" w:pos="1053"/>
        </w:tabs>
        <w:spacing w:before="1" w:after="0" w:line="240" w:lineRule="auto"/>
        <w:ind w:left="1052" w:right="0" w:hanging="416"/>
        <w:jc w:val="left"/>
        <w:rPr>
          <w:sz w:val="21"/>
        </w:rPr>
      </w:pPr>
      <w:r>
        <w:rPr>
          <w:sz w:val="21"/>
        </w:rPr>
        <w:t>建筑院落出入口与院内广场、通道存在高差时，应设置轮椅坡道；</w:t>
      </w:r>
    </w:p>
    <w:p>
      <w:pPr>
        <w:pStyle w:val="5"/>
        <w:spacing w:before="6"/>
        <w:rPr>
          <w:sz w:val="15"/>
        </w:rPr>
      </w:pPr>
    </w:p>
    <w:p>
      <w:pPr>
        <w:pStyle w:val="12"/>
        <w:numPr>
          <w:ilvl w:val="0"/>
          <w:numId w:val="86"/>
        </w:numPr>
        <w:tabs>
          <w:tab w:val="left" w:pos="1052"/>
          <w:tab w:val="left" w:pos="1053"/>
        </w:tabs>
        <w:spacing w:before="0" w:after="0" w:line="240" w:lineRule="auto"/>
        <w:ind w:left="1052" w:right="0" w:hanging="416"/>
        <w:jc w:val="left"/>
        <w:rPr>
          <w:sz w:val="21"/>
        </w:rPr>
      </w:pPr>
      <w:r>
        <w:rPr>
          <w:spacing w:val="-3"/>
          <w:sz w:val="21"/>
        </w:rPr>
        <w:t xml:space="preserve">建筑院落的内廊或通道宜为无障碍通道，宽度不应小于 </w:t>
      </w:r>
      <w:r>
        <w:rPr>
          <w:sz w:val="21"/>
        </w:rPr>
        <w:t>1.20</w:t>
      </w:r>
      <w:r>
        <w:rPr>
          <w:rFonts w:hint="eastAsia" w:ascii="仿宋" w:eastAsia="仿宋"/>
          <w:sz w:val="21"/>
        </w:rPr>
        <w:t>m</w:t>
      </w:r>
      <w:r>
        <w:rPr>
          <w:sz w:val="21"/>
        </w:rPr>
        <w:t>；</w:t>
      </w:r>
    </w:p>
    <w:p>
      <w:pPr>
        <w:pStyle w:val="5"/>
        <w:spacing w:before="7"/>
        <w:rPr>
          <w:sz w:val="15"/>
        </w:rPr>
      </w:pPr>
    </w:p>
    <w:p>
      <w:pPr>
        <w:pStyle w:val="12"/>
        <w:numPr>
          <w:ilvl w:val="0"/>
          <w:numId w:val="86"/>
        </w:numPr>
        <w:tabs>
          <w:tab w:val="left" w:pos="1052"/>
          <w:tab w:val="left" w:pos="1053"/>
        </w:tabs>
        <w:spacing w:before="0" w:after="0" w:line="417" w:lineRule="auto"/>
        <w:ind w:left="212" w:right="292" w:firstLine="424"/>
        <w:jc w:val="left"/>
        <w:rPr>
          <w:sz w:val="21"/>
        </w:rPr>
      </w:pPr>
      <w:r>
        <w:rPr>
          <w:spacing w:val="-4"/>
          <w:sz w:val="21"/>
        </w:rPr>
        <w:t xml:space="preserve">无障碍游览路线上的桥应为平桥或坡度在 </w:t>
      </w:r>
      <w:r>
        <w:rPr>
          <w:sz w:val="21"/>
        </w:rPr>
        <w:t>8</w:t>
      </w:r>
      <w:r>
        <w:rPr>
          <w:spacing w:val="-4"/>
          <w:sz w:val="21"/>
        </w:rPr>
        <w:t xml:space="preserve">%以下的小拱桥，宽度不应小于 </w:t>
      </w:r>
      <w:r>
        <w:rPr>
          <w:sz w:val="21"/>
        </w:rPr>
        <w:t>1.20</w:t>
      </w:r>
      <w:r>
        <w:rPr>
          <w:rFonts w:hint="eastAsia" w:ascii="仿宋" w:eastAsia="仿宋"/>
          <w:sz w:val="21"/>
        </w:rPr>
        <w:t>m</w:t>
      </w:r>
      <w:r>
        <w:rPr>
          <w:sz w:val="21"/>
        </w:rPr>
        <w:t>；桥面应防滑， 两侧应设栏杆。桥面与园路、广场衔接存在高差时应设轮椅坡道。</w:t>
      </w:r>
    </w:p>
    <w:p>
      <w:pPr>
        <w:pStyle w:val="12"/>
        <w:numPr>
          <w:ilvl w:val="2"/>
          <w:numId w:val="82"/>
        </w:numPr>
        <w:tabs>
          <w:tab w:val="left" w:pos="1052"/>
          <w:tab w:val="left" w:pos="1053"/>
        </w:tabs>
        <w:spacing w:before="0" w:after="0" w:line="269" w:lineRule="exact"/>
        <w:ind w:left="1052" w:right="0" w:hanging="841"/>
        <w:jc w:val="left"/>
        <w:rPr>
          <w:sz w:val="21"/>
        </w:rPr>
      </w:pPr>
      <w:bookmarkStart w:id="376" w:name="7.2.8服务类设施的无障碍设计应符合下列规定："/>
      <w:bookmarkEnd w:id="376"/>
      <w:bookmarkStart w:id="377" w:name="7.2.8服务类设施的无障碍设计应符合下列规定："/>
      <w:bookmarkEnd w:id="377"/>
      <w:r>
        <w:rPr>
          <w:sz w:val="21"/>
        </w:rPr>
        <w:t>服务类设施的无障碍设计应符合下列规定：</w:t>
      </w:r>
    </w:p>
    <w:p>
      <w:pPr>
        <w:pStyle w:val="5"/>
        <w:spacing w:before="7"/>
        <w:rPr>
          <w:sz w:val="15"/>
        </w:rPr>
      </w:pPr>
    </w:p>
    <w:p>
      <w:pPr>
        <w:pStyle w:val="12"/>
        <w:numPr>
          <w:ilvl w:val="0"/>
          <w:numId w:val="87"/>
        </w:numPr>
        <w:tabs>
          <w:tab w:val="left" w:pos="1052"/>
          <w:tab w:val="left" w:pos="1053"/>
        </w:tabs>
        <w:spacing w:before="0" w:after="0" w:line="240" w:lineRule="auto"/>
        <w:ind w:left="1052" w:right="0" w:hanging="416"/>
        <w:jc w:val="left"/>
        <w:rPr>
          <w:sz w:val="21"/>
        </w:rPr>
      </w:pPr>
      <w:r>
        <w:rPr>
          <w:sz w:val="21"/>
        </w:rPr>
        <w:t>主要出入口应为无障碍出入口；</w:t>
      </w:r>
    </w:p>
    <w:p>
      <w:pPr>
        <w:pStyle w:val="5"/>
        <w:spacing w:before="6"/>
        <w:rPr>
          <w:sz w:val="15"/>
        </w:rPr>
      </w:pPr>
    </w:p>
    <w:p>
      <w:pPr>
        <w:pStyle w:val="12"/>
        <w:numPr>
          <w:ilvl w:val="0"/>
          <w:numId w:val="87"/>
        </w:numPr>
        <w:tabs>
          <w:tab w:val="left" w:pos="1052"/>
          <w:tab w:val="left" w:pos="1053"/>
        </w:tabs>
        <w:spacing w:before="1" w:after="0" w:line="240" w:lineRule="auto"/>
        <w:ind w:left="1052" w:right="0" w:hanging="416"/>
        <w:jc w:val="left"/>
        <w:rPr>
          <w:sz w:val="21"/>
        </w:rPr>
      </w:pPr>
      <w:r>
        <w:rPr>
          <w:spacing w:val="-3"/>
          <w:sz w:val="21"/>
        </w:rPr>
        <w:t xml:space="preserve">通道宜为无障碍通道，净宽不应小于 </w:t>
      </w:r>
      <w:r>
        <w:rPr>
          <w:sz w:val="21"/>
        </w:rPr>
        <w:t>1.20</w:t>
      </w:r>
      <w:r>
        <w:rPr>
          <w:rFonts w:hint="eastAsia" w:ascii="仿宋" w:eastAsia="仿宋"/>
          <w:sz w:val="21"/>
        </w:rPr>
        <w:t>m</w:t>
      </w:r>
      <w:r>
        <w:rPr>
          <w:sz w:val="21"/>
        </w:rPr>
        <w:t>；</w:t>
      </w:r>
    </w:p>
    <w:p>
      <w:pPr>
        <w:pStyle w:val="5"/>
        <w:spacing w:before="6"/>
        <w:rPr>
          <w:sz w:val="15"/>
        </w:rPr>
      </w:pPr>
    </w:p>
    <w:p>
      <w:pPr>
        <w:pStyle w:val="12"/>
        <w:numPr>
          <w:ilvl w:val="0"/>
          <w:numId w:val="87"/>
        </w:numPr>
        <w:tabs>
          <w:tab w:val="left" w:pos="1052"/>
          <w:tab w:val="left" w:pos="1053"/>
        </w:tabs>
        <w:spacing w:before="0" w:after="0" w:line="240" w:lineRule="auto"/>
        <w:ind w:left="1052" w:right="0" w:hanging="416"/>
        <w:jc w:val="left"/>
        <w:rPr>
          <w:sz w:val="21"/>
        </w:rPr>
      </w:pPr>
      <w:r>
        <w:rPr>
          <w:spacing w:val="-3"/>
          <w:sz w:val="21"/>
        </w:rPr>
        <w:t xml:space="preserve">提供座椅的建筑内应设置不少于总数量 </w:t>
      </w:r>
      <w:r>
        <w:rPr>
          <w:sz w:val="21"/>
        </w:rPr>
        <w:t>10</w:t>
      </w:r>
      <w:r>
        <w:rPr>
          <w:spacing w:val="-5"/>
          <w:sz w:val="21"/>
        </w:rPr>
        <w:t xml:space="preserve">%的轮椅席位，且不少于 </w:t>
      </w:r>
      <w:r>
        <w:rPr>
          <w:sz w:val="21"/>
        </w:rPr>
        <w:t>1</w:t>
      </w:r>
      <w:r>
        <w:rPr>
          <w:spacing w:val="-19"/>
          <w:sz w:val="21"/>
        </w:rPr>
        <w:t xml:space="preserve"> 个；</w:t>
      </w:r>
    </w:p>
    <w:p>
      <w:pPr>
        <w:pStyle w:val="5"/>
        <w:spacing w:before="7"/>
        <w:rPr>
          <w:sz w:val="15"/>
        </w:rPr>
      </w:pPr>
    </w:p>
    <w:p>
      <w:pPr>
        <w:pStyle w:val="12"/>
        <w:numPr>
          <w:ilvl w:val="0"/>
          <w:numId w:val="87"/>
        </w:numPr>
        <w:tabs>
          <w:tab w:val="left" w:pos="1052"/>
          <w:tab w:val="left" w:pos="1053"/>
        </w:tabs>
        <w:spacing w:before="0" w:after="0" w:line="240" w:lineRule="auto"/>
        <w:ind w:left="1052" w:right="0" w:hanging="416"/>
        <w:jc w:val="left"/>
        <w:rPr>
          <w:sz w:val="21"/>
        </w:rPr>
      </w:pPr>
      <w:r>
        <w:rPr>
          <w:spacing w:val="-4"/>
          <w:sz w:val="21"/>
        </w:rPr>
        <w:t xml:space="preserve">游客服务中心应符合本标准第 </w:t>
      </w:r>
      <w:r>
        <w:rPr>
          <w:sz w:val="21"/>
        </w:rPr>
        <w:t>8.3</w:t>
      </w:r>
      <w:r>
        <w:rPr>
          <w:spacing w:val="-8"/>
          <w:sz w:val="21"/>
        </w:rPr>
        <w:t xml:space="preserve"> 节中商业服务建筑的有关规定；</w:t>
      </w:r>
    </w:p>
    <w:p>
      <w:pPr>
        <w:pStyle w:val="5"/>
        <w:spacing w:before="7"/>
        <w:rPr>
          <w:sz w:val="15"/>
        </w:rPr>
      </w:pPr>
    </w:p>
    <w:p>
      <w:pPr>
        <w:pStyle w:val="12"/>
        <w:numPr>
          <w:ilvl w:val="0"/>
          <w:numId w:val="87"/>
        </w:numPr>
        <w:tabs>
          <w:tab w:val="left" w:pos="1052"/>
          <w:tab w:val="left" w:pos="1053"/>
        </w:tabs>
        <w:spacing w:before="0" w:after="0" w:line="240" w:lineRule="auto"/>
        <w:ind w:left="1052" w:right="0" w:hanging="416"/>
        <w:jc w:val="left"/>
        <w:rPr>
          <w:sz w:val="21"/>
        </w:rPr>
      </w:pPr>
      <w:r>
        <w:rPr>
          <w:spacing w:val="-7"/>
          <w:sz w:val="21"/>
        </w:rPr>
        <w:t xml:space="preserve">用地面积不小于 </w:t>
      </w:r>
      <w:r>
        <w:rPr>
          <w:sz w:val="21"/>
        </w:rPr>
        <w:t>2</w:t>
      </w:r>
      <w:r>
        <w:rPr>
          <w:spacing w:val="-13"/>
          <w:sz w:val="21"/>
        </w:rPr>
        <w:t xml:space="preserve"> 万㎡的公园绿地，应设置 </w:t>
      </w:r>
      <w:r>
        <w:rPr>
          <w:sz w:val="21"/>
        </w:rPr>
        <w:t>1</w:t>
      </w:r>
      <w:r>
        <w:rPr>
          <w:spacing w:val="-13"/>
          <w:sz w:val="21"/>
        </w:rPr>
        <w:t xml:space="preserve"> 处使用面积不小于 </w:t>
      </w:r>
      <w:r>
        <w:rPr>
          <w:sz w:val="21"/>
        </w:rPr>
        <w:t>6</w:t>
      </w:r>
      <w:r>
        <w:rPr>
          <w:spacing w:val="-9"/>
          <w:sz w:val="21"/>
        </w:rPr>
        <w:t xml:space="preserve"> ㎡的独立母婴室，且沿主园路</w:t>
      </w:r>
    </w:p>
    <w:p>
      <w:pPr>
        <w:spacing w:after="0" w:line="240" w:lineRule="auto"/>
        <w:jc w:val="left"/>
        <w:rPr>
          <w:sz w:val="21"/>
        </w:rPr>
        <w:sectPr>
          <w:pgSz w:w="11910" w:h="16840"/>
          <w:pgMar w:top="1580" w:right="820" w:bottom="1280" w:left="920" w:header="0" w:footer="1095" w:gutter="0"/>
          <w:cols w:space="720" w:num="1"/>
        </w:sectPr>
      </w:pPr>
    </w:p>
    <w:p>
      <w:pPr>
        <w:pStyle w:val="5"/>
        <w:spacing w:before="60"/>
        <w:ind w:left="212"/>
      </w:pPr>
      <w:r>
        <w:rPr>
          <w:spacing w:val="-9"/>
        </w:rPr>
        <w:t xml:space="preserve">服务半径每 </w:t>
      </w:r>
      <w:r>
        <w:t>1～2</w:t>
      </w:r>
      <w:r>
        <w:rPr>
          <w:rFonts w:hint="eastAsia" w:ascii="仿宋" w:eastAsia="仿宋"/>
        </w:rPr>
        <w:t>km</w:t>
      </w:r>
      <w:r>
        <w:rPr>
          <w:rFonts w:hint="eastAsia" w:ascii="仿宋" w:eastAsia="仿宋"/>
          <w:spacing w:val="-54"/>
        </w:rPr>
        <w:t xml:space="preserve"> </w:t>
      </w:r>
      <w:r>
        <w:rPr>
          <w:spacing w:val="-14"/>
        </w:rPr>
        <w:t xml:space="preserve">宜设置 </w:t>
      </w:r>
      <w:r>
        <w:t>1</w:t>
      </w:r>
      <w:r>
        <w:rPr>
          <w:spacing w:val="-18"/>
        </w:rPr>
        <w:t xml:space="preserve"> 处；</w:t>
      </w:r>
    </w:p>
    <w:p>
      <w:pPr>
        <w:pStyle w:val="5"/>
        <w:spacing w:before="6"/>
        <w:rPr>
          <w:sz w:val="15"/>
        </w:rPr>
      </w:pPr>
    </w:p>
    <w:p>
      <w:pPr>
        <w:pStyle w:val="12"/>
        <w:numPr>
          <w:ilvl w:val="0"/>
          <w:numId w:val="87"/>
        </w:numPr>
        <w:tabs>
          <w:tab w:val="left" w:pos="1052"/>
          <w:tab w:val="left" w:pos="1053"/>
        </w:tabs>
        <w:spacing w:before="1" w:after="0" w:line="417" w:lineRule="auto"/>
        <w:ind w:left="212" w:right="312" w:firstLine="424"/>
        <w:jc w:val="left"/>
        <w:rPr>
          <w:sz w:val="21"/>
        </w:rPr>
      </w:pPr>
      <w:r>
        <w:rPr>
          <w:spacing w:val="-4"/>
          <w:sz w:val="21"/>
        </w:rPr>
        <w:t xml:space="preserve">宜设置无障碍卫生间或第三卫生间；没有条件设置的，可设置符合本标准第 </w:t>
      </w:r>
      <w:r>
        <w:rPr>
          <w:sz w:val="21"/>
        </w:rPr>
        <w:t>4.2</w:t>
      </w:r>
      <w:r>
        <w:rPr>
          <w:spacing w:val="-9"/>
          <w:sz w:val="21"/>
        </w:rPr>
        <w:t xml:space="preserve"> 节有关规定的公共卫生间；</w:t>
      </w:r>
    </w:p>
    <w:p>
      <w:pPr>
        <w:pStyle w:val="12"/>
        <w:numPr>
          <w:ilvl w:val="0"/>
          <w:numId w:val="87"/>
        </w:numPr>
        <w:tabs>
          <w:tab w:val="left" w:pos="1052"/>
          <w:tab w:val="left" w:pos="1053"/>
        </w:tabs>
        <w:spacing w:before="0" w:after="0" w:line="417" w:lineRule="auto"/>
        <w:ind w:left="212" w:right="312" w:firstLine="424"/>
        <w:jc w:val="left"/>
        <w:rPr>
          <w:sz w:val="21"/>
        </w:rPr>
      </w:pPr>
      <w:r>
        <w:rPr>
          <w:spacing w:val="-4"/>
          <w:w w:val="95"/>
          <w:sz w:val="21"/>
        </w:rPr>
        <w:t xml:space="preserve">小卖店等的售货窗口应设置低位窗口，服务台、业务台、咨询台、售货柜台等应同时设置低位服   </w:t>
      </w:r>
      <w:r>
        <w:rPr>
          <w:spacing w:val="-4"/>
          <w:sz w:val="21"/>
        </w:rPr>
        <w:t>务设施；</w:t>
      </w:r>
    </w:p>
    <w:p>
      <w:pPr>
        <w:pStyle w:val="12"/>
        <w:numPr>
          <w:ilvl w:val="0"/>
          <w:numId w:val="87"/>
        </w:numPr>
        <w:tabs>
          <w:tab w:val="left" w:pos="1052"/>
          <w:tab w:val="left" w:pos="1053"/>
        </w:tabs>
        <w:spacing w:before="0" w:after="0" w:line="269" w:lineRule="exact"/>
        <w:ind w:left="1052" w:right="0" w:hanging="416"/>
        <w:jc w:val="left"/>
        <w:rPr>
          <w:sz w:val="21"/>
        </w:rPr>
      </w:pPr>
      <w:r>
        <w:rPr>
          <w:sz w:val="21"/>
        </w:rPr>
        <w:t>饮水器、洗手台、垃圾箱等设施的设置，应方便乘轮椅者使用。</w:t>
      </w:r>
    </w:p>
    <w:p>
      <w:pPr>
        <w:pStyle w:val="5"/>
        <w:spacing w:before="6"/>
        <w:rPr>
          <w:sz w:val="15"/>
        </w:rPr>
      </w:pPr>
    </w:p>
    <w:p>
      <w:pPr>
        <w:pStyle w:val="12"/>
        <w:numPr>
          <w:ilvl w:val="2"/>
          <w:numId w:val="82"/>
        </w:numPr>
        <w:tabs>
          <w:tab w:val="left" w:pos="1052"/>
          <w:tab w:val="left" w:pos="1053"/>
        </w:tabs>
        <w:spacing w:before="0" w:after="0" w:line="240" w:lineRule="auto"/>
        <w:ind w:left="1052" w:right="0" w:hanging="841"/>
        <w:jc w:val="left"/>
        <w:rPr>
          <w:sz w:val="21"/>
        </w:rPr>
      </w:pPr>
      <w:bookmarkStart w:id="378" w:name="7.2.9管理设施的无障碍设计应符合本标准第8.3节中办公建筑的有关规定。"/>
      <w:bookmarkEnd w:id="378"/>
      <w:bookmarkStart w:id="379" w:name="7.2.9管理设施的无障碍设计应符合本标准第8.3节中办公建筑的有关规定。"/>
      <w:bookmarkEnd w:id="379"/>
      <w:r>
        <w:rPr>
          <w:spacing w:val="-3"/>
          <w:sz w:val="21"/>
        </w:rPr>
        <w:t xml:space="preserve">管理设施的无障碍设计应符合本标准第 </w:t>
      </w:r>
      <w:r>
        <w:rPr>
          <w:sz w:val="21"/>
        </w:rPr>
        <w:t>8.3</w:t>
      </w:r>
      <w:r>
        <w:rPr>
          <w:spacing w:val="-8"/>
          <w:sz w:val="21"/>
        </w:rPr>
        <w:t xml:space="preserve"> 节中办公建筑的有关规定。</w:t>
      </w:r>
    </w:p>
    <w:p>
      <w:pPr>
        <w:pStyle w:val="5"/>
        <w:spacing w:before="7"/>
        <w:rPr>
          <w:sz w:val="15"/>
        </w:rPr>
      </w:pPr>
    </w:p>
    <w:p>
      <w:pPr>
        <w:pStyle w:val="12"/>
        <w:numPr>
          <w:ilvl w:val="2"/>
          <w:numId w:val="82"/>
        </w:numPr>
        <w:tabs>
          <w:tab w:val="left" w:pos="1052"/>
          <w:tab w:val="left" w:pos="1053"/>
        </w:tabs>
        <w:spacing w:before="0" w:after="0" w:line="240" w:lineRule="auto"/>
        <w:ind w:left="1052" w:right="0" w:hanging="841"/>
        <w:jc w:val="left"/>
        <w:rPr>
          <w:sz w:val="21"/>
        </w:rPr>
      </w:pPr>
      <w:bookmarkStart w:id="380" w:name="7.2.10无障碍信息设施的设置应符合下列规定："/>
      <w:bookmarkEnd w:id="380"/>
      <w:bookmarkStart w:id="381" w:name="7.2.10无障碍信息设施的设置应符合下列规定："/>
      <w:bookmarkEnd w:id="381"/>
      <w:r>
        <w:rPr>
          <w:sz w:val="21"/>
        </w:rPr>
        <w:t>无障碍信息设施的设置应符合下列规定：</w:t>
      </w:r>
    </w:p>
    <w:p>
      <w:pPr>
        <w:pStyle w:val="5"/>
        <w:spacing w:before="6"/>
        <w:rPr>
          <w:sz w:val="15"/>
        </w:rPr>
      </w:pPr>
    </w:p>
    <w:p>
      <w:pPr>
        <w:pStyle w:val="12"/>
        <w:numPr>
          <w:ilvl w:val="0"/>
          <w:numId w:val="88"/>
        </w:numPr>
        <w:tabs>
          <w:tab w:val="left" w:pos="1052"/>
          <w:tab w:val="left" w:pos="1053"/>
        </w:tabs>
        <w:spacing w:before="1" w:after="0" w:line="417" w:lineRule="auto"/>
        <w:ind w:left="212" w:right="315" w:firstLine="424"/>
        <w:jc w:val="left"/>
        <w:rPr>
          <w:sz w:val="21"/>
        </w:rPr>
      </w:pPr>
      <w:r>
        <w:rPr>
          <w:spacing w:val="-2"/>
          <w:w w:val="95"/>
          <w:sz w:val="21"/>
        </w:rPr>
        <w:t xml:space="preserve">公园绿地出入口处应结合盲文地图和园区平面示意图，标注无障碍设施位置、无障碍游览路线等   </w:t>
      </w:r>
      <w:r>
        <w:rPr>
          <w:spacing w:val="-2"/>
          <w:sz w:val="21"/>
        </w:rPr>
        <w:t>信息，并宜使用人机交互设备；</w:t>
      </w:r>
    </w:p>
    <w:p>
      <w:pPr>
        <w:pStyle w:val="12"/>
        <w:numPr>
          <w:ilvl w:val="0"/>
          <w:numId w:val="88"/>
        </w:numPr>
        <w:tabs>
          <w:tab w:val="left" w:pos="1052"/>
          <w:tab w:val="left" w:pos="1053"/>
        </w:tabs>
        <w:spacing w:before="0" w:after="0" w:line="269" w:lineRule="exact"/>
        <w:ind w:left="1052" w:right="0" w:hanging="416"/>
        <w:jc w:val="left"/>
        <w:rPr>
          <w:sz w:val="21"/>
        </w:rPr>
      </w:pPr>
      <w:r>
        <w:rPr>
          <w:sz w:val="21"/>
        </w:rPr>
        <w:t>游憩设施、植物等处的介绍说明宜设置盲文铭牌。</w:t>
      </w:r>
    </w:p>
    <w:p>
      <w:pPr>
        <w:pStyle w:val="5"/>
        <w:spacing w:before="6"/>
        <w:rPr>
          <w:sz w:val="15"/>
        </w:rPr>
      </w:pPr>
    </w:p>
    <w:p>
      <w:pPr>
        <w:pStyle w:val="12"/>
        <w:numPr>
          <w:ilvl w:val="2"/>
          <w:numId w:val="82"/>
        </w:numPr>
        <w:tabs>
          <w:tab w:val="left" w:pos="1052"/>
          <w:tab w:val="left" w:pos="1053"/>
        </w:tabs>
        <w:spacing w:before="0" w:after="0" w:line="240" w:lineRule="auto"/>
        <w:ind w:left="1052" w:right="0" w:hanging="841"/>
        <w:jc w:val="left"/>
        <w:rPr>
          <w:sz w:val="21"/>
        </w:rPr>
      </w:pPr>
      <w:bookmarkStart w:id="382" w:name="7.2.11危险地段必须设置必要的警示标识、提示标识、安全警示线及安全防护措施。"/>
      <w:bookmarkEnd w:id="382"/>
      <w:bookmarkStart w:id="383" w:name="7.2.11危险地段必须设置必要的警示标识、提示标识、安全警示线及安全防护措施。"/>
      <w:bookmarkEnd w:id="383"/>
      <w:r>
        <w:rPr>
          <w:sz w:val="21"/>
        </w:rPr>
        <w:t>危险地段必须设置必要的警示标识、提示标识、安全警示线及安全防护措施。</w:t>
      </w:r>
    </w:p>
    <w:p>
      <w:pPr>
        <w:pStyle w:val="5"/>
        <w:spacing w:before="7"/>
        <w:rPr>
          <w:sz w:val="15"/>
        </w:rPr>
      </w:pPr>
    </w:p>
    <w:p>
      <w:pPr>
        <w:pStyle w:val="12"/>
        <w:numPr>
          <w:ilvl w:val="2"/>
          <w:numId w:val="82"/>
        </w:numPr>
        <w:tabs>
          <w:tab w:val="left" w:pos="1052"/>
          <w:tab w:val="left" w:pos="1053"/>
        </w:tabs>
        <w:spacing w:before="0" w:after="0" w:line="240" w:lineRule="auto"/>
        <w:ind w:left="1052" w:right="0" w:hanging="841"/>
        <w:jc w:val="left"/>
        <w:rPr>
          <w:sz w:val="21"/>
        </w:rPr>
      </w:pPr>
      <w:bookmarkStart w:id="384" w:name="7.2.12公园绿地宜提供无障碍游览路线和无障碍信息设施的夜间连续充足照明。"/>
      <w:bookmarkEnd w:id="384"/>
      <w:bookmarkStart w:id="385" w:name="7.2.12公园绿地宜提供无障碍游览路线和无障碍信息设施的夜间连续充足照明。"/>
      <w:bookmarkEnd w:id="385"/>
      <w:r>
        <w:rPr>
          <w:sz w:val="21"/>
        </w:rPr>
        <w:t>公园绿地宜提供无障碍游览路线和无障碍信息设施的夜间连续充足照明。</w:t>
      </w:r>
    </w:p>
    <w:p>
      <w:pPr>
        <w:pStyle w:val="5"/>
        <w:spacing w:before="7"/>
        <w:rPr>
          <w:sz w:val="15"/>
        </w:rPr>
      </w:pPr>
    </w:p>
    <w:p>
      <w:pPr>
        <w:pStyle w:val="12"/>
        <w:numPr>
          <w:ilvl w:val="2"/>
          <w:numId w:val="82"/>
        </w:numPr>
        <w:tabs>
          <w:tab w:val="left" w:pos="1052"/>
          <w:tab w:val="left" w:pos="1053"/>
        </w:tabs>
        <w:spacing w:before="0" w:after="0" w:line="240" w:lineRule="auto"/>
        <w:ind w:left="1052" w:right="0" w:hanging="841"/>
        <w:jc w:val="left"/>
        <w:rPr>
          <w:sz w:val="21"/>
        </w:rPr>
      </w:pPr>
      <w:bookmarkStart w:id="386" w:name="7.2.13滨水公园绿地的无障碍设计尚应符合下列规定："/>
      <w:bookmarkEnd w:id="386"/>
      <w:bookmarkStart w:id="387" w:name="7.2.13滨水公园绿地的无障碍设计尚应符合下列规定："/>
      <w:bookmarkEnd w:id="387"/>
      <w:r>
        <w:rPr>
          <w:sz w:val="21"/>
        </w:rPr>
        <w:t>滨水公园绿地的无障碍设计尚应符合下列规定：</w:t>
      </w:r>
    </w:p>
    <w:p>
      <w:pPr>
        <w:pStyle w:val="5"/>
        <w:spacing w:before="6"/>
        <w:rPr>
          <w:sz w:val="15"/>
        </w:rPr>
      </w:pPr>
    </w:p>
    <w:p>
      <w:pPr>
        <w:pStyle w:val="12"/>
        <w:numPr>
          <w:ilvl w:val="0"/>
          <w:numId w:val="89"/>
        </w:numPr>
        <w:tabs>
          <w:tab w:val="left" w:pos="1052"/>
          <w:tab w:val="left" w:pos="1053"/>
        </w:tabs>
        <w:spacing w:before="1" w:after="0" w:line="417" w:lineRule="auto"/>
        <w:ind w:left="212" w:right="315" w:firstLine="424"/>
        <w:jc w:val="left"/>
        <w:rPr>
          <w:sz w:val="21"/>
        </w:rPr>
      </w:pPr>
      <w:r>
        <w:rPr>
          <w:spacing w:val="-2"/>
          <w:w w:val="95"/>
          <w:sz w:val="21"/>
        </w:rPr>
        <w:t xml:space="preserve">沿滨水岸线宜设置连贯的无障碍游览路线，并与主要游览场所连接；无障碍游览园路净宽不宜小   </w:t>
      </w:r>
      <w:r>
        <w:rPr>
          <w:spacing w:val="-27"/>
          <w:sz w:val="21"/>
        </w:rPr>
        <w:t xml:space="preserve">于 </w:t>
      </w:r>
      <w:r>
        <w:rPr>
          <w:sz w:val="21"/>
        </w:rPr>
        <w:t>1.50</w:t>
      </w:r>
      <w:r>
        <w:rPr>
          <w:rFonts w:hint="eastAsia" w:ascii="仿宋" w:eastAsia="仿宋"/>
          <w:sz w:val="21"/>
        </w:rPr>
        <w:t>m</w:t>
      </w:r>
      <w:r>
        <w:rPr>
          <w:sz w:val="21"/>
        </w:rPr>
        <w:t>；</w:t>
      </w:r>
    </w:p>
    <w:p>
      <w:pPr>
        <w:pStyle w:val="12"/>
        <w:numPr>
          <w:ilvl w:val="0"/>
          <w:numId w:val="89"/>
        </w:numPr>
        <w:tabs>
          <w:tab w:val="left" w:pos="1052"/>
          <w:tab w:val="left" w:pos="1053"/>
        </w:tabs>
        <w:spacing w:before="0" w:after="0" w:line="269" w:lineRule="exact"/>
        <w:ind w:left="1052" w:right="0" w:hanging="416"/>
        <w:jc w:val="left"/>
        <w:rPr>
          <w:sz w:val="21"/>
        </w:rPr>
      </w:pPr>
      <w:r>
        <w:rPr>
          <w:spacing w:val="-3"/>
          <w:sz w:val="21"/>
        </w:rPr>
        <w:t xml:space="preserve">紧邻水岸的无障碍游览园路应设置高度不低于 </w:t>
      </w:r>
      <w:r>
        <w:rPr>
          <w:sz w:val="21"/>
        </w:rPr>
        <w:t>900</w:t>
      </w:r>
      <w:r>
        <w:rPr>
          <w:rFonts w:hint="eastAsia" w:ascii="仿宋" w:eastAsia="仿宋"/>
          <w:sz w:val="21"/>
        </w:rPr>
        <w:t>mm</w:t>
      </w:r>
      <w:r>
        <w:rPr>
          <w:rFonts w:hint="eastAsia" w:ascii="仿宋" w:eastAsia="仿宋"/>
          <w:spacing w:val="-52"/>
          <w:sz w:val="21"/>
        </w:rPr>
        <w:t xml:space="preserve"> </w:t>
      </w:r>
      <w:r>
        <w:rPr>
          <w:sz w:val="21"/>
        </w:rPr>
        <w:t>的护栏；</w:t>
      </w:r>
    </w:p>
    <w:p>
      <w:pPr>
        <w:pStyle w:val="5"/>
        <w:spacing w:before="6"/>
        <w:rPr>
          <w:sz w:val="15"/>
        </w:rPr>
      </w:pPr>
    </w:p>
    <w:p>
      <w:pPr>
        <w:pStyle w:val="12"/>
        <w:numPr>
          <w:ilvl w:val="0"/>
          <w:numId w:val="89"/>
        </w:numPr>
        <w:tabs>
          <w:tab w:val="left" w:pos="1052"/>
          <w:tab w:val="left" w:pos="1053"/>
        </w:tabs>
        <w:spacing w:before="0" w:after="0" w:line="240" w:lineRule="auto"/>
        <w:ind w:left="1052" w:right="0" w:hanging="416"/>
        <w:jc w:val="left"/>
        <w:rPr>
          <w:sz w:val="21"/>
        </w:rPr>
      </w:pPr>
      <w:r>
        <w:rPr>
          <w:sz w:val="21"/>
        </w:rPr>
        <w:t>滨水游览线路宜结合亲水平台设置轮椅停留空间，并宜设置遮阳蔽雨设施。</w:t>
      </w:r>
    </w:p>
    <w:p>
      <w:pPr>
        <w:pStyle w:val="5"/>
        <w:spacing w:before="7"/>
        <w:rPr>
          <w:sz w:val="15"/>
        </w:rPr>
      </w:pPr>
    </w:p>
    <w:p>
      <w:pPr>
        <w:pStyle w:val="12"/>
        <w:numPr>
          <w:ilvl w:val="2"/>
          <w:numId w:val="82"/>
        </w:numPr>
        <w:tabs>
          <w:tab w:val="left" w:pos="1052"/>
          <w:tab w:val="left" w:pos="1053"/>
        </w:tabs>
        <w:spacing w:before="0" w:after="0" w:line="240" w:lineRule="auto"/>
        <w:ind w:left="1052" w:right="0" w:hanging="841"/>
        <w:jc w:val="left"/>
        <w:rPr>
          <w:sz w:val="21"/>
        </w:rPr>
      </w:pPr>
      <w:bookmarkStart w:id="388" w:name="7.2.14植物配置应符合下列规定："/>
      <w:bookmarkEnd w:id="388"/>
      <w:bookmarkStart w:id="389" w:name="7.2.14植物配置应符合下列规定："/>
      <w:bookmarkEnd w:id="389"/>
      <w:r>
        <w:rPr>
          <w:sz w:val="21"/>
        </w:rPr>
        <w:t>植物配置应符合下列规定：</w:t>
      </w:r>
    </w:p>
    <w:p>
      <w:pPr>
        <w:pStyle w:val="5"/>
        <w:spacing w:before="7"/>
        <w:rPr>
          <w:sz w:val="15"/>
        </w:rPr>
      </w:pPr>
    </w:p>
    <w:p>
      <w:pPr>
        <w:pStyle w:val="12"/>
        <w:numPr>
          <w:ilvl w:val="0"/>
          <w:numId w:val="90"/>
        </w:numPr>
        <w:tabs>
          <w:tab w:val="left" w:pos="1052"/>
          <w:tab w:val="left" w:pos="1053"/>
        </w:tabs>
        <w:spacing w:before="0" w:after="0" w:line="240" w:lineRule="auto"/>
        <w:ind w:left="1052" w:right="0" w:hanging="416"/>
        <w:jc w:val="left"/>
        <w:rPr>
          <w:sz w:val="21"/>
        </w:rPr>
      </w:pPr>
      <w:r>
        <w:rPr>
          <w:sz w:val="21"/>
        </w:rPr>
        <w:t>宜选用较强适应性和观赏性，且具有芳香气味、花叶色彩鲜艳的植物；</w:t>
      </w:r>
    </w:p>
    <w:p>
      <w:pPr>
        <w:pStyle w:val="5"/>
        <w:spacing w:before="6"/>
        <w:rPr>
          <w:sz w:val="15"/>
        </w:rPr>
      </w:pPr>
    </w:p>
    <w:p>
      <w:pPr>
        <w:pStyle w:val="12"/>
        <w:numPr>
          <w:ilvl w:val="0"/>
          <w:numId w:val="90"/>
        </w:numPr>
        <w:tabs>
          <w:tab w:val="left" w:pos="1052"/>
          <w:tab w:val="left" w:pos="1053"/>
        </w:tabs>
        <w:spacing w:before="1" w:after="0" w:line="240" w:lineRule="auto"/>
        <w:ind w:left="1052" w:right="0" w:hanging="416"/>
        <w:jc w:val="left"/>
        <w:rPr>
          <w:sz w:val="21"/>
        </w:rPr>
      </w:pPr>
      <w:r>
        <w:rPr>
          <w:sz w:val="21"/>
        </w:rPr>
        <w:t>不应选用有毒、有刺、飘絮、有刺激性气味的植物；</w:t>
      </w:r>
    </w:p>
    <w:p>
      <w:pPr>
        <w:pStyle w:val="5"/>
        <w:spacing w:before="6"/>
        <w:rPr>
          <w:sz w:val="15"/>
        </w:rPr>
      </w:pPr>
    </w:p>
    <w:p>
      <w:pPr>
        <w:pStyle w:val="12"/>
        <w:numPr>
          <w:ilvl w:val="0"/>
          <w:numId w:val="90"/>
        </w:numPr>
        <w:tabs>
          <w:tab w:val="left" w:pos="1052"/>
          <w:tab w:val="left" w:pos="1053"/>
        </w:tabs>
        <w:spacing w:before="0" w:after="0" w:line="240" w:lineRule="auto"/>
        <w:ind w:left="1052" w:right="0" w:hanging="416"/>
        <w:jc w:val="left"/>
        <w:rPr>
          <w:sz w:val="21"/>
        </w:rPr>
      </w:pPr>
      <w:r>
        <w:rPr>
          <w:sz w:val="21"/>
        </w:rPr>
        <w:t>无障碍设计范围内不应选用根系容易露出地面的植物。</w:t>
      </w:r>
    </w:p>
    <w:p>
      <w:pPr>
        <w:pStyle w:val="5"/>
        <w:spacing w:before="7"/>
        <w:rPr>
          <w:sz w:val="15"/>
        </w:rPr>
      </w:pPr>
    </w:p>
    <w:p>
      <w:pPr>
        <w:pStyle w:val="12"/>
        <w:numPr>
          <w:ilvl w:val="2"/>
          <w:numId w:val="82"/>
        </w:numPr>
        <w:tabs>
          <w:tab w:val="left" w:pos="1052"/>
          <w:tab w:val="left" w:pos="1053"/>
        </w:tabs>
        <w:spacing w:before="0" w:after="0" w:line="240" w:lineRule="auto"/>
        <w:ind w:left="1052" w:right="0" w:hanging="841"/>
        <w:jc w:val="left"/>
        <w:rPr>
          <w:sz w:val="21"/>
        </w:rPr>
      </w:pPr>
      <w:bookmarkStart w:id="390" w:name="7.2.15不同类别的公园绿地的特殊要求："/>
      <w:bookmarkEnd w:id="390"/>
      <w:bookmarkStart w:id="391" w:name="7.2.15不同类别的公园绿地的特殊要求："/>
      <w:bookmarkEnd w:id="391"/>
      <w:r>
        <w:rPr>
          <w:sz w:val="21"/>
        </w:rPr>
        <w:t>不同类别的公园绿地的特殊要求：</w:t>
      </w:r>
    </w:p>
    <w:p>
      <w:pPr>
        <w:pStyle w:val="5"/>
        <w:spacing w:before="7"/>
        <w:rPr>
          <w:sz w:val="15"/>
        </w:rPr>
      </w:pPr>
    </w:p>
    <w:p>
      <w:pPr>
        <w:pStyle w:val="12"/>
        <w:numPr>
          <w:ilvl w:val="0"/>
          <w:numId w:val="91"/>
        </w:numPr>
        <w:tabs>
          <w:tab w:val="left" w:pos="1052"/>
          <w:tab w:val="left" w:pos="1053"/>
        </w:tabs>
        <w:spacing w:before="0" w:after="0" w:line="240" w:lineRule="auto"/>
        <w:ind w:left="1052" w:right="0" w:hanging="416"/>
        <w:jc w:val="left"/>
        <w:rPr>
          <w:sz w:val="21"/>
        </w:rPr>
      </w:pPr>
      <w:r>
        <w:rPr>
          <w:sz w:val="21"/>
        </w:rPr>
        <w:t>大型植物园宜设置盲人植物区域或者植物角，并宜提供盲文铭牌、人机交互设备等；</w:t>
      </w:r>
    </w:p>
    <w:p>
      <w:pPr>
        <w:pStyle w:val="5"/>
        <w:spacing w:before="6"/>
        <w:rPr>
          <w:sz w:val="15"/>
        </w:rPr>
      </w:pPr>
    </w:p>
    <w:p>
      <w:pPr>
        <w:pStyle w:val="12"/>
        <w:numPr>
          <w:ilvl w:val="0"/>
          <w:numId w:val="91"/>
        </w:numPr>
        <w:tabs>
          <w:tab w:val="left" w:pos="1052"/>
          <w:tab w:val="left" w:pos="1053"/>
        </w:tabs>
        <w:spacing w:before="1" w:after="0" w:line="240" w:lineRule="auto"/>
        <w:ind w:left="1052" w:right="0" w:hanging="416"/>
        <w:jc w:val="left"/>
        <w:rPr>
          <w:sz w:val="21"/>
        </w:rPr>
      </w:pPr>
      <w:r>
        <w:rPr>
          <w:sz w:val="21"/>
        </w:rPr>
        <w:t>绿地内展览区、展示区、动物园的动物展示区应设置便于乘轮椅者参观的窗口或位置。</w:t>
      </w:r>
    </w:p>
    <w:p>
      <w:pPr>
        <w:pStyle w:val="5"/>
        <w:spacing w:before="6"/>
        <w:rPr>
          <w:sz w:val="15"/>
        </w:rPr>
      </w:pPr>
    </w:p>
    <w:p>
      <w:pPr>
        <w:pStyle w:val="12"/>
        <w:numPr>
          <w:ilvl w:val="1"/>
          <w:numId w:val="79"/>
        </w:numPr>
        <w:tabs>
          <w:tab w:val="left" w:pos="4824"/>
        </w:tabs>
        <w:spacing w:before="0" w:after="0" w:line="240" w:lineRule="auto"/>
        <w:ind w:left="4823" w:right="0" w:hanging="421"/>
        <w:jc w:val="left"/>
        <w:rPr>
          <w:rFonts w:hint="eastAsia" w:ascii="黑体" w:eastAsia="黑体"/>
          <w:sz w:val="21"/>
        </w:rPr>
      </w:pPr>
      <w:bookmarkStart w:id="392" w:name="7.3其他绿地"/>
      <w:bookmarkEnd w:id="392"/>
      <w:bookmarkStart w:id="393" w:name="_bookmark20"/>
      <w:bookmarkEnd w:id="393"/>
      <w:bookmarkStart w:id="394" w:name="_bookmark20"/>
      <w:bookmarkEnd w:id="394"/>
      <w:r>
        <w:rPr>
          <w:rFonts w:hint="eastAsia" w:ascii="黑体" w:eastAsia="黑体"/>
          <w:sz w:val="21"/>
        </w:rPr>
        <w:t>其他绿地</w:t>
      </w:r>
    </w:p>
    <w:p>
      <w:pPr>
        <w:pStyle w:val="5"/>
        <w:spacing w:before="7"/>
        <w:rPr>
          <w:rFonts w:ascii="黑体"/>
          <w:sz w:val="15"/>
        </w:rPr>
      </w:pPr>
    </w:p>
    <w:p>
      <w:pPr>
        <w:pStyle w:val="12"/>
        <w:numPr>
          <w:ilvl w:val="2"/>
          <w:numId w:val="92"/>
        </w:numPr>
        <w:tabs>
          <w:tab w:val="left" w:pos="1052"/>
          <w:tab w:val="left" w:pos="1053"/>
        </w:tabs>
        <w:spacing w:before="0" w:after="0" w:line="417" w:lineRule="auto"/>
        <w:ind w:left="212" w:right="315" w:firstLine="0"/>
        <w:jc w:val="left"/>
        <w:rPr>
          <w:sz w:val="21"/>
        </w:rPr>
      </w:pPr>
      <w:bookmarkStart w:id="395" w:name="7.3.1附属绿地中的开放式绿地、区域绿地中的风景游憩绿地和对公众开放的其他类型"/>
      <w:bookmarkEnd w:id="395"/>
      <w:bookmarkStart w:id="396" w:name="7.3.1附属绿地中的开放式绿地、区域绿地中的风景游憩绿地和对公众开放的其他类型"/>
      <w:bookmarkEnd w:id="396"/>
      <w:r>
        <w:rPr>
          <w:spacing w:val="-2"/>
          <w:w w:val="95"/>
          <w:sz w:val="21"/>
        </w:rPr>
        <w:t xml:space="preserve">附属绿地中的开放式绿地、区域绿地中的风景游憩绿地和对公众开放的其他类型绿地应进行无障   </w:t>
      </w:r>
      <w:r>
        <w:rPr>
          <w:spacing w:val="-2"/>
          <w:sz w:val="21"/>
        </w:rPr>
        <w:t>碍设计。</w:t>
      </w:r>
    </w:p>
    <w:p>
      <w:pPr>
        <w:pStyle w:val="12"/>
        <w:numPr>
          <w:ilvl w:val="2"/>
          <w:numId w:val="92"/>
        </w:numPr>
        <w:tabs>
          <w:tab w:val="left" w:pos="1052"/>
          <w:tab w:val="left" w:pos="1053"/>
        </w:tabs>
        <w:spacing w:before="0" w:after="0" w:line="269" w:lineRule="exact"/>
        <w:ind w:left="1052" w:right="0" w:hanging="841"/>
        <w:jc w:val="left"/>
        <w:rPr>
          <w:sz w:val="21"/>
        </w:rPr>
      </w:pPr>
      <w:bookmarkStart w:id="397" w:name="7.3.2其他绿地的无障碍设计，可根据场地等实际情况，参照本标准第7.2节有关规"/>
      <w:bookmarkEnd w:id="397"/>
      <w:bookmarkStart w:id="398" w:name="7.3.2其他绿地的无障碍设计，可根据场地等实际情况，参照本标准第7.2节有关规"/>
      <w:bookmarkEnd w:id="398"/>
      <w:r>
        <w:rPr>
          <w:spacing w:val="-3"/>
          <w:sz w:val="21"/>
        </w:rPr>
        <w:t xml:space="preserve">其他绿地的无障碍设计，可根据场地等实际情况，参照本标准第 </w:t>
      </w:r>
      <w:r>
        <w:rPr>
          <w:sz w:val="21"/>
        </w:rPr>
        <w:t>7.2</w:t>
      </w:r>
      <w:r>
        <w:rPr>
          <w:spacing w:val="-9"/>
          <w:sz w:val="21"/>
        </w:rPr>
        <w:t xml:space="preserve"> 节有关规定执行。</w:t>
      </w:r>
    </w:p>
    <w:p>
      <w:pPr>
        <w:spacing w:after="0" w:line="269" w:lineRule="exact"/>
        <w:jc w:val="left"/>
        <w:rPr>
          <w:sz w:val="21"/>
        </w:rPr>
        <w:sectPr>
          <w:pgSz w:w="11910" w:h="16840"/>
          <w:pgMar w:top="1580" w:right="820" w:bottom="1280" w:left="920" w:header="0" w:footer="1095" w:gutter="0"/>
          <w:cols w:space="720" w:num="1"/>
        </w:sectPr>
      </w:pPr>
    </w:p>
    <w:p>
      <w:pPr>
        <w:pStyle w:val="2"/>
        <w:numPr>
          <w:ilvl w:val="1"/>
          <w:numId w:val="91"/>
        </w:numPr>
        <w:tabs>
          <w:tab w:val="left" w:pos="4599"/>
          <w:tab w:val="left" w:pos="4600"/>
        </w:tabs>
        <w:spacing w:before="68" w:after="0" w:line="240" w:lineRule="auto"/>
        <w:ind w:left="4600" w:right="0" w:hanging="420"/>
        <w:jc w:val="left"/>
      </w:pPr>
      <w:bookmarkStart w:id="399" w:name="_bookmark21"/>
      <w:bookmarkEnd w:id="399"/>
      <w:bookmarkStart w:id="400" w:name="8城市建筑"/>
      <w:bookmarkEnd w:id="400"/>
      <w:r>
        <w:t>城市建筑</w:t>
      </w:r>
    </w:p>
    <w:p>
      <w:pPr>
        <w:pStyle w:val="12"/>
        <w:numPr>
          <w:ilvl w:val="2"/>
          <w:numId w:val="91"/>
        </w:numPr>
        <w:tabs>
          <w:tab w:val="left" w:pos="4824"/>
        </w:tabs>
        <w:spacing w:before="206" w:after="0" w:line="240" w:lineRule="auto"/>
        <w:ind w:left="4823" w:right="0" w:hanging="421"/>
        <w:jc w:val="left"/>
        <w:rPr>
          <w:rFonts w:hint="eastAsia" w:ascii="黑体" w:eastAsia="黑体"/>
          <w:sz w:val="21"/>
        </w:rPr>
      </w:pPr>
      <w:bookmarkStart w:id="401" w:name="_bookmark22"/>
      <w:bookmarkEnd w:id="401"/>
      <w:bookmarkStart w:id="402" w:name="8.1一般规定"/>
      <w:bookmarkEnd w:id="402"/>
      <w:bookmarkStart w:id="403" w:name="_bookmark22"/>
      <w:bookmarkEnd w:id="403"/>
      <w:r>
        <w:rPr>
          <w:rFonts w:hint="eastAsia" w:ascii="黑体" w:eastAsia="黑体"/>
          <w:w w:val="95"/>
          <w:sz w:val="21"/>
        </w:rPr>
        <w:t>一般规定</w:t>
      </w:r>
    </w:p>
    <w:p>
      <w:pPr>
        <w:pStyle w:val="5"/>
        <w:spacing w:before="6"/>
        <w:rPr>
          <w:rFonts w:ascii="黑体"/>
          <w:sz w:val="15"/>
        </w:rPr>
      </w:pPr>
    </w:p>
    <w:p>
      <w:pPr>
        <w:pStyle w:val="12"/>
        <w:numPr>
          <w:ilvl w:val="2"/>
          <w:numId w:val="93"/>
        </w:numPr>
        <w:tabs>
          <w:tab w:val="left" w:pos="1052"/>
          <w:tab w:val="left" w:pos="1053"/>
        </w:tabs>
        <w:spacing w:before="1" w:after="0" w:line="240" w:lineRule="auto"/>
        <w:ind w:left="1052" w:right="0" w:hanging="841"/>
        <w:jc w:val="left"/>
        <w:rPr>
          <w:sz w:val="21"/>
        </w:rPr>
      </w:pPr>
      <w:bookmarkStart w:id="404" w:name="8.1.1以下城市建筑应进行无障碍设计："/>
      <w:bookmarkEnd w:id="404"/>
      <w:bookmarkStart w:id="405" w:name="8.1.1以下城市建筑应进行无障碍设计："/>
      <w:bookmarkEnd w:id="405"/>
      <w:r>
        <w:rPr>
          <w:w w:val="95"/>
          <w:sz w:val="21"/>
        </w:rPr>
        <w:t>以下城市建筑应进行无障碍设计：</w:t>
      </w:r>
    </w:p>
    <w:p>
      <w:pPr>
        <w:pStyle w:val="5"/>
        <w:spacing w:before="6"/>
        <w:rPr>
          <w:sz w:val="15"/>
        </w:rPr>
      </w:pPr>
    </w:p>
    <w:p>
      <w:pPr>
        <w:pStyle w:val="12"/>
        <w:numPr>
          <w:ilvl w:val="0"/>
          <w:numId w:val="94"/>
        </w:numPr>
        <w:tabs>
          <w:tab w:val="left" w:pos="1052"/>
          <w:tab w:val="left" w:pos="1053"/>
        </w:tabs>
        <w:spacing w:before="0" w:after="0" w:line="240" w:lineRule="auto"/>
        <w:ind w:left="1052" w:right="0" w:hanging="416"/>
        <w:jc w:val="left"/>
        <w:rPr>
          <w:sz w:val="21"/>
        </w:rPr>
      </w:pPr>
      <w:r>
        <w:rPr>
          <w:sz w:val="21"/>
        </w:rPr>
        <w:t>居住建筑；</w:t>
      </w:r>
    </w:p>
    <w:p>
      <w:pPr>
        <w:pStyle w:val="5"/>
        <w:spacing w:before="7"/>
        <w:rPr>
          <w:sz w:val="15"/>
        </w:rPr>
      </w:pPr>
    </w:p>
    <w:p>
      <w:pPr>
        <w:pStyle w:val="12"/>
        <w:numPr>
          <w:ilvl w:val="0"/>
          <w:numId w:val="94"/>
        </w:numPr>
        <w:tabs>
          <w:tab w:val="left" w:pos="1052"/>
          <w:tab w:val="left" w:pos="1053"/>
        </w:tabs>
        <w:spacing w:before="0" w:after="0" w:line="417" w:lineRule="auto"/>
        <w:ind w:left="212" w:right="292" w:firstLine="424"/>
        <w:jc w:val="left"/>
        <w:rPr>
          <w:sz w:val="21"/>
        </w:rPr>
      </w:pPr>
      <w:r>
        <w:rPr>
          <w:w w:val="95"/>
          <w:sz w:val="21"/>
        </w:rPr>
        <w:t xml:space="preserve">公共建筑，包括办公建筑、教育建筑、医疗建筑、福利及特殊服务建筑、体育建筑、文化建筑、   </w:t>
      </w:r>
      <w:r>
        <w:rPr>
          <w:sz w:val="21"/>
        </w:rPr>
        <w:t>商业服务建筑、交通建筑等；</w:t>
      </w:r>
    </w:p>
    <w:p>
      <w:pPr>
        <w:pStyle w:val="12"/>
        <w:numPr>
          <w:ilvl w:val="0"/>
          <w:numId w:val="94"/>
        </w:numPr>
        <w:tabs>
          <w:tab w:val="left" w:pos="1052"/>
          <w:tab w:val="left" w:pos="1053"/>
        </w:tabs>
        <w:spacing w:before="0" w:after="0" w:line="269" w:lineRule="exact"/>
        <w:ind w:left="1052" w:right="0" w:hanging="416"/>
        <w:jc w:val="left"/>
        <w:rPr>
          <w:sz w:val="21"/>
        </w:rPr>
      </w:pPr>
      <w:r>
        <w:rPr>
          <w:sz w:val="21"/>
        </w:rPr>
        <w:t>工业建筑；</w:t>
      </w:r>
    </w:p>
    <w:p>
      <w:pPr>
        <w:pStyle w:val="5"/>
        <w:spacing w:before="7"/>
        <w:rPr>
          <w:sz w:val="15"/>
        </w:rPr>
      </w:pPr>
    </w:p>
    <w:p>
      <w:pPr>
        <w:pStyle w:val="12"/>
        <w:numPr>
          <w:ilvl w:val="0"/>
          <w:numId w:val="94"/>
        </w:numPr>
        <w:tabs>
          <w:tab w:val="left" w:pos="1052"/>
          <w:tab w:val="left" w:pos="1053"/>
        </w:tabs>
        <w:spacing w:before="0" w:after="0" w:line="240" w:lineRule="auto"/>
        <w:ind w:left="1052" w:right="0" w:hanging="416"/>
        <w:jc w:val="left"/>
        <w:rPr>
          <w:sz w:val="21"/>
        </w:rPr>
      </w:pPr>
      <w:r>
        <w:rPr>
          <w:sz w:val="21"/>
        </w:rPr>
        <w:t>其他建筑，包括历史文物保护建筑、公共停车场（库）、汽车加油加气站、城市公共卫生间等。</w:t>
      </w:r>
    </w:p>
    <w:p>
      <w:pPr>
        <w:pStyle w:val="5"/>
        <w:spacing w:before="6"/>
        <w:rPr>
          <w:sz w:val="15"/>
        </w:rPr>
      </w:pPr>
    </w:p>
    <w:p>
      <w:pPr>
        <w:pStyle w:val="12"/>
        <w:numPr>
          <w:ilvl w:val="2"/>
          <w:numId w:val="93"/>
        </w:numPr>
        <w:tabs>
          <w:tab w:val="left" w:pos="1052"/>
          <w:tab w:val="left" w:pos="1053"/>
        </w:tabs>
        <w:spacing w:before="1" w:after="0" w:line="417" w:lineRule="auto"/>
        <w:ind w:left="212" w:right="312" w:firstLine="0"/>
        <w:jc w:val="left"/>
        <w:rPr>
          <w:sz w:val="21"/>
        </w:rPr>
      </w:pPr>
      <w:bookmarkStart w:id="406" w:name="8.1.2建筑基地和建筑单体内无障碍设施应成系统设计，并宜相互靠近。对外通行设施"/>
      <w:bookmarkEnd w:id="406"/>
      <w:bookmarkStart w:id="407" w:name="8.1.2建筑基地和建筑单体内无障碍设施应成系统设计，并宜相互靠近。对外通行设施"/>
      <w:bookmarkEnd w:id="407"/>
      <w:r>
        <w:rPr>
          <w:spacing w:val="-2"/>
          <w:w w:val="95"/>
          <w:sz w:val="21"/>
        </w:rPr>
        <w:t xml:space="preserve">建筑基地和建筑单体内无障碍设施应成系统设计，并宜相互靠近。对外通行设施应与周边毗连的   </w:t>
      </w:r>
      <w:r>
        <w:rPr>
          <w:spacing w:val="-2"/>
          <w:sz w:val="21"/>
        </w:rPr>
        <w:t>无障碍设施有效衔接。</w:t>
      </w:r>
    </w:p>
    <w:p>
      <w:pPr>
        <w:pStyle w:val="12"/>
        <w:numPr>
          <w:ilvl w:val="2"/>
          <w:numId w:val="93"/>
        </w:numPr>
        <w:tabs>
          <w:tab w:val="left" w:pos="1052"/>
          <w:tab w:val="left" w:pos="1053"/>
        </w:tabs>
        <w:spacing w:before="0" w:after="0" w:line="269" w:lineRule="exact"/>
        <w:ind w:left="1052" w:right="0" w:hanging="841"/>
        <w:jc w:val="left"/>
        <w:rPr>
          <w:sz w:val="21"/>
        </w:rPr>
      </w:pPr>
      <w:bookmarkStart w:id="408" w:name="8.1.3建筑基地和建筑单体内无障碍通行设施和无障碍服务设施处应设置标识设施。"/>
      <w:bookmarkEnd w:id="408"/>
      <w:bookmarkStart w:id="409" w:name="8.1.3建筑基地和建筑单体内无障碍通行设施和无障碍服务设施处应设置标识设施。"/>
      <w:bookmarkEnd w:id="409"/>
      <w:r>
        <w:rPr>
          <w:sz w:val="21"/>
        </w:rPr>
        <w:t>建筑基地和建筑单体内无障碍通行设施和无障碍服务设施处应设置标识设施。</w:t>
      </w:r>
    </w:p>
    <w:p>
      <w:pPr>
        <w:pStyle w:val="5"/>
        <w:spacing w:before="6"/>
        <w:rPr>
          <w:sz w:val="15"/>
        </w:rPr>
      </w:pPr>
    </w:p>
    <w:p>
      <w:pPr>
        <w:pStyle w:val="12"/>
        <w:numPr>
          <w:ilvl w:val="2"/>
          <w:numId w:val="93"/>
        </w:numPr>
        <w:tabs>
          <w:tab w:val="left" w:pos="1052"/>
          <w:tab w:val="left" w:pos="1053"/>
        </w:tabs>
        <w:spacing w:before="0" w:after="0" w:line="240" w:lineRule="auto"/>
        <w:ind w:left="1052" w:right="0" w:hanging="841"/>
        <w:jc w:val="left"/>
        <w:rPr>
          <w:sz w:val="21"/>
        </w:rPr>
      </w:pPr>
      <w:bookmarkStart w:id="410" w:name="8.1.4建筑基地和建筑单体内无障碍设施的设计要求，尚应符合本标准第4章有关规定"/>
      <w:bookmarkEnd w:id="410"/>
      <w:bookmarkStart w:id="411" w:name="8.1.4建筑基地和建筑单体内无障碍设施的设计要求，尚应符合本标准第4章有关规定"/>
      <w:bookmarkEnd w:id="411"/>
      <w:r>
        <w:rPr>
          <w:spacing w:val="-2"/>
          <w:sz w:val="21"/>
        </w:rPr>
        <w:t xml:space="preserve">建筑基地和建筑单体内无障碍设施的设计要求，尚应符合本标准第 </w:t>
      </w:r>
      <w:r>
        <w:rPr>
          <w:sz w:val="21"/>
        </w:rPr>
        <w:t>4</w:t>
      </w:r>
      <w:r>
        <w:rPr>
          <w:spacing w:val="-9"/>
          <w:sz w:val="21"/>
        </w:rPr>
        <w:t xml:space="preserve"> 章有关规定。</w:t>
      </w:r>
    </w:p>
    <w:p>
      <w:pPr>
        <w:pStyle w:val="5"/>
        <w:spacing w:before="7"/>
        <w:rPr>
          <w:sz w:val="15"/>
        </w:rPr>
      </w:pPr>
    </w:p>
    <w:p>
      <w:pPr>
        <w:pStyle w:val="12"/>
        <w:numPr>
          <w:ilvl w:val="2"/>
          <w:numId w:val="93"/>
        </w:numPr>
        <w:tabs>
          <w:tab w:val="left" w:pos="1052"/>
          <w:tab w:val="left" w:pos="1053"/>
        </w:tabs>
        <w:spacing w:before="0" w:after="0" w:line="240" w:lineRule="auto"/>
        <w:ind w:left="1052" w:right="0" w:hanging="841"/>
        <w:jc w:val="left"/>
        <w:rPr>
          <w:sz w:val="21"/>
        </w:rPr>
      </w:pPr>
      <w:bookmarkStart w:id="412" w:name="8.1.5相邻建筑基地的无障碍出入口宜相互靠近设置。"/>
      <w:bookmarkEnd w:id="412"/>
      <w:bookmarkStart w:id="413" w:name="8.1.5相邻建筑基地的无障碍出入口宜相互靠近设置。"/>
      <w:bookmarkEnd w:id="413"/>
      <w:r>
        <w:rPr>
          <w:sz w:val="21"/>
        </w:rPr>
        <w:t>相邻建筑基地的无障碍出入口宜相互靠近设置。</w:t>
      </w:r>
    </w:p>
    <w:p>
      <w:pPr>
        <w:pStyle w:val="5"/>
        <w:spacing w:before="7"/>
        <w:rPr>
          <w:sz w:val="15"/>
        </w:rPr>
      </w:pPr>
    </w:p>
    <w:p>
      <w:pPr>
        <w:pStyle w:val="12"/>
        <w:numPr>
          <w:ilvl w:val="2"/>
          <w:numId w:val="93"/>
        </w:numPr>
        <w:tabs>
          <w:tab w:val="left" w:pos="1052"/>
          <w:tab w:val="left" w:pos="1053"/>
        </w:tabs>
        <w:spacing w:before="0" w:after="0" w:line="240" w:lineRule="auto"/>
        <w:ind w:left="1052" w:right="0" w:hanging="841"/>
        <w:jc w:val="left"/>
        <w:rPr>
          <w:sz w:val="21"/>
        </w:rPr>
      </w:pPr>
      <w:bookmarkStart w:id="414" w:name="8.1.6连接不同建筑基地的空中连廊应满足无障碍通行要求，并宜设置绿化或雨棚等遮"/>
      <w:bookmarkEnd w:id="414"/>
      <w:bookmarkStart w:id="415" w:name="8.1.6连接不同建筑基地的空中连廊应满足无障碍通行要求，并宜设置绿化或雨棚等遮"/>
      <w:bookmarkEnd w:id="415"/>
      <w:r>
        <w:rPr>
          <w:sz w:val="21"/>
        </w:rPr>
        <w:t>连接不同建筑基地的空中连廊应满足无障碍通行要求，并宜设置绿化或雨棚等遮阳蔽雨设施。</w:t>
      </w:r>
    </w:p>
    <w:p>
      <w:pPr>
        <w:pStyle w:val="5"/>
        <w:spacing w:before="6"/>
        <w:rPr>
          <w:sz w:val="15"/>
        </w:rPr>
      </w:pPr>
    </w:p>
    <w:p>
      <w:pPr>
        <w:pStyle w:val="12"/>
        <w:numPr>
          <w:ilvl w:val="2"/>
          <w:numId w:val="93"/>
        </w:numPr>
        <w:tabs>
          <w:tab w:val="left" w:pos="1052"/>
          <w:tab w:val="left" w:pos="1053"/>
        </w:tabs>
        <w:spacing w:before="1" w:after="0" w:line="240" w:lineRule="auto"/>
        <w:ind w:left="1052" w:right="0" w:hanging="841"/>
        <w:jc w:val="left"/>
        <w:rPr>
          <w:sz w:val="21"/>
        </w:rPr>
      </w:pPr>
      <w:bookmarkStart w:id="416" w:name="8.1.7建筑基地内人行通道宜结合浓荫植物，设置绿化休憩一体化的遮阳蔽雨设施。"/>
      <w:bookmarkEnd w:id="416"/>
      <w:bookmarkStart w:id="417" w:name="8.1.7建筑基地内人行通道宜结合浓荫植物，设置绿化休憩一体化的遮阳蔽雨设施。"/>
      <w:bookmarkEnd w:id="417"/>
      <w:r>
        <w:rPr>
          <w:sz w:val="21"/>
        </w:rPr>
        <w:t>建筑基地内人行通道宜结合浓荫植物，设置绿化休憩一体化的遮阳蔽雨设施。</w:t>
      </w:r>
    </w:p>
    <w:p>
      <w:pPr>
        <w:pStyle w:val="5"/>
        <w:spacing w:before="6"/>
        <w:rPr>
          <w:sz w:val="15"/>
        </w:rPr>
      </w:pPr>
    </w:p>
    <w:p>
      <w:pPr>
        <w:pStyle w:val="12"/>
        <w:numPr>
          <w:ilvl w:val="2"/>
          <w:numId w:val="93"/>
        </w:numPr>
        <w:tabs>
          <w:tab w:val="left" w:pos="1052"/>
          <w:tab w:val="left" w:pos="1053"/>
        </w:tabs>
        <w:spacing w:before="0" w:after="0" w:line="240" w:lineRule="auto"/>
        <w:ind w:left="1052" w:right="0" w:hanging="841"/>
        <w:jc w:val="left"/>
        <w:rPr>
          <w:sz w:val="21"/>
        </w:rPr>
      </w:pPr>
      <w:bookmarkStart w:id="418" w:name="8.1.8建筑基地内同时建设有其他类型工程时，其无障碍设计应符合本标准相应类型工"/>
      <w:bookmarkEnd w:id="418"/>
      <w:bookmarkStart w:id="419" w:name="8.1.8建筑基地内同时建设有其他类型工程时，其无障碍设计应符合本标准相应类型工"/>
      <w:bookmarkEnd w:id="419"/>
      <w:r>
        <w:rPr>
          <w:sz w:val="21"/>
        </w:rPr>
        <w:t>建筑基地内同时建设有其他类型工程时，其无障碍设计应符合本标准相应类型工程的有关规定。</w:t>
      </w:r>
    </w:p>
    <w:p>
      <w:pPr>
        <w:pStyle w:val="5"/>
        <w:spacing w:before="7"/>
        <w:rPr>
          <w:sz w:val="15"/>
        </w:rPr>
      </w:pPr>
    </w:p>
    <w:p>
      <w:pPr>
        <w:pStyle w:val="12"/>
        <w:numPr>
          <w:ilvl w:val="2"/>
          <w:numId w:val="91"/>
        </w:numPr>
        <w:tabs>
          <w:tab w:val="left" w:pos="4824"/>
        </w:tabs>
        <w:spacing w:before="0" w:after="0" w:line="240" w:lineRule="auto"/>
        <w:ind w:left="4823" w:right="0" w:hanging="421"/>
        <w:jc w:val="left"/>
        <w:rPr>
          <w:rFonts w:hint="eastAsia" w:ascii="黑体" w:eastAsia="黑体"/>
          <w:sz w:val="21"/>
        </w:rPr>
      </w:pPr>
      <w:bookmarkStart w:id="420" w:name="8.2居住建筑"/>
      <w:bookmarkEnd w:id="420"/>
      <w:bookmarkStart w:id="421" w:name="_bookmark23"/>
      <w:bookmarkEnd w:id="421"/>
      <w:bookmarkStart w:id="422" w:name="_bookmark23"/>
      <w:bookmarkEnd w:id="422"/>
      <w:r>
        <w:rPr>
          <w:rFonts w:hint="eastAsia" w:ascii="黑体" w:eastAsia="黑体"/>
          <w:sz w:val="21"/>
        </w:rPr>
        <w:t>居住建筑</w:t>
      </w:r>
    </w:p>
    <w:p>
      <w:pPr>
        <w:pStyle w:val="5"/>
        <w:spacing w:before="7"/>
        <w:rPr>
          <w:rFonts w:ascii="黑体"/>
          <w:sz w:val="15"/>
        </w:rPr>
      </w:pPr>
    </w:p>
    <w:p>
      <w:pPr>
        <w:pStyle w:val="12"/>
        <w:numPr>
          <w:ilvl w:val="2"/>
          <w:numId w:val="95"/>
        </w:numPr>
        <w:tabs>
          <w:tab w:val="left" w:pos="1052"/>
          <w:tab w:val="left" w:pos="1053"/>
        </w:tabs>
        <w:spacing w:before="0" w:after="0" w:line="240" w:lineRule="auto"/>
        <w:ind w:left="1052" w:right="0" w:hanging="841"/>
        <w:jc w:val="left"/>
        <w:rPr>
          <w:sz w:val="21"/>
        </w:rPr>
      </w:pPr>
      <w:bookmarkStart w:id="423" w:name="8.2.1住宅建筑、公寓建筑、宿舍建筑(职工宿舍、学生宿舍)及其配套公共设施等，"/>
      <w:bookmarkEnd w:id="423"/>
      <w:bookmarkStart w:id="424" w:name="8.2.1住宅建筑、公寓建筑、宿舍建筑(职工宿舍、学生宿舍)及其配套公共设施等，"/>
      <w:bookmarkEnd w:id="424"/>
      <w:r>
        <w:rPr>
          <w:spacing w:val="-11"/>
          <w:sz w:val="21"/>
        </w:rPr>
        <w:t>住宅建筑、公寓建筑、宿舍建筑(职工宿舍、学生宿舍)及其配套公共设施等，应进行无障碍设计。</w:t>
      </w:r>
    </w:p>
    <w:p>
      <w:pPr>
        <w:pStyle w:val="5"/>
        <w:spacing w:before="6"/>
        <w:rPr>
          <w:sz w:val="15"/>
        </w:rPr>
      </w:pPr>
    </w:p>
    <w:p>
      <w:pPr>
        <w:pStyle w:val="12"/>
        <w:numPr>
          <w:ilvl w:val="2"/>
          <w:numId w:val="95"/>
        </w:numPr>
        <w:tabs>
          <w:tab w:val="left" w:pos="1052"/>
          <w:tab w:val="left" w:pos="1053"/>
        </w:tabs>
        <w:spacing w:before="1" w:after="0" w:line="240" w:lineRule="auto"/>
        <w:ind w:left="1052" w:right="0" w:hanging="841"/>
        <w:jc w:val="left"/>
        <w:rPr>
          <w:sz w:val="21"/>
        </w:rPr>
      </w:pPr>
      <w:bookmarkStart w:id="425" w:name="8.2.2居住建筑基地内附属道路的人行道上可不设置行进盲道。"/>
      <w:bookmarkEnd w:id="425"/>
      <w:bookmarkStart w:id="426" w:name="8.2.2居住建筑基地内附属道路的人行道上可不设置行进盲道。"/>
      <w:bookmarkEnd w:id="426"/>
      <w:r>
        <w:rPr>
          <w:sz w:val="21"/>
        </w:rPr>
        <w:t>居住建筑基地内附属道路的人行道上可不设置行进盲道。</w:t>
      </w:r>
    </w:p>
    <w:p>
      <w:pPr>
        <w:pStyle w:val="5"/>
        <w:spacing w:before="6"/>
        <w:rPr>
          <w:sz w:val="15"/>
        </w:rPr>
      </w:pPr>
    </w:p>
    <w:p>
      <w:pPr>
        <w:pStyle w:val="12"/>
        <w:numPr>
          <w:ilvl w:val="2"/>
          <w:numId w:val="95"/>
        </w:numPr>
        <w:tabs>
          <w:tab w:val="left" w:pos="1053"/>
        </w:tabs>
        <w:spacing w:before="0" w:after="0" w:line="240" w:lineRule="auto"/>
        <w:ind w:left="1052" w:right="0" w:hanging="841"/>
        <w:jc w:val="both"/>
        <w:rPr>
          <w:sz w:val="21"/>
        </w:rPr>
      </w:pPr>
      <w:bookmarkStart w:id="427" w:name="8.2.3居住建筑基地内绿地的无障碍设计应符合下列规定："/>
      <w:bookmarkEnd w:id="427"/>
      <w:bookmarkStart w:id="428" w:name="8.2.3居住建筑基地内绿地的无障碍设计应符合下列规定："/>
      <w:bookmarkEnd w:id="428"/>
      <w:r>
        <w:rPr>
          <w:sz w:val="21"/>
        </w:rPr>
        <w:t>居住建筑基地内绿地的无障碍设计应符合下列规定：</w:t>
      </w:r>
    </w:p>
    <w:p>
      <w:pPr>
        <w:pStyle w:val="5"/>
        <w:spacing w:before="7"/>
        <w:rPr>
          <w:sz w:val="15"/>
        </w:rPr>
      </w:pPr>
    </w:p>
    <w:p>
      <w:pPr>
        <w:pStyle w:val="12"/>
        <w:numPr>
          <w:ilvl w:val="3"/>
          <w:numId w:val="95"/>
        </w:numPr>
        <w:tabs>
          <w:tab w:val="left" w:pos="1053"/>
        </w:tabs>
        <w:spacing w:before="0" w:after="0" w:line="417" w:lineRule="auto"/>
        <w:ind w:left="212" w:right="208" w:firstLine="422"/>
        <w:jc w:val="both"/>
        <w:rPr>
          <w:sz w:val="21"/>
        </w:rPr>
      </w:pPr>
      <w:r>
        <w:rPr>
          <w:spacing w:val="-7"/>
          <w:w w:val="95"/>
          <w:sz w:val="21"/>
        </w:rPr>
        <w:t xml:space="preserve">无障碍设计范围可包括绿地的出入口、游步道、休憩设施、儿童游乐场、休闲广场、健身运动场、   </w:t>
      </w:r>
      <w:r>
        <w:rPr>
          <w:spacing w:val="-7"/>
          <w:sz w:val="21"/>
        </w:rPr>
        <w:t>公共卫生间等；</w:t>
      </w:r>
    </w:p>
    <w:p>
      <w:pPr>
        <w:pStyle w:val="12"/>
        <w:numPr>
          <w:ilvl w:val="3"/>
          <w:numId w:val="95"/>
        </w:numPr>
        <w:tabs>
          <w:tab w:val="left" w:pos="1053"/>
        </w:tabs>
        <w:spacing w:before="0" w:after="0" w:line="417" w:lineRule="auto"/>
        <w:ind w:left="212" w:right="310" w:firstLine="422"/>
        <w:jc w:val="both"/>
        <w:rPr>
          <w:sz w:val="21"/>
        </w:rPr>
      </w:pPr>
      <w:r>
        <w:rPr>
          <w:spacing w:val="-5"/>
          <w:sz w:val="21"/>
        </w:rPr>
        <w:t xml:space="preserve">基地地坪坡度不大于 </w:t>
      </w:r>
      <w:r>
        <w:rPr>
          <w:sz w:val="21"/>
        </w:rPr>
        <w:t>5</w:t>
      </w:r>
      <w:r>
        <w:rPr>
          <w:spacing w:val="-3"/>
          <w:sz w:val="21"/>
        </w:rPr>
        <w:t xml:space="preserve">%的绿地均应满足无障碍要求；地坪坡度大于 </w:t>
      </w:r>
      <w:r>
        <w:rPr>
          <w:sz w:val="21"/>
        </w:rPr>
        <w:t>5</w:t>
      </w:r>
      <w:r>
        <w:rPr>
          <w:spacing w:val="-6"/>
          <w:sz w:val="21"/>
        </w:rPr>
        <w:t xml:space="preserve">%时，应至少设置 </w:t>
      </w:r>
      <w:r>
        <w:rPr>
          <w:sz w:val="21"/>
        </w:rPr>
        <w:t>1</w:t>
      </w:r>
      <w:r>
        <w:rPr>
          <w:spacing w:val="-12"/>
          <w:sz w:val="21"/>
        </w:rPr>
        <w:t xml:space="preserve"> 个满足</w:t>
      </w:r>
      <w:r>
        <w:rPr>
          <w:spacing w:val="-10"/>
          <w:w w:val="95"/>
          <w:sz w:val="21"/>
        </w:rPr>
        <w:t xml:space="preserve">无障碍要求的绿地；满足无障碍要求的绿地，宜靠近设有无障碍住房和宿舍的居住建筑设置，并通过无障   </w:t>
      </w:r>
      <w:r>
        <w:rPr>
          <w:spacing w:val="-10"/>
          <w:sz w:val="21"/>
        </w:rPr>
        <w:t>碍通道到达；</w:t>
      </w:r>
    </w:p>
    <w:p>
      <w:pPr>
        <w:pStyle w:val="12"/>
        <w:numPr>
          <w:ilvl w:val="3"/>
          <w:numId w:val="95"/>
        </w:numPr>
        <w:tabs>
          <w:tab w:val="left" w:pos="1053"/>
        </w:tabs>
        <w:spacing w:before="0" w:after="0" w:line="269" w:lineRule="exact"/>
        <w:ind w:left="1052" w:right="0" w:hanging="418"/>
        <w:jc w:val="both"/>
        <w:rPr>
          <w:sz w:val="21"/>
        </w:rPr>
      </w:pPr>
      <w:r>
        <w:rPr>
          <w:spacing w:val="-3"/>
          <w:sz w:val="21"/>
        </w:rPr>
        <w:t xml:space="preserve">主要出入口应设置为无障碍出入口；有 </w:t>
      </w:r>
      <w:r>
        <w:rPr>
          <w:sz w:val="21"/>
        </w:rPr>
        <w:t>3</w:t>
      </w:r>
      <w:r>
        <w:rPr>
          <w:spacing w:val="-11"/>
          <w:sz w:val="21"/>
        </w:rPr>
        <w:t xml:space="preserve"> 个以上出入口时，无障碍出入口不应少于 </w:t>
      </w:r>
      <w:r>
        <w:rPr>
          <w:sz w:val="21"/>
        </w:rPr>
        <w:t>2</w:t>
      </w:r>
      <w:r>
        <w:rPr>
          <w:spacing w:val="-18"/>
          <w:sz w:val="21"/>
        </w:rPr>
        <w:t xml:space="preserve"> 个；</w:t>
      </w:r>
    </w:p>
    <w:p>
      <w:pPr>
        <w:pStyle w:val="5"/>
        <w:spacing w:before="6"/>
        <w:rPr>
          <w:sz w:val="15"/>
        </w:rPr>
      </w:pPr>
    </w:p>
    <w:p>
      <w:pPr>
        <w:pStyle w:val="12"/>
        <w:numPr>
          <w:ilvl w:val="3"/>
          <w:numId w:val="95"/>
        </w:numPr>
        <w:tabs>
          <w:tab w:val="left" w:pos="1053"/>
        </w:tabs>
        <w:spacing w:before="1" w:after="0" w:line="417" w:lineRule="auto"/>
        <w:ind w:left="212" w:right="288" w:firstLine="422"/>
        <w:jc w:val="both"/>
        <w:rPr>
          <w:sz w:val="21"/>
        </w:rPr>
      </w:pPr>
      <w:r>
        <w:rPr>
          <w:spacing w:val="-3"/>
          <w:sz w:val="21"/>
        </w:rPr>
        <w:t xml:space="preserve">绿地内主要活动场地与相接的地面或路面不宜设置高差。当存在高差且高差小于 </w:t>
      </w:r>
      <w:r>
        <w:rPr>
          <w:sz w:val="21"/>
        </w:rPr>
        <w:t>300</w:t>
      </w:r>
      <w:r>
        <w:rPr>
          <w:rFonts w:hint="eastAsia" w:ascii="仿宋" w:eastAsia="仿宋"/>
          <w:sz w:val="21"/>
        </w:rPr>
        <w:t>mm</w:t>
      </w:r>
      <w:r>
        <w:rPr>
          <w:rFonts w:hint="eastAsia" w:ascii="仿宋" w:eastAsia="仿宋"/>
          <w:spacing w:val="-60"/>
          <w:sz w:val="21"/>
        </w:rPr>
        <w:t xml:space="preserve"> </w:t>
      </w:r>
      <w:r>
        <w:rPr>
          <w:spacing w:val="-3"/>
          <w:sz w:val="21"/>
        </w:rPr>
        <w:t>时，所有</w:t>
      </w:r>
      <w:r>
        <w:rPr>
          <w:spacing w:val="-6"/>
          <w:sz w:val="21"/>
        </w:rPr>
        <w:t xml:space="preserve">出入口均应为无障碍出入口；高差大于 </w:t>
      </w:r>
      <w:r>
        <w:rPr>
          <w:sz w:val="21"/>
        </w:rPr>
        <w:t>300</w:t>
      </w:r>
      <w:r>
        <w:rPr>
          <w:rFonts w:hint="eastAsia" w:ascii="仿宋" w:eastAsia="仿宋"/>
          <w:sz w:val="21"/>
        </w:rPr>
        <w:t>mm</w:t>
      </w:r>
      <w:r>
        <w:rPr>
          <w:rFonts w:hint="eastAsia" w:ascii="仿宋" w:eastAsia="仿宋"/>
          <w:spacing w:val="-58"/>
          <w:sz w:val="21"/>
        </w:rPr>
        <w:t xml:space="preserve"> </w:t>
      </w:r>
      <w:r>
        <w:rPr>
          <w:spacing w:val="-7"/>
          <w:sz w:val="21"/>
        </w:rPr>
        <w:t xml:space="preserve">时，当出入口少于 </w:t>
      </w:r>
      <w:r>
        <w:rPr>
          <w:sz w:val="21"/>
        </w:rPr>
        <w:t>3</w:t>
      </w:r>
      <w:r>
        <w:rPr>
          <w:spacing w:val="-8"/>
          <w:sz w:val="21"/>
        </w:rPr>
        <w:t xml:space="preserve"> 个，所有出入口均应为无障碍出入口， </w:t>
      </w:r>
      <w:r>
        <w:rPr>
          <w:spacing w:val="-16"/>
          <w:sz w:val="21"/>
        </w:rPr>
        <w:t xml:space="preserve">当出入口为 </w:t>
      </w:r>
      <w:r>
        <w:rPr>
          <w:sz w:val="21"/>
        </w:rPr>
        <w:t>3</w:t>
      </w:r>
      <w:r>
        <w:rPr>
          <w:spacing w:val="-12"/>
          <w:sz w:val="21"/>
        </w:rPr>
        <w:t xml:space="preserve"> 个及以上时，应至少设置 </w:t>
      </w:r>
      <w:r>
        <w:rPr>
          <w:sz w:val="21"/>
        </w:rPr>
        <w:t>2</w:t>
      </w:r>
      <w:r>
        <w:rPr>
          <w:spacing w:val="-8"/>
          <w:sz w:val="21"/>
        </w:rPr>
        <w:t xml:space="preserve"> 个无障碍出入口；</w:t>
      </w:r>
    </w:p>
    <w:p>
      <w:pPr>
        <w:spacing w:after="0" w:line="417" w:lineRule="auto"/>
        <w:jc w:val="both"/>
        <w:rPr>
          <w:sz w:val="21"/>
        </w:rPr>
        <w:sectPr>
          <w:pgSz w:w="11910" w:h="16840"/>
          <w:pgMar w:top="1580" w:right="820" w:bottom="1280" w:left="920" w:header="0" w:footer="1095" w:gutter="0"/>
          <w:cols w:space="720" w:num="1"/>
        </w:sectPr>
      </w:pPr>
    </w:p>
    <w:p>
      <w:pPr>
        <w:pStyle w:val="12"/>
        <w:numPr>
          <w:ilvl w:val="3"/>
          <w:numId w:val="95"/>
        </w:numPr>
        <w:tabs>
          <w:tab w:val="left" w:pos="1052"/>
          <w:tab w:val="left" w:pos="1053"/>
        </w:tabs>
        <w:spacing w:before="60" w:after="0" w:line="240" w:lineRule="auto"/>
        <w:ind w:left="1052" w:right="0" w:hanging="418"/>
        <w:jc w:val="left"/>
        <w:rPr>
          <w:sz w:val="21"/>
        </w:rPr>
      </w:pPr>
      <w:r>
        <w:rPr>
          <w:sz w:val="21"/>
        </w:rPr>
        <w:t>组团绿地、开放式宅间绿地、儿童游乐场、健身运动场出入口应设提示盲道；</w:t>
      </w:r>
    </w:p>
    <w:p>
      <w:pPr>
        <w:pStyle w:val="5"/>
        <w:spacing w:before="6"/>
        <w:rPr>
          <w:sz w:val="15"/>
        </w:rPr>
      </w:pPr>
    </w:p>
    <w:p>
      <w:pPr>
        <w:pStyle w:val="12"/>
        <w:numPr>
          <w:ilvl w:val="3"/>
          <w:numId w:val="95"/>
        </w:numPr>
        <w:tabs>
          <w:tab w:val="left" w:pos="1052"/>
          <w:tab w:val="left" w:pos="1053"/>
        </w:tabs>
        <w:spacing w:before="1" w:after="0" w:line="240" w:lineRule="auto"/>
        <w:ind w:left="1052" w:right="0" w:hanging="418"/>
        <w:jc w:val="left"/>
        <w:rPr>
          <w:sz w:val="21"/>
        </w:rPr>
      </w:pPr>
      <w:r>
        <w:rPr>
          <w:spacing w:val="-3"/>
          <w:sz w:val="21"/>
        </w:rPr>
        <w:t xml:space="preserve">绿地内游步道应为无障碍通道，轮椅园路纵坡不应大于 </w:t>
      </w:r>
      <w:r>
        <w:rPr>
          <w:sz w:val="21"/>
        </w:rPr>
        <w:t>4</w:t>
      </w:r>
      <w:r>
        <w:rPr>
          <w:spacing w:val="-5"/>
          <w:sz w:val="21"/>
        </w:rPr>
        <w:t xml:space="preserve">%；轮椅专用道不应大于 </w:t>
      </w:r>
      <w:r>
        <w:rPr>
          <w:sz w:val="21"/>
        </w:rPr>
        <w:t>8%；</w:t>
      </w:r>
    </w:p>
    <w:p>
      <w:pPr>
        <w:pStyle w:val="5"/>
        <w:spacing w:before="6"/>
        <w:rPr>
          <w:sz w:val="15"/>
        </w:rPr>
      </w:pPr>
    </w:p>
    <w:p>
      <w:pPr>
        <w:pStyle w:val="12"/>
        <w:numPr>
          <w:ilvl w:val="3"/>
          <w:numId w:val="95"/>
        </w:numPr>
        <w:tabs>
          <w:tab w:val="left" w:pos="1052"/>
          <w:tab w:val="left" w:pos="1053"/>
        </w:tabs>
        <w:spacing w:before="0" w:after="0" w:line="417" w:lineRule="auto"/>
        <w:ind w:left="212" w:right="310" w:firstLine="422"/>
        <w:jc w:val="left"/>
        <w:rPr>
          <w:sz w:val="21"/>
        </w:rPr>
      </w:pPr>
      <w:r>
        <w:rPr>
          <w:spacing w:val="-5"/>
          <w:sz w:val="21"/>
        </w:rPr>
        <w:t xml:space="preserve">绿地内的游步道及园林建筑、园林小品如亭、廊、花架等休憩设施不宜设置高于 </w:t>
      </w:r>
      <w:r>
        <w:rPr>
          <w:sz w:val="21"/>
        </w:rPr>
        <w:t>450</w:t>
      </w:r>
      <w:r>
        <w:rPr>
          <w:rFonts w:hint="eastAsia" w:ascii="仿宋" w:eastAsia="仿宋"/>
          <w:sz w:val="21"/>
        </w:rPr>
        <w:t>mm</w:t>
      </w:r>
      <w:r>
        <w:rPr>
          <w:rFonts w:hint="eastAsia" w:ascii="仿宋" w:eastAsia="仿宋"/>
          <w:spacing w:val="-63"/>
          <w:sz w:val="21"/>
        </w:rPr>
        <w:t xml:space="preserve"> </w:t>
      </w:r>
      <w:r>
        <w:rPr>
          <w:sz w:val="21"/>
        </w:rPr>
        <w:t>的台明或台阶；必须设置时，应同时设置轮椅坡道并在休憩设施入口处应设置提示盲道；</w:t>
      </w:r>
    </w:p>
    <w:p>
      <w:pPr>
        <w:pStyle w:val="12"/>
        <w:numPr>
          <w:ilvl w:val="3"/>
          <w:numId w:val="95"/>
        </w:numPr>
        <w:tabs>
          <w:tab w:val="left" w:pos="1052"/>
          <w:tab w:val="left" w:pos="1053"/>
        </w:tabs>
        <w:spacing w:before="0" w:after="0" w:line="269" w:lineRule="exact"/>
        <w:ind w:left="1052" w:right="0" w:hanging="418"/>
        <w:jc w:val="left"/>
        <w:rPr>
          <w:sz w:val="21"/>
        </w:rPr>
      </w:pPr>
      <w:r>
        <w:rPr>
          <w:w w:val="95"/>
          <w:sz w:val="21"/>
        </w:rPr>
        <w:t>绿地及广场设置休息座椅时，应留有轮椅停留空间；</w:t>
      </w:r>
    </w:p>
    <w:p>
      <w:pPr>
        <w:pStyle w:val="5"/>
        <w:spacing w:before="7"/>
        <w:rPr>
          <w:sz w:val="15"/>
        </w:rPr>
      </w:pPr>
    </w:p>
    <w:p>
      <w:pPr>
        <w:pStyle w:val="12"/>
        <w:numPr>
          <w:ilvl w:val="3"/>
          <w:numId w:val="95"/>
        </w:numPr>
        <w:tabs>
          <w:tab w:val="left" w:pos="1052"/>
          <w:tab w:val="left" w:pos="1053"/>
        </w:tabs>
        <w:spacing w:before="0" w:after="0" w:line="417" w:lineRule="auto"/>
        <w:ind w:left="212" w:right="312" w:firstLine="422"/>
        <w:jc w:val="left"/>
        <w:rPr>
          <w:sz w:val="21"/>
        </w:rPr>
      </w:pPr>
      <w:r>
        <w:rPr>
          <w:spacing w:val="-2"/>
          <w:sz w:val="21"/>
        </w:rPr>
        <w:t xml:space="preserve">林下铺装的活动场地，以种植乔木为主，林下净空不得低于 </w:t>
      </w:r>
      <w:r>
        <w:rPr>
          <w:sz w:val="21"/>
        </w:rPr>
        <w:t>2.20</w:t>
      </w:r>
      <w:r>
        <w:rPr>
          <w:rFonts w:hint="eastAsia" w:ascii="仿宋" w:eastAsia="仿宋"/>
          <w:sz w:val="21"/>
        </w:rPr>
        <w:t>m</w:t>
      </w:r>
      <w:r>
        <w:rPr>
          <w:sz w:val="21"/>
        </w:rPr>
        <w:t>；儿童活动场地周围不宜种植遮挡视线的树木，宜保持较好的可通视性，且不宜选用硬质叶片的丛生植物。</w:t>
      </w:r>
    </w:p>
    <w:p>
      <w:pPr>
        <w:pStyle w:val="12"/>
        <w:numPr>
          <w:ilvl w:val="2"/>
          <w:numId w:val="95"/>
        </w:numPr>
        <w:tabs>
          <w:tab w:val="left" w:pos="1052"/>
          <w:tab w:val="left" w:pos="1053"/>
        </w:tabs>
        <w:spacing w:before="0" w:after="0" w:line="417" w:lineRule="auto"/>
        <w:ind w:left="212" w:right="310" w:firstLine="0"/>
        <w:jc w:val="left"/>
        <w:rPr>
          <w:sz w:val="21"/>
        </w:rPr>
      </w:pPr>
      <w:bookmarkStart w:id="429" w:name="8.2.4居住建筑基地内配套公共设施可包括居委会、卫生站、健身房、物业管理、会所"/>
      <w:bookmarkEnd w:id="429"/>
      <w:bookmarkStart w:id="430" w:name="8.2.4居住建筑基地内配套公共设施可包括居委会、卫生站、健身房、物业管理、会所"/>
      <w:bookmarkEnd w:id="430"/>
      <w:r>
        <w:rPr>
          <w:spacing w:val="-4"/>
          <w:w w:val="95"/>
          <w:sz w:val="21"/>
        </w:rPr>
        <w:t xml:space="preserve">居住建筑基地内配套公共设施可包括居委会、卫生站、健身房、物业管理、会所、社区中心、商   </w:t>
      </w:r>
      <w:r>
        <w:rPr>
          <w:spacing w:val="-4"/>
          <w:sz w:val="21"/>
        </w:rPr>
        <w:t>业等为居民服务的建筑及供居民使用的公共卫生间、停车场和车库，其无障碍设计应符合下列规定：</w:t>
      </w:r>
    </w:p>
    <w:p>
      <w:pPr>
        <w:pStyle w:val="12"/>
        <w:numPr>
          <w:ilvl w:val="0"/>
          <w:numId w:val="96"/>
        </w:numPr>
        <w:tabs>
          <w:tab w:val="left" w:pos="1052"/>
          <w:tab w:val="left" w:pos="1053"/>
        </w:tabs>
        <w:spacing w:before="0" w:after="0" w:line="269" w:lineRule="exact"/>
        <w:ind w:left="1052" w:right="0" w:hanging="416"/>
        <w:jc w:val="left"/>
        <w:rPr>
          <w:sz w:val="21"/>
        </w:rPr>
      </w:pPr>
      <w:r>
        <w:rPr>
          <w:sz w:val="21"/>
        </w:rPr>
        <w:t>为居民服务的建筑应设置无障碍出入口；</w:t>
      </w:r>
    </w:p>
    <w:p>
      <w:pPr>
        <w:pStyle w:val="5"/>
        <w:spacing w:before="6"/>
        <w:rPr>
          <w:sz w:val="15"/>
        </w:rPr>
      </w:pPr>
    </w:p>
    <w:p>
      <w:pPr>
        <w:pStyle w:val="12"/>
        <w:numPr>
          <w:ilvl w:val="0"/>
          <w:numId w:val="96"/>
        </w:numPr>
        <w:tabs>
          <w:tab w:val="left" w:pos="1052"/>
          <w:tab w:val="left" w:pos="1053"/>
        </w:tabs>
        <w:spacing w:before="1" w:after="0" w:line="240" w:lineRule="auto"/>
        <w:ind w:left="1052" w:right="0" w:hanging="416"/>
        <w:jc w:val="left"/>
        <w:rPr>
          <w:sz w:val="21"/>
        </w:rPr>
      </w:pPr>
      <w:r>
        <w:rPr>
          <w:spacing w:val="-5"/>
          <w:sz w:val="21"/>
        </w:rPr>
        <w:t xml:space="preserve">设有电梯的建筑应至少设置 </w:t>
      </w:r>
      <w:r>
        <w:rPr>
          <w:sz w:val="21"/>
        </w:rPr>
        <w:t>1</w:t>
      </w:r>
      <w:r>
        <w:rPr>
          <w:spacing w:val="-16"/>
          <w:sz w:val="21"/>
        </w:rPr>
        <w:t xml:space="preserve"> 部无障碍电梯；未设有电梯的多层建筑应至少设置 </w:t>
      </w:r>
      <w:r>
        <w:rPr>
          <w:sz w:val="21"/>
        </w:rPr>
        <w:t>1</w:t>
      </w:r>
      <w:r>
        <w:rPr>
          <w:spacing w:val="-8"/>
          <w:sz w:val="21"/>
        </w:rPr>
        <w:t xml:space="preserve"> 部无障碍楼梯；</w:t>
      </w:r>
    </w:p>
    <w:p>
      <w:pPr>
        <w:pStyle w:val="5"/>
        <w:spacing w:before="6"/>
        <w:rPr>
          <w:sz w:val="15"/>
        </w:rPr>
      </w:pPr>
    </w:p>
    <w:p>
      <w:pPr>
        <w:pStyle w:val="12"/>
        <w:numPr>
          <w:ilvl w:val="0"/>
          <w:numId w:val="96"/>
        </w:numPr>
        <w:tabs>
          <w:tab w:val="left" w:pos="1052"/>
          <w:tab w:val="left" w:pos="1053"/>
        </w:tabs>
        <w:spacing w:before="0" w:after="0" w:line="240" w:lineRule="auto"/>
        <w:ind w:left="1052" w:right="0" w:hanging="416"/>
        <w:jc w:val="left"/>
        <w:rPr>
          <w:sz w:val="21"/>
        </w:rPr>
      </w:pPr>
      <w:r>
        <w:rPr>
          <w:spacing w:val="-3"/>
          <w:sz w:val="21"/>
        </w:rPr>
        <w:t xml:space="preserve">供居民使用的公共卫生间应符合本标准第 </w:t>
      </w:r>
      <w:r>
        <w:rPr>
          <w:sz w:val="21"/>
        </w:rPr>
        <w:t>8.5.8</w:t>
      </w:r>
      <w:r>
        <w:rPr>
          <w:spacing w:val="-9"/>
          <w:sz w:val="21"/>
        </w:rPr>
        <w:t xml:space="preserve"> 条有关规定；</w:t>
      </w:r>
    </w:p>
    <w:p>
      <w:pPr>
        <w:pStyle w:val="5"/>
        <w:spacing w:before="7"/>
        <w:rPr>
          <w:sz w:val="15"/>
        </w:rPr>
      </w:pPr>
    </w:p>
    <w:p>
      <w:pPr>
        <w:pStyle w:val="12"/>
        <w:numPr>
          <w:ilvl w:val="0"/>
          <w:numId w:val="96"/>
        </w:numPr>
        <w:tabs>
          <w:tab w:val="left" w:pos="1052"/>
          <w:tab w:val="left" w:pos="1053"/>
        </w:tabs>
        <w:spacing w:before="0" w:after="0" w:line="417" w:lineRule="auto"/>
        <w:ind w:left="212" w:right="310" w:firstLine="424"/>
        <w:jc w:val="left"/>
        <w:rPr>
          <w:sz w:val="21"/>
        </w:rPr>
      </w:pPr>
      <w:r>
        <w:rPr>
          <w:spacing w:val="-4"/>
          <w:sz w:val="21"/>
        </w:rPr>
        <w:t xml:space="preserve">停车场和车库应设置不小于总停车数 </w:t>
      </w:r>
      <w:r>
        <w:rPr>
          <w:sz w:val="21"/>
        </w:rPr>
        <w:t>2</w:t>
      </w:r>
      <w:r>
        <w:rPr>
          <w:spacing w:val="-10"/>
          <w:sz w:val="21"/>
        </w:rPr>
        <w:t xml:space="preserve">%的无障碍机动车停车位，比例不足 </w:t>
      </w:r>
      <w:r>
        <w:rPr>
          <w:sz w:val="21"/>
        </w:rPr>
        <w:t>1</w:t>
      </w:r>
      <w:r>
        <w:rPr>
          <w:spacing w:val="-8"/>
          <w:sz w:val="21"/>
        </w:rPr>
        <w:t xml:space="preserve"> 个停车位的至少设置1</w:t>
      </w:r>
      <w:r>
        <w:rPr>
          <w:spacing w:val="-10"/>
          <w:sz w:val="21"/>
        </w:rPr>
        <w:t xml:space="preserve"> 个无障碍机动车停车位；若设有多个停车场，宜每处设置不少于 </w:t>
      </w:r>
      <w:r>
        <w:rPr>
          <w:sz w:val="21"/>
        </w:rPr>
        <w:t>1</w:t>
      </w:r>
      <w:r>
        <w:rPr>
          <w:spacing w:val="-8"/>
          <w:sz w:val="21"/>
        </w:rPr>
        <w:t xml:space="preserve"> 个无障碍机动车停车位；</w:t>
      </w:r>
    </w:p>
    <w:p>
      <w:pPr>
        <w:pStyle w:val="12"/>
        <w:numPr>
          <w:ilvl w:val="0"/>
          <w:numId w:val="96"/>
        </w:numPr>
        <w:tabs>
          <w:tab w:val="left" w:pos="1052"/>
          <w:tab w:val="left" w:pos="1053"/>
        </w:tabs>
        <w:spacing w:before="0" w:after="0" w:line="269" w:lineRule="exact"/>
        <w:ind w:left="1052" w:right="0" w:hanging="416"/>
        <w:jc w:val="left"/>
        <w:rPr>
          <w:sz w:val="21"/>
        </w:rPr>
      </w:pPr>
      <w:r>
        <w:rPr>
          <w:spacing w:val="-5"/>
          <w:w w:val="95"/>
          <w:sz w:val="21"/>
        </w:rPr>
        <w:t>地面停车场的无障碍机动车停车位宜靠近停车场出入口设置；有条件时，宜靠近住宅出入口设置；</w:t>
      </w:r>
    </w:p>
    <w:p>
      <w:pPr>
        <w:pStyle w:val="5"/>
        <w:spacing w:before="7"/>
        <w:rPr>
          <w:sz w:val="15"/>
        </w:rPr>
      </w:pPr>
    </w:p>
    <w:p>
      <w:pPr>
        <w:pStyle w:val="12"/>
        <w:numPr>
          <w:ilvl w:val="0"/>
          <w:numId w:val="96"/>
        </w:numPr>
        <w:tabs>
          <w:tab w:val="left" w:pos="1052"/>
          <w:tab w:val="left" w:pos="1053"/>
        </w:tabs>
        <w:spacing w:before="0" w:after="0" w:line="417" w:lineRule="auto"/>
        <w:ind w:left="212" w:right="312" w:firstLine="424"/>
        <w:jc w:val="left"/>
        <w:rPr>
          <w:sz w:val="21"/>
        </w:rPr>
      </w:pPr>
      <w:r>
        <w:rPr>
          <w:spacing w:val="-2"/>
          <w:w w:val="95"/>
          <w:sz w:val="21"/>
        </w:rPr>
        <w:t xml:space="preserve">车库的人行出入口应为无障碍出入口。设置在非首层的车库应设无障碍通道与无障碍电梯或无障   </w:t>
      </w:r>
      <w:r>
        <w:rPr>
          <w:spacing w:val="-2"/>
          <w:sz w:val="21"/>
        </w:rPr>
        <w:t>碍楼梯连通，直达首层。</w:t>
      </w:r>
    </w:p>
    <w:p>
      <w:pPr>
        <w:pStyle w:val="12"/>
        <w:numPr>
          <w:ilvl w:val="2"/>
          <w:numId w:val="95"/>
        </w:numPr>
        <w:tabs>
          <w:tab w:val="left" w:pos="1052"/>
          <w:tab w:val="left" w:pos="1053"/>
        </w:tabs>
        <w:spacing w:before="0" w:after="0" w:line="269" w:lineRule="exact"/>
        <w:ind w:left="1052" w:right="0" w:hanging="841"/>
        <w:jc w:val="left"/>
        <w:rPr>
          <w:sz w:val="21"/>
        </w:rPr>
      </w:pPr>
      <w:bookmarkStart w:id="431" w:name="8.2.5居住建筑单体的无障碍设计应符合下列规定："/>
      <w:bookmarkEnd w:id="431"/>
      <w:bookmarkStart w:id="432" w:name="8.2.5居住建筑单体的无障碍设计应符合下列规定："/>
      <w:bookmarkEnd w:id="432"/>
      <w:r>
        <w:rPr>
          <w:sz w:val="21"/>
        </w:rPr>
        <w:t>居住建筑单体的无障碍设计应符合下列规定：</w:t>
      </w:r>
    </w:p>
    <w:p>
      <w:pPr>
        <w:pStyle w:val="5"/>
        <w:spacing w:before="6"/>
        <w:rPr>
          <w:sz w:val="15"/>
        </w:rPr>
      </w:pPr>
    </w:p>
    <w:p>
      <w:pPr>
        <w:pStyle w:val="12"/>
        <w:numPr>
          <w:ilvl w:val="0"/>
          <w:numId w:val="97"/>
        </w:numPr>
        <w:tabs>
          <w:tab w:val="left" w:pos="1052"/>
          <w:tab w:val="left" w:pos="1053"/>
        </w:tabs>
        <w:spacing w:before="1" w:after="0" w:line="417" w:lineRule="auto"/>
        <w:ind w:left="212" w:right="312" w:firstLine="424"/>
        <w:jc w:val="left"/>
        <w:rPr>
          <w:sz w:val="21"/>
        </w:rPr>
      </w:pPr>
      <w:r>
        <w:rPr>
          <w:spacing w:val="-5"/>
          <w:sz w:val="21"/>
        </w:rPr>
        <w:t xml:space="preserve">设置电梯的建筑应至少设置 </w:t>
      </w:r>
      <w:r>
        <w:rPr>
          <w:sz w:val="21"/>
        </w:rPr>
        <w:t>1</w:t>
      </w:r>
      <w:r>
        <w:rPr>
          <w:spacing w:val="-10"/>
          <w:sz w:val="21"/>
        </w:rPr>
        <w:t xml:space="preserve"> 处无障碍出入口，通过无障碍通道直达电梯厅；未设置电梯的低层和多层建筑，当设置无障碍住房及宿舍时，应设置无障碍出入口；</w:t>
      </w:r>
    </w:p>
    <w:p>
      <w:pPr>
        <w:pStyle w:val="12"/>
        <w:numPr>
          <w:ilvl w:val="0"/>
          <w:numId w:val="97"/>
        </w:numPr>
        <w:tabs>
          <w:tab w:val="left" w:pos="1052"/>
          <w:tab w:val="left" w:pos="1053"/>
        </w:tabs>
        <w:spacing w:before="0" w:after="0" w:line="269" w:lineRule="exact"/>
        <w:ind w:left="1052" w:right="0" w:hanging="416"/>
        <w:jc w:val="left"/>
        <w:rPr>
          <w:sz w:val="21"/>
        </w:rPr>
      </w:pPr>
      <w:r>
        <w:rPr>
          <w:spacing w:val="-3"/>
          <w:sz w:val="21"/>
        </w:rPr>
        <w:t xml:space="preserve">设置电梯的建筑，每居住单元应至少设置 </w:t>
      </w:r>
      <w:r>
        <w:rPr>
          <w:sz w:val="21"/>
        </w:rPr>
        <w:t>1</w:t>
      </w:r>
      <w:r>
        <w:rPr>
          <w:spacing w:val="-8"/>
          <w:sz w:val="21"/>
        </w:rPr>
        <w:t xml:space="preserve"> 部能直达户门层的无障碍电梯；</w:t>
      </w:r>
    </w:p>
    <w:p>
      <w:pPr>
        <w:pStyle w:val="5"/>
        <w:spacing w:before="6"/>
        <w:rPr>
          <w:sz w:val="15"/>
        </w:rPr>
      </w:pPr>
    </w:p>
    <w:p>
      <w:pPr>
        <w:pStyle w:val="12"/>
        <w:numPr>
          <w:ilvl w:val="0"/>
          <w:numId w:val="97"/>
        </w:numPr>
        <w:tabs>
          <w:tab w:val="left" w:pos="1052"/>
          <w:tab w:val="left" w:pos="1053"/>
        </w:tabs>
        <w:spacing w:before="0" w:after="0" w:line="417" w:lineRule="auto"/>
        <w:ind w:left="212" w:right="292" w:firstLine="424"/>
        <w:jc w:val="left"/>
        <w:rPr>
          <w:sz w:val="21"/>
        </w:rPr>
      </w:pPr>
      <w:r>
        <w:rPr>
          <w:spacing w:val="-14"/>
          <w:sz w:val="21"/>
        </w:rPr>
        <w:t xml:space="preserve">应按每 </w:t>
      </w:r>
      <w:r>
        <w:rPr>
          <w:sz w:val="21"/>
        </w:rPr>
        <w:t>100</w:t>
      </w:r>
      <w:r>
        <w:rPr>
          <w:spacing w:val="-13"/>
          <w:sz w:val="21"/>
        </w:rPr>
        <w:t xml:space="preserve"> 套住房设置不少于 </w:t>
      </w:r>
      <w:r>
        <w:rPr>
          <w:sz w:val="21"/>
        </w:rPr>
        <w:t>2</w:t>
      </w:r>
      <w:r>
        <w:rPr>
          <w:spacing w:val="-8"/>
          <w:sz w:val="21"/>
        </w:rPr>
        <w:t xml:space="preserve"> 套无障碍住房。宿舍建筑中，男女宿舍应分别设置无障碍宿舍， </w:t>
      </w:r>
      <w:r>
        <w:rPr>
          <w:spacing w:val="-30"/>
          <w:sz w:val="21"/>
        </w:rPr>
        <w:t xml:space="preserve">每 </w:t>
      </w:r>
      <w:r>
        <w:rPr>
          <w:sz w:val="21"/>
        </w:rPr>
        <w:t>100</w:t>
      </w:r>
      <w:r>
        <w:rPr>
          <w:spacing w:val="-12"/>
          <w:sz w:val="21"/>
        </w:rPr>
        <w:t xml:space="preserve"> 套宿舍各应设置不少于 </w:t>
      </w:r>
      <w:r>
        <w:rPr>
          <w:sz w:val="21"/>
        </w:rPr>
        <w:t>1</w:t>
      </w:r>
      <w:r>
        <w:rPr>
          <w:spacing w:val="-8"/>
          <w:sz w:val="21"/>
        </w:rPr>
        <w:t xml:space="preserve"> 套无障碍宿舍；</w:t>
      </w:r>
    </w:p>
    <w:p>
      <w:pPr>
        <w:pStyle w:val="12"/>
        <w:numPr>
          <w:ilvl w:val="0"/>
          <w:numId w:val="97"/>
        </w:numPr>
        <w:tabs>
          <w:tab w:val="left" w:pos="1052"/>
          <w:tab w:val="left" w:pos="1053"/>
        </w:tabs>
        <w:spacing w:before="0" w:after="0" w:line="417" w:lineRule="auto"/>
        <w:ind w:left="212" w:right="292" w:firstLine="424"/>
        <w:jc w:val="left"/>
        <w:rPr>
          <w:sz w:val="21"/>
        </w:rPr>
      </w:pPr>
      <w:r>
        <w:rPr>
          <w:w w:val="95"/>
          <w:sz w:val="21"/>
        </w:rPr>
        <w:t xml:space="preserve">无障碍住房及宿舍宜建于首层，并宜靠近无障碍出入口设置；建于二层及以上且未设置电梯时，   </w:t>
      </w:r>
      <w:r>
        <w:rPr>
          <w:sz w:val="21"/>
        </w:rPr>
        <w:t>其公共楼梯应为无障碍楼梯；</w:t>
      </w:r>
    </w:p>
    <w:p>
      <w:pPr>
        <w:pStyle w:val="12"/>
        <w:numPr>
          <w:ilvl w:val="0"/>
          <w:numId w:val="97"/>
        </w:numPr>
        <w:tabs>
          <w:tab w:val="left" w:pos="1052"/>
          <w:tab w:val="left" w:pos="1053"/>
        </w:tabs>
        <w:spacing w:before="0" w:after="0" w:line="417" w:lineRule="auto"/>
        <w:ind w:left="212" w:right="312" w:firstLine="424"/>
        <w:jc w:val="left"/>
        <w:rPr>
          <w:sz w:val="21"/>
        </w:rPr>
      </w:pPr>
      <w:r>
        <w:rPr>
          <w:spacing w:val="-4"/>
          <w:sz w:val="21"/>
        </w:rPr>
        <w:t xml:space="preserve">无障碍宿舍设置在二层以上且宿舍建筑设置电梯时，应设置不少于 </w:t>
      </w:r>
      <w:r>
        <w:rPr>
          <w:sz w:val="21"/>
        </w:rPr>
        <w:t>1</w:t>
      </w:r>
      <w:r>
        <w:rPr>
          <w:spacing w:val="-9"/>
          <w:sz w:val="21"/>
        </w:rPr>
        <w:t xml:space="preserve"> 部无障碍电梯，无障碍电梯应与无障碍宿舍以无障碍通道连接；</w:t>
      </w:r>
    </w:p>
    <w:p>
      <w:pPr>
        <w:pStyle w:val="12"/>
        <w:numPr>
          <w:ilvl w:val="0"/>
          <w:numId w:val="97"/>
        </w:numPr>
        <w:tabs>
          <w:tab w:val="left" w:pos="1052"/>
          <w:tab w:val="left" w:pos="1053"/>
        </w:tabs>
        <w:spacing w:before="0" w:after="0" w:line="417" w:lineRule="auto"/>
        <w:ind w:left="212" w:right="309" w:firstLine="424"/>
        <w:jc w:val="left"/>
        <w:rPr>
          <w:sz w:val="21"/>
        </w:rPr>
      </w:pPr>
      <w:r>
        <w:rPr>
          <w:spacing w:val="-11"/>
          <w:sz w:val="21"/>
        </w:rPr>
        <w:t xml:space="preserve">无障碍宿舍内未设置卫生间时，其所在楼层应至少设置 </w:t>
      </w:r>
      <w:r>
        <w:rPr>
          <w:sz w:val="21"/>
        </w:rPr>
        <w:t>1</w:t>
      </w:r>
      <w:r>
        <w:rPr>
          <w:spacing w:val="-16"/>
          <w:sz w:val="21"/>
        </w:rPr>
        <w:t xml:space="preserve"> 处无障碍卫生间或 </w:t>
      </w:r>
      <w:r>
        <w:rPr>
          <w:sz w:val="21"/>
        </w:rPr>
        <w:t>1</w:t>
      </w:r>
      <w:r>
        <w:rPr>
          <w:spacing w:val="-18"/>
          <w:sz w:val="21"/>
        </w:rPr>
        <w:t xml:space="preserve"> 处符合本标准第 </w:t>
      </w:r>
      <w:r>
        <w:rPr>
          <w:sz w:val="21"/>
        </w:rPr>
        <w:t>4.2 节有关规定的公共卫生间，并宜靠近无障碍宿舍设置。</w:t>
      </w:r>
    </w:p>
    <w:p>
      <w:pPr>
        <w:spacing w:after="0" w:line="417" w:lineRule="auto"/>
        <w:jc w:val="left"/>
        <w:rPr>
          <w:sz w:val="21"/>
        </w:rPr>
        <w:sectPr>
          <w:pgSz w:w="11910" w:h="16840"/>
          <w:pgMar w:top="1580" w:right="820" w:bottom="1280" w:left="920" w:header="0" w:footer="1095" w:gutter="0"/>
          <w:cols w:space="720" w:num="1"/>
        </w:sectPr>
      </w:pPr>
    </w:p>
    <w:p>
      <w:pPr>
        <w:pStyle w:val="12"/>
        <w:numPr>
          <w:ilvl w:val="2"/>
          <w:numId w:val="91"/>
        </w:numPr>
        <w:tabs>
          <w:tab w:val="left" w:pos="4824"/>
        </w:tabs>
        <w:spacing w:before="60" w:after="0" w:line="240" w:lineRule="auto"/>
        <w:ind w:left="4823" w:right="0" w:hanging="421"/>
        <w:jc w:val="left"/>
        <w:rPr>
          <w:rFonts w:hint="eastAsia" w:ascii="黑体" w:eastAsia="黑体"/>
          <w:sz w:val="21"/>
        </w:rPr>
      </w:pPr>
      <w:bookmarkStart w:id="433" w:name="8.3公共建筑"/>
      <w:bookmarkEnd w:id="433"/>
      <w:bookmarkStart w:id="434" w:name="_bookmark24"/>
      <w:bookmarkEnd w:id="434"/>
      <w:bookmarkStart w:id="435" w:name="_bookmark24"/>
      <w:bookmarkEnd w:id="435"/>
      <w:r>
        <w:rPr>
          <w:rFonts w:hint="eastAsia" w:ascii="黑体" w:eastAsia="黑体"/>
          <w:sz w:val="21"/>
        </w:rPr>
        <w:t>公共建筑</w:t>
      </w:r>
    </w:p>
    <w:p>
      <w:pPr>
        <w:pStyle w:val="5"/>
        <w:spacing w:before="6"/>
        <w:rPr>
          <w:rFonts w:ascii="黑体"/>
          <w:sz w:val="15"/>
        </w:rPr>
      </w:pPr>
    </w:p>
    <w:p>
      <w:pPr>
        <w:pStyle w:val="12"/>
        <w:numPr>
          <w:ilvl w:val="2"/>
          <w:numId w:val="98"/>
        </w:numPr>
        <w:tabs>
          <w:tab w:val="left" w:pos="1052"/>
          <w:tab w:val="left" w:pos="1053"/>
        </w:tabs>
        <w:spacing w:before="1" w:after="0" w:line="417" w:lineRule="auto"/>
        <w:ind w:left="212" w:right="292" w:firstLine="0"/>
        <w:jc w:val="left"/>
        <w:rPr>
          <w:sz w:val="21"/>
        </w:rPr>
      </w:pPr>
      <w:bookmarkStart w:id="436" w:name="8.3.1办公建筑、教育建筑、医疗建筑、福利及特殊服务建筑、体育建筑、文化建筑、"/>
      <w:bookmarkEnd w:id="436"/>
      <w:bookmarkStart w:id="437" w:name="8.3.1办公建筑、教育建筑、医疗建筑、福利及特殊服务建筑、体育建筑、文化建筑、"/>
      <w:bookmarkEnd w:id="437"/>
      <w:r>
        <w:rPr>
          <w:w w:val="95"/>
          <w:sz w:val="21"/>
        </w:rPr>
        <w:t xml:space="preserve">办公建筑、教育建筑、医疗建筑、福利及特殊服务建筑、体育建筑、文化建筑、商业服务建筑、   </w:t>
      </w:r>
      <w:r>
        <w:rPr>
          <w:sz w:val="21"/>
        </w:rPr>
        <w:t>交通建筑等公共建筑，应进行无障碍设计。</w:t>
      </w:r>
    </w:p>
    <w:p>
      <w:pPr>
        <w:pStyle w:val="12"/>
        <w:numPr>
          <w:ilvl w:val="2"/>
          <w:numId w:val="98"/>
        </w:numPr>
        <w:tabs>
          <w:tab w:val="left" w:pos="1052"/>
          <w:tab w:val="left" w:pos="1053"/>
        </w:tabs>
        <w:spacing w:before="0" w:after="0" w:line="269" w:lineRule="exact"/>
        <w:ind w:left="1052" w:right="0" w:hanging="841"/>
        <w:jc w:val="left"/>
        <w:rPr>
          <w:sz w:val="21"/>
        </w:rPr>
      </w:pPr>
      <w:bookmarkStart w:id="438" w:name="8.3.2公共建筑基地的无障碍设计应符合下列规定："/>
      <w:bookmarkEnd w:id="438"/>
      <w:bookmarkStart w:id="439" w:name="8.3.2公共建筑基地的无障碍设计应符合下列规定："/>
      <w:bookmarkEnd w:id="439"/>
      <w:r>
        <w:rPr>
          <w:sz w:val="21"/>
        </w:rPr>
        <w:t>公共建筑基地的无障碍设计应符合下列规定：</w:t>
      </w:r>
    </w:p>
    <w:p>
      <w:pPr>
        <w:pStyle w:val="5"/>
        <w:spacing w:before="6"/>
        <w:rPr>
          <w:sz w:val="15"/>
        </w:rPr>
      </w:pPr>
    </w:p>
    <w:p>
      <w:pPr>
        <w:pStyle w:val="12"/>
        <w:numPr>
          <w:ilvl w:val="0"/>
          <w:numId w:val="99"/>
        </w:numPr>
        <w:tabs>
          <w:tab w:val="left" w:pos="1052"/>
          <w:tab w:val="left" w:pos="1053"/>
        </w:tabs>
        <w:spacing w:before="0" w:after="0" w:line="240" w:lineRule="auto"/>
        <w:ind w:left="1052" w:right="0" w:hanging="416"/>
        <w:jc w:val="left"/>
        <w:rPr>
          <w:sz w:val="21"/>
        </w:rPr>
      </w:pPr>
      <w:r>
        <w:rPr>
          <w:sz w:val="21"/>
        </w:rPr>
        <w:t>车行道与人行通道地面存在高差时，在人行通道的道路交叉口应设置缘石坡道；</w:t>
      </w:r>
    </w:p>
    <w:p>
      <w:pPr>
        <w:pStyle w:val="5"/>
        <w:spacing w:before="7"/>
        <w:rPr>
          <w:sz w:val="15"/>
        </w:rPr>
      </w:pPr>
    </w:p>
    <w:p>
      <w:pPr>
        <w:pStyle w:val="12"/>
        <w:numPr>
          <w:ilvl w:val="0"/>
          <w:numId w:val="99"/>
        </w:numPr>
        <w:tabs>
          <w:tab w:val="left" w:pos="1052"/>
          <w:tab w:val="left" w:pos="1053"/>
        </w:tabs>
        <w:spacing w:before="0" w:after="0" w:line="240" w:lineRule="auto"/>
        <w:ind w:left="1052" w:right="0" w:hanging="416"/>
        <w:jc w:val="left"/>
        <w:rPr>
          <w:sz w:val="21"/>
        </w:rPr>
      </w:pPr>
      <w:r>
        <w:rPr>
          <w:sz w:val="21"/>
        </w:rPr>
        <w:t>广场和人行通道的地面应平整、防滑；</w:t>
      </w:r>
    </w:p>
    <w:p>
      <w:pPr>
        <w:pStyle w:val="5"/>
        <w:spacing w:before="7"/>
        <w:rPr>
          <w:sz w:val="15"/>
        </w:rPr>
      </w:pPr>
    </w:p>
    <w:p>
      <w:pPr>
        <w:pStyle w:val="12"/>
        <w:numPr>
          <w:ilvl w:val="0"/>
          <w:numId w:val="99"/>
        </w:numPr>
        <w:tabs>
          <w:tab w:val="left" w:pos="1052"/>
          <w:tab w:val="left" w:pos="1053"/>
        </w:tabs>
        <w:spacing w:before="0" w:after="0" w:line="240" w:lineRule="auto"/>
        <w:ind w:left="1052" w:right="0" w:hanging="416"/>
        <w:jc w:val="left"/>
        <w:rPr>
          <w:sz w:val="21"/>
        </w:rPr>
      </w:pPr>
      <w:r>
        <w:rPr>
          <w:sz w:val="21"/>
        </w:rPr>
        <w:t>主要人行通道存在高差或台阶时，应设置轮椅坡道或无障碍电梯。</w:t>
      </w:r>
    </w:p>
    <w:p>
      <w:pPr>
        <w:pStyle w:val="5"/>
        <w:spacing w:before="6"/>
        <w:rPr>
          <w:sz w:val="15"/>
        </w:rPr>
      </w:pPr>
    </w:p>
    <w:p>
      <w:pPr>
        <w:pStyle w:val="12"/>
        <w:numPr>
          <w:ilvl w:val="2"/>
          <w:numId w:val="98"/>
        </w:numPr>
        <w:tabs>
          <w:tab w:val="left" w:pos="1052"/>
          <w:tab w:val="left" w:pos="1053"/>
        </w:tabs>
        <w:spacing w:before="1" w:after="0" w:line="240" w:lineRule="auto"/>
        <w:ind w:left="1052" w:right="0" w:hanging="841"/>
        <w:jc w:val="left"/>
        <w:rPr>
          <w:sz w:val="21"/>
        </w:rPr>
      </w:pPr>
      <w:bookmarkStart w:id="440" w:name="8.3.3建筑基地内配建停车场时，其无障碍机动车停车位应符合下列规定："/>
      <w:bookmarkEnd w:id="440"/>
      <w:bookmarkStart w:id="441" w:name="8.3.3建筑基地内配建停车场时，其无障碍机动车停车位应符合下列规定："/>
      <w:bookmarkEnd w:id="441"/>
      <w:r>
        <w:rPr>
          <w:sz w:val="21"/>
        </w:rPr>
        <w:t>建筑基地内配建停车场时，其无障碍机动车停车位应符合下列规定：</w:t>
      </w:r>
    </w:p>
    <w:p>
      <w:pPr>
        <w:pStyle w:val="5"/>
        <w:spacing w:before="6"/>
        <w:rPr>
          <w:sz w:val="15"/>
        </w:rPr>
      </w:pPr>
    </w:p>
    <w:p>
      <w:pPr>
        <w:pStyle w:val="12"/>
        <w:numPr>
          <w:ilvl w:val="3"/>
          <w:numId w:val="98"/>
        </w:numPr>
        <w:tabs>
          <w:tab w:val="left" w:pos="1052"/>
          <w:tab w:val="left" w:pos="1053"/>
        </w:tabs>
        <w:spacing w:before="0" w:after="0" w:line="417" w:lineRule="auto"/>
        <w:ind w:left="212" w:right="310" w:firstLine="424"/>
        <w:jc w:val="left"/>
        <w:rPr>
          <w:sz w:val="21"/>
        </w:rPr>
      </w:pPr>
      <w:r>
        <w:rPr>
          <w:spacing w:val="-5"/>
          <w:sz w:val="21"/>
        </w:rPr>
        <w:t xml:space="preserve">应设置不小于总停车数 </w:t>
      </w:r>
      <w:r>
        <w:rPr>
          <w:sz w:val="21"/>
        </w:rPr>
        <w:t>2</w:t>
      </w:r>
      <w:r>
        <w:rPr>
          <w:spacing w:val="-10"/>
          <w:sz w:val="21"/>
        </w:rPr>
        <w:t xml:space="preserve">%的无障碍机动车停车位，比例不足 </w:t>
      </w:r>
      <w:r>
        <w:rPr>
          <w:sz w:val="21"/>
        </w:rPr>
        <w:t>1</w:t>
      </w:r>
      <w:r>
        <w:rPr>
          <w:spacing w:val="-13"/>
          <w:sz w:val="21"/>
        </w:rPr>
        <w:t xml:space="preserve"> 个停车位的至少设置 </w:t>
      </w:r>
      <w:r>
        <w:rPr>
          <w:sz w:val="21"/>
        </w:rPr>
        <w:t>1</w:t>
      </w:r>
      <w:r>
        <w:rPr>
          <w:spacing w:val="-10"/>
          <w:sz w:val="21"/>
        </w:rPr>
        <w:t xml:space="preserve"> 个无障碍机动车停车位；</w:t>
      </w:r>
    </w:p>
    <w:p>
      <w:pPr>
        <w:pStyle w:val="12"/>
        <w:numPr>
          <w:ilvl w:val="3"/>
          <w:numId w:val="98"/>
        </w:numPr>
        <w:tabs>
          <w:tab w:val="left" w:pos="1052"/>
          <w:tab w:val="left" w:pos="1053"/>
        </w:tabs>
        <w:spacing w:before="0" w:after="0" w:line="269" w:lineRule="exact"/>
        <w:ind w:left="1052" w:right="0" w:hanging="416"/>
        <w:jc w:val="left"/>
        <w:rPr>
          <w:sz w:val="21"/>
        </w:rPr>
      </w:pPr>
      <w:r>
        <w:rPr>
          <w:spacing w:val="-3"/>
          <w:sz w:val="21"/>
        </w:rPr>
        <w:t xml:space="preserve">配建充电设施的无障碍机动车停车位亦应符合本条第 </w:t>
      </w:r>
      <w:r>
        <w:rPr>
          <w:sz w:val="21"/>
        </w:rPr>
        <w:t>1</w:t>
      </w:r>
      <w:r>
        <w:rPr>
          <w:spacing w:val="-9"/>
          <w:sz w:val="21"/>
        </w:rPr>
        <w:t xml:space="preserve"> 款有关规定。</w:t>
      </w:r>
    </w:p>
    <w:p>
      <w:pPr>
        <w:pStyle w:val="5"/>
        <w:spacing w:before="7"/>
        <w:rPr>
          <w:sz w:val="15"/>
        </w:rPr>
      </w:pPr>
    </w:p>
    <w:p>
      <w:pPr>
        <w:pStyle w:val="12"/>
        <w:numPr>
          <w:ilvl w:val="2"/>
          <w:numId w:val="98"/>
        </w:numPr>
        <w:tabs>
          <w:tab w:val="left" w:pos="1052"/>
          <w:tab w:val="left" w:pos="1053"/>
        </w:tabs>
        <w:spacing w:before="0" w:after="0" w:line="240" w:lineRule="auto"/>
        <w:ind w:left="1052" w:right="0" w:hanging="841"/>
        <w:jc w:val="left"/>
        <w:rPr>
          <w:sz w:val="21"/>
        </w:rPr>
      </w:pPr>
      <w:bookmarkStart w:id="442" w:name="8.3.4公共建筑单体的无障碍设计应符合下列规定："/>
      <w:bookmarkEnd w:id="442"/>
      <w:bookmarkStart w:id="443" w:name="8.3.4公共建筑单体的无障碍设计应符合下列规定："/>
      <w:bookmarkEnd w:id="443"/>
      <w:r>
        <w:rPr>
          <w:sz w:val="21"/>
        </w:rPr>
        <w:t>公共建筑单体的无障碍设计应符合下列规定：</w:t>
      </w:r>
    </w:p>
    <w:p>
      <w:pPr>
        <w:pStyle w:val="5"/>
        <w:spacing w:before="7"/>
        <w:rPr>
          <w:sz w:val="15"/>
        </w:rPr>
      </w:pPr>
    </w:p>
    <w:p>
      <w:pPr>
        <w:pStyle w:val="12"/>
        <w:numPr>
          <w:ilvl w:val="0"/>
          <w:numId w:val="100"/>
        </w:numPr>
        <w:tabs>
          <w:tab w:val="left" w:pos="1052"/>
          <w:tab w:val="left" w:pos="1053"/>
        </w:tabs>
        <w:spacing w:before="0" w:after="0" w:line="240" w:lineRule="auto"/>
        <w:ind w:left="1052" w:right="0" w:hanging="416"/>
        <w:jc w:val="left"/>
        <w:rPr>
          <w:sz w:val="21"/>
        </w:rPr>
      </w:pPr>
      <w:r>
        <w:rPr>
          <w:spacing w:val="-4"/>
          <w:sz w:val="21"/>
        </w:rPr>
        <w:t xml:space="preserve">主要出入口宜设置坡度不小于 </w:t>
      </w:r>
      <w:r>
        <w:rPr>
          <w:sz w:val="21"/>
        </w:rPr>
        <w:t>1：30</w:t>
      </w:r>
      <w:r>
        <w:rPr>
          <w:spacing w:val="-8"/>
          <w:sz w:val="21"/>
        </w:rPr>
        <w:t xml:space="preserve"> 的平坡出入口；</w:t>
      </w:r>
    </w:p>
    <w:p>
      <w:pPr>
        <w:pStyle w:val="5"/>
        <w:spacing w:before="6"/>
        <w:rPr>
          <w:sz w:val="15"/>
        </w:rPr>
      </w:pPr>
    </w:p>
    <w:p>
      <w:pPr>
        <w:pStyle w:val="12"/>
        <w:numPr>
          <w:ilvl w:val="0"/>
          <w:numId w:val="100"/>
        </w:numPr>
        <w:tabs>
          <w:tab w:val="left" w:pos="1052"/>
          <w:tab w:val="left" w:pos="1053"/>
        </w:tabs>
        <w:spacing w:before="1" w:after="0" w:line="240" w:lineRule="auto"/>
        <w:ind w:left="1052" w:right="0" w:hanging="416"/>
        <w:jc w:val="left"/>
        <w:rPr>
          <w:sz w:val="21"/>
        </w:rPr>
      </w:pPr>
      <w:r>
        <w:rPr>
          <w:spacing w:val="-4"/>
          <w:sz w:val="21"/>
        </w:rPr>
        <w:t xml:space="preserve">设有电梯时，必须至少设置 </w:t>
      </w:r>
      <w:r>
        <w:rPr>
          <w:sz w:val="21"/>
        </w:rPr>
        <w:t>1</w:t>
      </w:r>
      <w:r>
        <w:rPr>
          <w:spacing w:val="-8"/>
          <w:sz w:val="21"/>
        </w:rPr>
        <w:t xml:space="preserve"> 部无障碍电梯；无障碍电梯不宜与货梯、后勤电梯结合设置；</w:t>
      </w:r>
    </w:p>
    <w:p>
      <w:pPr>
        <w:pStyle w:val="5"/>
        <w:spacing w:before="6"/>
        <w:rPr>
          <w:sz w:val="15"/>
        </w:rPr>
      </w:pPr>
    </w:p>
    <w:p>
      <w:pPr>
        <w:pStyle w:val="12"/>
        <w:numPr>
          <w:ilvl w:val="0"/>
          <w:numId w:val="100"/>
        </w:numPr>
        <w:tabs>
          <w:tab w:val="left" w:pos="1052"/>
          <w:tab w:val="left" w:pos="1053"/>
        </w:tabs>
        <w:spacing w:before="0" w:after="0" w:line="417" w:lineRule="auto"/>
        <w:ind w:left="212" w:right="310" w:firstLine="424"/>
        <w:jc w:val="left"/>
        <w:rPr>
          <w:sz w:val="21"/>
        </w:rPr>
      </w:pPr>
      <w:r>
        <w:rPr>
          <w:spacing w:val="-7"/>
          <w:sz w:val="21"/>
        </w:rPr>
        <w:t xml:space="preserve">建筑面积每超过 </w:t>
      </w:r>
      <w:r>
        <w:rPr>
          <w:sz w:val="21"/>
        </w:rPr>
        <w:t>5000</w:t>
      </w:r>
      <w:r>
        <w:rPr>
          <w:spacing w:val="-11"/>
          <w:sz w:val="21"/>
        </w:rPr>
        <w:t xml:space="preserve"> ㎡，或日客流量每超过 </w:t>
      </w:r>
      <w:r>
        <w:rPr>
          <w:sz w:val="21"/>
        </w:rPr>
        <w:t>1</w:t>
      </w:r>
      <w:r>
        <w:rPr>
          <w:spacing w:val="-8"/>
          <w:sz w:val="21"/>
        </w:rPr>
        <w:t xml:space="preserve"> 万人次的公共建筑，应至少设置 </w:t>
      </w:r>
      <w:r>
        <w:rPr>
          <w:sz w:val="21"/>
        </w:rPr>
        <w:t>1</w:t>
      </w:r>
      <w:r>
        <w:rPr>
          <w:spacing w:val="-7"/>
          <w:sz w:val="21"/>
        </w:rPr>
        <w:t xml:space="preserve"> 处使用面积不</w:t>
      </w:r>
      <w:r>
        <w:rPr>
          <w:spacing w:val="-22"/>
          <w:sz w:val="21"/>
        </w:rPr>
        <w:t xml:space="preserve">小于 </w:t>
      </w:r>
      <w:r>
        <w:rPr>
          <w:sz w:val="21"/>
        </w:rPr>
        <w:t>10</w:t>
      </w:r>
      <w:r>
        <w:rPr>
          <w:spacing w:val="-8"/>
          <w:sz w:val="21"/>
        </w:rPr>
        <w:t xml:space="preserve"> ㎡的独立母婴室；</w:t>
      </w:r>
    </w:p>
    <w:p>
      <w:pPr>
        <w:pStyle w:val="12"/>
        <w:numPr>
          <w:ilvl w:val="0"/>
          <w:numId w:val="100"/>
        </w:numPr>
        <w:tabs>
          <w:tab w:val="left" w:pos="1052"/>
          <w:tab w:val="left" w:pos="1053"/>
        </w:tabs>
        <w:spacing w:before="0" w:after="0" w:line="269" w:lineRule="exact"/>
        <w:ind w:left="1052" w:right="0" w:hanging="416"/>
        <w:jc w:val="left"/>
        <w:rPr>
          <w:sz w:val="21"/>
        </w:rPr>
      </w:pPr>
      <w:r>
        <w:rPr>
          <w:sz w:val="21"/>
        </w:rPr>
        <w:t>当设有各种服务窗口、售票窗口、公共电话台、饮水器等时应设置低位服务设施；</w:t>
      </w:r>
    </w:p>
    <w:p>
      <w:pPr>
        <w:pStyle w:val="5"/>
        <w:spacing w:before="7"/>
        <w:rPr>
          <w:sz w:val="15"/>
        </w:rPr>
      </w:pPr>
    </w:p>
    <w:p>
      <w:pPr>
        <w:pStyle w:val="12"/>
        <w:numPr>
          <w:ilvl w:val="0"/>
          <w:numId w:val="100"/>
        </w:numPr>
        <w:tabs>
          <w:tab w:val="left" w:pos="1052"/>
          <w:tab w:val="left" w:pos="1053"/>
        </w:tabs>
        <w:spacing w:before="0" w:after="0" w:line="240" w:lineRule="auto"/>
        <w:ind w:left="1052" w:right="0" w:hanging="416"/>
        <w:jc w:val="left"/>
        <w:rPr>
          <w:sz w:val="21"/>
        </w:rPr>
      </w:pPr>
      <w:r>
        <w:rPr>
          <w:sz w:val="21"/>
        </w:rPr>
        <w:t>出入口和楼梯前室宜设楼面示意图，重要信息提示处宜设置智能显示屏等人机交互设备。</w:t>
      </w:r>
    </w:p>
    <w:p>
      <w:pPr>
        <w:pStyle w:val="5"/>
        <w:spacing w:before="7"/>
        <w:rPr>
          <w:sz w:val="15"/>
        </w:rPr>
      </w:pPr>
    </w:p>
    <w:p>
      <w:pPr>
        <w:pStyle w:val="12"/>
        <w:numPr>
          <w:ilvl w:val="1"/>
          <w:numId w:val="100"/>
        </w:numPr>
        <w:tabs>
          <w:tab w:val="left" w:pos="4692"/>
        </w:tabs>
        <w:spacing w:before="0" w:after="0" w:line="240" w:lineRule="auto"/>
        <w:ind w:left="4691" w:right="102" w:hanging="4692"/>
        <w:jc w:val="left"/>
        <w:rPr>
          <w:rFonts w:hint="eastAsia" w:ascii="黑体" w:eastAsia="黑体"/>
          <w:sz w:val="21"/>
        </w:rPr>
      </w:pPr>
      <w:bookmarkStart w:id="444" w:name="I办公建筑"/>
      <w:bookmarkEnd w:id="444"/>
      <w:bookmarkStart w:id="445" w:name="I办公建筑"/>
      <w:bookmarkEnd w:id="445"/>
      <w:r>
        <w:rPr>
          <w:rFonts w:hint="eastAsia" w:ascii="黑体" w:eastAsia="黑体"/>
          <w:sz w:val="21"/>
        </w:rPr>
        <w:t>办公建筑</w:t>
      </w:r>
    </w:p>
    <w:p>
      <w:pPr>
        <w:pStyle w:val="5"/>
        <w:spacing w:before="6"/>
        <w:rPr>
          <w:rFonts w:ascii="黑体"/>
          <w:sz w:val="15"/>
        </w:rPr>
      </w:pPr>
    </w:p>
    <w:p>
      <w:pPr>
        <w:pStyle w:val="12"/>
        <w:numPr>
          <w:ilvl w:val="2"/>
          <w:numId w:val="98"/>
        </w:numPr>
        <w:tabs>
          <w:tab w:val="left" w:pos="1052"/>
          <w:tab w:val="left" w:pos="1053"/>
        </w:tabs>
        <w:spacing w:before="1" w:after="0" w:line="417" w:lineRule="auto"/>
        <w:ind w:left="212" w:right="208" w:firstLine="0"/>
        <w:jc w:val="left"/>
        <w:rPr>
          <w:sz w:val="21"/>
        </w:rPr>
      </w:pPr>
      <w:bookmarkStart w:id="446" w:name="8.3.5政府办公建筑、司法办公建筑、企事业办公建筑、各类科研建筑、社区办公建筑"/>
      <w:bookmarkEnd w:id="446"/>
      <w:bookmarkStart w:id="447" w:name="8.3.5政府办公建筑、司法办公建筑、企事业办公建筑、各类科研建筑、社区办公建筑"/>
      <w:bookmarkEnd w:id="447"/>
      <w:r>
        <w:rPr>
          <w:spacing w:val="-10"/>
          <w:w w:val="95"/>
          <w:sz w:val="21"/>
        </w:rPr>
        <w:t xml:space="preserve">政府办公建筑、司法办公建筑、企事业办公建筑、各类科研建筑、社区办公建筑等各类办公建筑，   </w:t>
      </w:r>
      <w:r>
        <w:rPr>
          <w:spacing w:val="-10"/>
          <w:sz w:val="21"/>
        </w:rPr>
        <w:t>应进行无障碍设计。</w:t>
      </w:r>
    </w:p>
    <w:p>
      <w:pPr>
        <w:pStyle w:val="12"/>
        <w:numPr>
          <w:ilvl w:val="2"/>
          <w:numId w:val="98"/>
        </w:numPr>
        <w:tabs>
          <w:tab w:val="left" w:pos="1052"/>
          <w:tab w:val="left" w:pos="1053"/>
        </w:tabs>
        <w:spacing w:before="0" w:after="0" w:line="269" w:lineRule="exact"/>
        <w:ind w:left="1052" w:right="0" w:hanging="841"/>
        <w:jc w:val="left"/>
        <w:rPr>
          <w:sz w:val="21"/>
        </w:rPr>
      </w:pPr>
      <w:bookmarkStart w:id="448" w:name="8.3.6为公众办理业务与信访接待的办公建筑的无障碍设施应符合下列规定："/>
      <w:bookmarkEnd w:id="448"/>
      <w:bookmarkStart w:id="449" w:name="8.3.6为公众办理业务与信访接待的办公建筑的无障碍设施应符合下列规定："/>
      <w:bookmarkEnd w:id="449"/>
      <w:r>
        <w:rPr>
          <w:sz w:val="21"/>
        </w:rPr>
        <w:t>为公众办理业务与信访接待的办公建筑的无障碍设施应符合下列规定：</w:t>
      </w:r>
    </w:p>
    <w:p>
      <w:pPr>
        <w:pStyle w:val="5"/>
        <w:spacing w:before="6"/>
        <w:rPr>
          <w:sz w:val="15"/>
        </w:rPr>
      </w:pPr>
    </w:p>
    <w:p>
      <w:pPr>
        <w:pStyle w:val="12"/>
        <w:numPr>
          <w:ilvl w:val="0"/>
          <w:numId w:val="101"/>
        </w:numPr>
        <w:tabs>
          <w:tab w:val="left" w:pos="1052"/>
          <w:tab w:val="left" w:pos="1053"/>
        </w:tabs>
        <w:spacing w:before="0" w:after="0" w:line="240" w:lineRule="auto"/>
        <w:ind w:left="1052" w:right="0" w:hanging="416"/>
        <w:jc w:val="left"/>
        <w:rPr>
          <w:sz w:val="21"/>
        </w:rPr>
      </w:pPr>
      <w:r>
        <w:rPr>
          <w:sz w:val="21"/>
        </w:rPr>
        <w:t>建筑主要出入口应为无障碍出入口；</w:t>
      </w:r>
    </w:p>
    <w:p>
      <w:pPr>
        <w:pStyle w:val="5"/>
        <w:spacing w:before="7"/>
        <w:rPr>
          <w:sz w:val="15"/>
        </w:rPr>
      </w:pPr>
    </w:p>
    <w:p>
      <w:pPr>
        <w:pStyle w:val="12"/>
        <w:numPr>
          <w:ilvl w:val="0"/>
          <w:numId w:val="101"/>
        </w:numPr>
        <w:tabs>
          <w:tab w:val="left" w:pos="1052"/>
          <w:tab w:val="left" w:pos="1053"/>
        </w:tabs>
        <w:spacing w:before="0" w:after="0" w:line="417" w:lineRule="auto"/>
        <w:ind w:left="212" w:right="208" w:firstLine="424"/>
        <w:jc w:val="left"/>
        <w:rPr>
          <w:sz w:val="21"/>
        </w:rPr>
      </w:pPr>
      <w:r>
        <w:rPr>
          <w:spacing w:val="-11"/>
          <w:w w:val="95"/>
          <w:sz w:val="21"/>
        </w:rPr>
        <w:t xml:space="preserve">建筑出入口大厅、休息厅、贵宾休息室、疏散大厅等人员聚集场所有高差或台阶时应设轮椅坡道，   </w:t>
      </w:r>
      <w:r>
        <w:rPr>
          <w:spacing w:val="-11"/>
          <w:sz w:val="21"/>
        </w:rPr>
        <w:t>宜设置无障碍休息区；</w:t>
      </w:r>
    </w:p>
    <w:p>
      <w:pPr>
        <w:pStyle w:val="12"/>
        <w:numPr>
          <w:ilvl w:val="0"/>
          <w:numId w:val="101"/>
        </w:numPr>
        <w:tabs>
          <w:tab w:val="left" w:pos="1052"/>
          <w:tab w:val="left" w:pos="1053"/>
        </w:tabs>
        <w:spacing w:before="0" w:after="0" w:line="417" w:lineRule="auto"/>
        <w:ind w:left="212" w:right="315" w:firstLine="424"/>
        <w:jc w:val="left"/>
        <w:rPr>
          <w:sz w:val="21"/>
        </w:rPr>
      </w:pPr>
      <w:r>
        <w:rPr>
          <w:spacing w:val="-2"/>
          <w:sz w:val="21"/>
        </w:rPr>
        <w:t xml:space="preserve">公众通行的室内走道应为无障碍通道，走道长度大于 </w:t>
      </w:r>
      <w:r>
        <w:rPr>
          <w:sz w:val="21"/>
        </w:rPr>
        <w:t>50.00</w:t>
      </w:r>
      <w:r>
        <w:rPr>
          <w:rFonts w:hint="eastAsia" w:ascii="仿宋" w:eastAsia="仿宋"/>
          <w:sz w:val="21"/>
        </w:rPr>
        <w:t>m</w:t>
      </w:r>
      <w:r>
        <w:rPr>
          <w:rFonts w:hint="eastAsia" w:ascii="仿宋" w:eastAsia="仿宋"/>
          <w:spacing w:val="-50"/>
          <w:sz w:val="21"/>
        </w:rPr>
        <w:t xml:space="preserve"> </w:t>
      </w:r>
      <w:r>
        <w:rPr>
          <w:sz w:val="21"/>
        </w:rPr>
        <w:t>时，宜设置无障碍休息区，且不应影响通行净宽；</w:t>
      </w:r>
    </w:p>
    <w:p>
      <w:pPr>
        <w:pStyle w:val="12"/>
        <w:numPr>
          <w:ilvl w:val="0"/>
          <w:numId w:val="101"/>
        </w:numPr>
        <w:tabs>
          <w:tab w:val="left" w:pos="1052"/>
          <w:tab w:val="left" w:pos="1053"/>
        </w:tabs>
        <w:spacing w:before="0" w:after="0" w:line="269" w:lineRule="exact"/>
        <w:ind w:left="1052" w:right="0" w:hanging="416"/>
        <w:jc w:val="left"/>
        <w:rPr>
          <w:sz w:val="21"/>
        </w:rPr>
      </w:pPr>
      <w:r>
        <w:rPr>
          <w:sz w:val="21"/>
        </w:rPr>
        <w:t>供公众使用的楼梯宜为无障碍楼梯；</w:t>
      </w:r>
    </w:p>
    <w:p>
      <w:pPr>
        <w:pStyle w:val="5"/>
        <w:spacing w:before="6"/>
        <w:rPr>
          <w:sz w:val="15"/>
        </w:rPr>
      </w:pPr>
    </w:p>
    <w:p>
      <w:pPr>
        <w:pStyle w:val="12"/>
        <w:numPr>
          <w:ilvl w:val="0"/>
          <w:numId w:val="101"/>
        </w:numPr>
        <w:tabs>
          <w:tab w:val="left" w:pos="1052"/>
          <w:tab w:val="left" w:pos="1053"/>
        </w:tabs>
        <w:spacing w:before="1" w:after="0" w:line="240" w:lineRule="auto"/>
        <w:ind w:left="1052" w:right="0" w:hanging="416"/>
        <w:jc w:val="left"/>
        <w:rPr>
          <w:sz w:val="21"/>
        </w:rPr>
      </w:pPr>
      <w:r>
        <w:rPr>
          <w:spacing w:val="-3"/>
          <w:sz w:val="21"/>
        </w:rPr>
        <w:t xml:space="preserve">宜在供公众使用的公共卫生间附近设置 </w:t>
      </w:r>
      <w:r>
        <w:rPr>
          <w:sz w:val="21"/>
        </w:rPr>
        <w:t>1</w:t>
      </w:r>
      <w:r>
        <w:rPr>
          <w:spacing w:val="-10"/>
          <w:sz w:val="21"/>
        </w:rPr>
        <w:t xml:space="preserve"> 个无障碍卫生间；无条件时，供公众使用的公共卫生间</w:t>
      </w:r>
    </w:p>
    <w:p>
      <w:pPr>
        <w:spacing w:after="0" w:line="240" w:lineRule="auto"/>
        <w:jc w:val="left"/>
        <w:rPr>
          <w:sz w:val="21"/>
        </w:rPr>
        <w:sectPr>
          <w:pgSz w:w="11910" w:h="16840"/>
          <w:pgMar w:top="1580" w:right="820" w:bottom="1280" w:left="920" w:header="0" w:footer="1095" w:gutter="0"/>
          <w:cols w:space="720" w:num="1"/>
        </w:sectPr>
      </w:pPr>
    </w:p>
    <w:p>
      <w:pPr>
        <w:pStyle w:val="5"/>
        <w:spacing w:before="60"/>
        <w:ind w:left="212"/>
      </w:pPr>
      <w:r>
        <w:t>均应符合本标准第 4.2 节的有关规定，且建筑内应至少设置 1 处无障碍卫生间；内部办公人员使用的公共</w:t>
      </w:r>
    </w:p>
    <w:p>
      <w:pPr>
        <w:pStyle w:val="5"/>
        <w:spacing w:before="6"/>
        <w:rPr>
          <w:sz w:val="15"/>
        </w:rPr>
      </w:pPr>
    </w:p>
    <w:p>
      <w:pPr>
        <w:pStyle w:val="5"/>
        <w:spacing w:before="1"/>
        <w:ind w:left="212"/>
      </w:pPr>
      <w:r>
        <w:t>卫生间应至少设置 1 处符合本标准第 4.2 节的有关规定或在公共卫生间附近设置 1 个无障碍卫生间；</w:t>
      </w:r>
    </w:p>
    <w:p>
      <w:pPr>
        <w:pStyle w:val="5"/>
        <w:spacing w:before="6"/>
        <w:rPr>
          <w:sz w:val="15"/>
        </w:rPr>
      </w:pPr>
    </w:p>
    <w:p>
      <w:pPr>
        <w:pStyle w:val="12"/>
        <w:numPr>
          <w:ilvl w:val="0"/>
          <w:numId w:val="101"/>
        </w:numPr>
        <w:tabs>
          <w:tab w:val="left" w:pos="1052"/>
          <w:tab w:val="left" w:pos="1053"/>
        </w:tabs>
        <w:spacing w:before="0" w:after="0" w:line="240" w:lineRule="auto"/>
        <w:ind w:left="1052" w:right="0" w:hanging="416"/>
        <w:jc w:val="left"/>
        <w:rPr>
          <w:sz w:val="21"/>
        </w:rPr>
      </w:pPr>
      <w:r>
        <w:rPr>
          <w:sz w:val="21"/>
        </w:rPr>
        <w:t>供公众使用的公共卫生间附近宜设置母婴室；</w:t>
      </w:r>
    </w:p>
    <w:p>
      <w:pPr>
        <w:pStyle w:val="5"/>
        <w:spacing w:before="7"/>
        <w:rPr>
          <w:sz w:val="15"/>
        </w:rPr>
      </w:pPr>
    </w:p>
    <w:p>
      <w:pPr>
        <w:pStyle w:val="12"/>
        <w:numPr>
          <w:ilvl w:val="0"/>
          <w:numId w:val="101"/>
        </w:numPr>
        <w:tabs>
          <w:tab w:val="left" w:pos="1052"/>
          <w:tab w:val="left" w:pos="1053"/>
        </w:tabs>
        <w:spacing w:before="0" w:after="0" w:line="417" w:lineRule="auto"/>
        <w:ind w:left="212" w:right="342" w:firstLine="424"/>
        <w:jc w:val="left"/>
        <w:rPr>
          <w:sz w:val="21"/>
        </w:rPr>
      </w:pPr>
      <w:r>
        <w:rPr>
          <w:spacing w:val="-2"/>
          <w:sz w:val="21"/>
        </w:rPr>
        <w:t xml:space="preserve">法庭、审判庭及为公众服务的会议及报告厅等的公众坐席座位数为 </w:t>
      </w:r>
      <w:r>
        <w:rPr>
          <w:sz w:val="21"/>
        </w:rPr>
        <w:t>300</w:t>
      </w:r>
      <w:r>
        <w:rPr>
          <w:spacing w:val="-13"/>
          <w:sz w:val="21"/>
        </w:rPr>
        <w:t xml:space="preserve"> 座及以下时应至少设置 </w:t>
      </w:r>
      <w:r>
        <w:rPr>
          <w:sz w:val="21"/>
        </w:rPr>
        <w:t>1 个轮椅席位,300</w:t>
      </w:r>
      <w:r>
        <w:rPr>
          <w:spacing w:val="-13"/>
          <w:sz w:val="21"/>
        </w:rPr>
        <w:t xml:space="preserve"> 座以上时不应少于 </w:t>
      </w:r>
      <w:r>
        <w:rPr>
          <w:sz w:val="21"/>
        </w:rPr>
        <w:t>0.2</w:t>
      </w:r>
      <w:r>
        <w:rPr>
          <w:spacing w:val="-9"/>
          <w:sz w:val="21"/>
        </w:rPr>
        <w:t xml:space="preserve">％且不少于 </w:t>
      </w:r>
      <w:r>
        <w:rPr>
          <w:sz w:val="21"/>
        </w:rPr>
        <w:t>2</w:t>
      </w:r>
      <w:r>
        <w:rPr>
          <w:spacing w:val="-9"/>
          <w:sz w:val="21"/>
        </w:rPr>
        <w:t xml:space="preserve"> 个轮椅席位；</w:t>
      </w:r>
    </w:p>
    <w:p>
      <w:pPr>
        <w:pStyle w:val="12"/>
        <w:numPr>
          <w:ilvl w:val="0"/>
          <w:numId w:val="101"/>
        </w:numPr>
        <w:tabs>
          <w:tab w:val="left" w:pos="1052"/>
          <w:tab w:val="left" w:pos="1053"/>
        </w:tabs>
        <w:spacing w:before="0" w:after="0" w:line="269" w:lineRule="exact"/>
        <w:ind w:left="1052" w:right="0" w:hanging="416"/>
        <w:jc w:val="left"/>
        <w:rPr>
          <w:sz w:val="21"/>
        </w:rPr>
      </w:pPr>
      <w:r>
        <w:rPr>
          <w:sz w:val="21"/>
        </w:rPr>
        <w:t>公共服务办事大厅宜使用自助终端等人机交互设备。</w:t>
      </w:r>
    </w:p>
    <w:p>
      <w:pPr>
        <w:pStyle w:val="5"/>
        <w:spacing w:before="7"/>
        <w:rPr>
          <w:sz w:val="15"/>
        </w:rPr>
      </w:pPr>
    </w:p>
    <w:p>
      <w:pPr>
        <w:pStyle w:val="12"/>
        <w:numPr>
          <w:ilvl w:val="2"/>
          <w:numId w:val="98"/>
        </w:numPr>
        <w:tabs>
          <w:tab w:val="left" w:pos="1052"/>
          <w:tab w:val="left" w:pos="1053"/>
        </w:tabs>
        <w:spacing w:before="0" w:after="0" w:line="240" w:lineRule="auto"/>
        <w:ind w:left="1052" w:right="0" w:hanging="841"/>
        <w:jc w:val="left"/>
        <w:rPr>
          <w:sz w:val="21"/>
        </w:rPr>
      </w:pPr>
      <w:bookmarkStart w:id="450" w:name="8.3.7行动障碍者使用频率较高的办公建筑，其无障碍设施尚应符合下列规定："/>
      <w:bookmarkEnd w:id="450"/>
      <w:bookmarkStart w:id="451" w:name="8.3.7行动障碍者使用频率较高的办公建筑，其无障碍设施尚应符合下列规定："/>
      <w:bookmarkEnd w:id="451"/>
      <w:r>
        <w:rPr>
          <w:sz w:val="21"/>
        </w:rPr>
        <w:t>行动障碍者使用频率较高的办公建筑，其无障碍设施尚应符合下列规定：</w:t>
      </w:r>
    </w:p>
    <w:p>
      <w:pPr>
        <w:pStyle w:val="5"/>
        <w:spacing w:before="6"/>
        <w:rPr>
          <w:sz w:val="15"/>
        </w:rPr>
      </w:pPr>
    </w:p>
    <w:p>
      <w:pPr>
        <w:pStyle w:val="12"/>
        <w:numPr>
          <w:ilvl w:val="0"/>
          <w:numId w:val="102"/>
        </w:numPr>
        <w:tabs>
          <w:tab w:val="left" w:pos="1052"/>
          <w:tab w:val="left" w:pos="1053"/>
        </w:tabs>
        <w:spacing w:before="1" w:after="0" w:line="240" w:lineRule="auto"/>
        <w:ind w:left="1052" w:right="0" w:hanging="416"/>
        <w:jc w:val="left"/>
        <w:rPr>
          <w:sz w:val="21"/>
        </w:rPr>
      </w:pPr>
      <w:r>
        <w:rPr>
          <w:sz w:val="21"/>
        </w:rPr>
        <w:t>建筑主要出入口应为无障碍出入口，宜设置为平坡出入口；</w:t>
      </w:r>
    </w:p>
    <w:p>
      <w:pPr>
        <w:pStyle w:val="5"/>
        <w:spacing w:before="6"/>
        <w:rPr>
          <w:sz w:val="15"/>
        </w:rPr>
      </w:pPr>
    </w:p>
    <w:p>
      <w:pPr>
        <w:pStyle w:val="12"/>
        <w:numPr>
          <w:ilvl w:val="0"/>
          <w:numId w:val="102"/>
        </w:numPr>
        <w:tabs>
          <w:tab w:val="left" w:pos="1052"/>
          <w:tab w:val="left" w:pos="1053"/>
        </w:tabs>
        <w:spacing w:before="0" w:after="0" w:line="240" w:lineRule="auto"/>
        <w:ind w:left="1052" w:right="0" w:hanging="416"/>
        <w:jc w:val="left"/>
        <w:rPr>
          <w:sz w:val="21"/>
        </w:rPr>
      </w:pPr>
      <w:r>
        <w:rPr>
          <w:spacing w:val="-4"/>
          <w:sz w:val="21"/>
        </w:rPr>
        <w:t xml:space="preserve">两层及以上的建筑应至少设置 </w:t>
      </w:r>
      <w:r>
        <w:rPr>
          <w:sz w:val="21"/>
        </w:rPr>
        <w:t>1</w:t>
      </w:r>
      <w:r>
        <w:rPr>
          <w:spacing w:val="-8"/>
          <w:sz w:val="21"/>
        </w:rPr>
        <w:t xml:space="preserve"> 部无障碍电梯；</w:t>
      </w:r>
    </w:p>
    <w:p>
      <w:pPr>
        <w:pStyle w:val="5"/>
        <w:spacing w:before="7"/>
        <w:rPr>
          <w:sz w:val="15"/>
        </w:rPr>
      </w:pPr>
    </w:p>
    <w:p>
      <w:pPr>
        <w:pStyle w:val="12"/>
        <w:numPr>
          <w:ilvl w:val="0"/>
          <w:numId w:val="102"/>
        </w:numPr>
        <w:tabs>
          <w:tab w:val="left" w:pos="1052"/>
          <w:tab w:val="left" w:pos="1053"/>
        </w:tabs>
        <w:spacing w:before="0" w:after="0" w:line="240" w:lineRule="auto"/>
        <w:ind w:left="1052" w:right="0" w:hanging="416"/>
        <w:jc w:val="left"/>
        <w:rPr>
          <w:sz w:val="21"/>
        </w:rPr>
      </w:pPr>
      <w:r>
        <w:rPr>
          <w:spacing w:val="-7"/>
          <w:sz w:val="21"/>
        </w:rPr>
        <w:t xml:space="preserve">每层宜至少设置 </w:t>
      </w:r>
      <w:r>
        <w:rPr>
          <w:sz w:val="21"/>
        </w:rPr>
        <w:t>1</w:t>
      </w:r>
      <w:r>
        <w:rPr>
          <w:spacing w:val="-8"/>
          <w:sz w:val="21"/>
        </w:rPr>
        <w:t xml:space="preserve"> 处无障碍卫生间；</w:t>
      </w:r>
    </w:p>
    <w:p>
      <w:pPr>
        <w:pStyle w:val="5"/>
        <w:spacing w:before="7"/>
        <w:rPr>
          <w:sz w:val="15"/>
        </w:rPr>
      </w:pPr>
    </w:p>
    <w:p>
      <w:pPr>
        <w:pStyle w:val="12"/>
        <w:numPr>
          <w:ilvl w:val="0"/>
          <w:numId w:val="102"/>
        </w:numPr>
        <w:tabs>
          <w:tab w:val="left" w:pos="1052"/>
          <w:tab w:val="left" w:pos="1053"/>
        </w:tabs>
        <w:spacing w:before="0" w:after="0" w:line="240" w:lineRule="auto"/>
        <w:ind w:left="1052" w:right="0" w:hanging="416"/>
        <w:jc w:val="left"/>
        <w:rPr>
          <w:sz w:val="21"/>
        </w:rPr>
      </w:pPr>
      <w:r>
        <w:rPr>
          <w:w w:val="95"/>
          <w:sz w:val="21"/>
        </w:rPr>
        <w:t>宜设置带升降功能的无障碍工作台。</w:t>
      </w:r>
    </w:p>
    <w:p>
      <w:pPr>
        <w:pStyle w:val="5"/>
        <w:spacing w:before="6"/>
        <w:rPr>
          <w:sz w:val="15"/>
        </w:rPr>
      </w:pPr>
    </w:p>
    <w:p>
      <w:pPr>
        <w:pStyle w:val="12"/>
        <w:numPr>
          <w:ilvl w:val="2"/>
          <w:numId w:val="98"/>
        </w:numPr>
        <w:tabs>
          <w:tab w:val="left" w:pos="1052"/>
          <w:tab w:val="left" w:pos="1053"/>
        </w:tabs>
        <w:spacing w:before="1" w:after="0" w:line="240" w:lineRule="auto"/>
        <w:ind w:left="1052" w:right="0" w:hanging="841"/>
        <w:jc w:val="left"/>
        <w:rPr>
          <w:sz w:val="21"/>
        </w:rPr>
      </w:pPr>
      <w:bookmarkStart w:id="452" w:name="8.3.8其他办公建筑的无障碍设施应符合下列规定："/>
      <w:bookmarkEnd w:id="452"/>
      <w:bookmarkStart w:id="453" w:name="8.3.8其他办公建筑的无障碍设施应符合下列规定："/>
      <w:bookmarkEnd w:id="453"/>
      <w:r>
        <w:rPr>
          <w:w w:val="95"/>
          <w:sz w:val="21"/>
        </w:rPr>
        <w:t>其他办公建筑的无障碍设施应符合下列规定：</w:t>
      </w:r>
    </w:p>
    <w:p>
      <w:pPr>
        <w:pStyle w:val="5"/>
        <w:spacing w:before="6"/>
        <w:rPr>
          <w:sz w:val="15"/>
        </w:rPr>
      </w:pPr>
    </w:p>
    <w:p>
      <w:pPr>
        <w:pStyle w:val="12"/>
        <w:numPr>
          <w:ilvl w:val="0"/>
          <w:numId w:val="103"/>
        </w:numPr>
        <w:tabs>
          <w:tab w:val="left" w:pos="1052"/>
          <w:tab w:val="left" w:pos="1053"/>
        </w:tabs>
        <w:spacing w:before="0" w:after="0" w:line="240" w:lineRule="auto"/>
        <w:ind w:left="1052" w:right="0" w:hanging="416"/>
        <w:jc w:val="left"/>
        <w:rPr>
          <w:sz w:val="21"/>
        </w:rPr>
      </w:pPr>
      <w:r>
        <w:rPr>
          <w:spacing w:val="-7"/>
          <w:sz w:val="21"/>
        </w:rPr>
        <w:t xml:space="preserve">建筑应至少设置 </w:t>
      </w:r>
      <w:r>
        <w:rPr>
          <w:sz w:val="21"/>
        </w:rPr>
        <w:t>1</w:t>
      </w:r>
      <w:r>
        <w:rPr>
          <w:spacing w:val="-8"/>
          <w:sz w:val="21"/>
        </w:rPr>
        <w:t xml:space="preserve"> 处无障碍出入口，且宜位于主要出入口处；</w:t>
      </w:r>
    </w:p>
    <w:p>
      <w:pPr>
        <w:pStyle w:val="5"/>
        <w:spacing w:before="7"/>
        <w:rPr>
          <w:sz w:val="15"/>
        </w:rPr>
      </w:pPr>
    </w:p>
    <w:p>
      <w:pPr>
        <w:pStyle w:val="12"/>
        <w:numPr>
          <w:ilvl w:val="0"/>
          <w:numId w:val="103"/>
        </w:numPr>
        <w:tabs>
          <w:tab w:val="left" w:pos="1052"/>
          <w:tab w:val="left" w:pos="1053"/>
        </w:tabs>
        <w:spacing w:before="0" w:after="0" w:line="240" w:lineRule="auto"/>
        <w:ind w:left="1052" w:right="0" w:hanging="416"/>
        <w:jc w:val="left"/>
        <w:rPr>
          <w:sz w:val="21"/>
        </w:rPr>
      </w:pPr>
      <w:r>
        <w:rPr>
          <w:spacing w:val="-9"/>
          <w:sz w:val="21"/>
        </w:rPr>
        <w:t xml:space="preserve">应至少设置 </w:t>
      </w:r>
      <w:r>
        <w:rPr>
          <w:sz w:val="21"/>
        </w:rPr>
        <w:t>1</w:t>
      </w:r>
      <w:r>
        <w:rPr>
          <w:spacing w:val="-13"/>
          <w:sz w:val="21"/>
        </w:rPr>
        <w:t xml:space="preserve"> 处符合本标准第 </w:t>
      </w:r>
      <w:r>
        <w:rPr>
          <w:sz w:val="21"/>
        </w:rPr>
        <w:t>4.2</w:t>
      </w:r>
      <w:r>
        <w:rPr>
          <w:spacing w:val="-8"/>
          <w:sz w:val="21"/>
        </w:rPr>
        <w:t xml:space="preserve"> 节有关规定的公共卫生间或无障碍卫生间；</w:t>
      </w:r>
    </w:p>
    <w:p>
      <w:pPr>
        <w:pStyle w:val="5"/>
        <w:spacing w:before="7"/>
        <w:rPr>
          <w:sz w:val="15"/>
        </w:rPr>
      </w:pPr>
    </w:p>
    <w:p>
      <w:pPr>
        <w:pStyle w:val="12"/>
        <w:numPr>
          <w:ilvl w:val="0"/>
          <w:numId w:val="103"/>
        </w:numPr>
        <w:tabs>
          <w:tab w:val="left" w:pos="1052"/>
          <w:tab w:val="left" w:pos="1053"/>
        </w:tabs>
        <w:spacing w:before="0" w:after="0" w:line="240" w:lineRule="auto"/>
        <w:ind w:left="1052" w:right="0" w:hanging="416"/>
        <w:jc w:val="left"/>
        <w:rPr>
          <w:sz w:val="21"/>
        </w:rPr>
      </w:pPr>
      <w:r>
        <w:rPr>
          <w:spacing w:val="-4"/>
          <w:sz w:val="21"/>
        </w:rPr>
        <w:t xml:space="preserve">多功能厅、报告厅等应至少设置 </w:t>
      </w:r>
      <w:r>
        <w:rPr>
          <w:sz w:val="21"/>
        </w:rPr>
        <w:t>1</w:t>
      </w:r>
      <w:r>
        <w:rPr>
          <w:spacing w:val="-9"/>
          <w:sz w:val="21"/>
        </w:rPr>
        <w:t xml:space="preserve"> 个轮椅坐席。</w:t>
      </w:r>
    </w:p>
    <w:p>
      <w:pPr>
        <w:pStyle w:val="5"/>
        <w:spacing w:before="6"/>
        <w:rPr>
          <w:sz w:val="15"/>
        </w:rPr>
      </w:pPr>
    </w:p>
    <w:p>
      <w:pPr>
        <w:pStyle w:val="12"/>
        <w:numPr>
          <w:ilvl w:val="1"/>
          <w:numId w:val="100"/>
        </w:numPr>
        <w:tabs>
          <w:tab w:val="left" w:pos="4744"/>
        </w:tabs>
        <w:spacing w:before="1" w:after="0" w:line="240" w:lineRule="auto"/>
        <w:ind w:left="4744" w:right="99" w:hanging="4744"/>
        <w:jc w:val="left"/>
        <w:rPr>
          <w:rFonts w:hint="eastAsia" w:ascii="黑体" w:eastAsia="黑体"/>
          <w:sz w:val="21"/>
        </w:rPr>
      </w:pPr>
      <w:bookmarkStart w:id="454" w:name="II教育建筑"/>
      <w:bookmarkEnd w:id="454"/>
      <w:bookmarkStart w:id="455" w:name="II教育建筑"/>
      <w:bookmarkEnd w:id="455"/>
      <w:r>
        <w:rPr>
          <w:rFonts w:hint="eastAsia" w:ascii="黑体" w:eastAsia="黑体"/>
          <w:sz w:val="21"/>
        </w:rPr>
        <w:t>教育建筑</w:t>
      </w:r>
    </w:p>
    <w:p>
      <w:pPr>
        <w:pStyle w:val="5"/>
        <w:spacing w:before="6"/>
        <w:rPr>
          <w:rFonts w:ascii="黑体"/>
          <w:sz w:val="15"/>
        </w:rPr>
      </w:pPr>
    </w:p>
    <w:p>
      <w:pPr>
        <w:pStyle w:val="12"/>
        <w:numPr>
          <w:ilvl w:val="2"/>
          <w:numId w:val="98"/>
        </w:numPr>
        <w:tabs>
          <w:tab w:val="left" w:pos="1052"/>
          <w:tab w:val="left" w:pos="1053"/>
        </w:tabs>
        <w:spacing w:before="0" w:after="0" w:line="417" w:lineRule="auto"/>
        <w:ind w:left="212" w:right="292" w:firstLine="0"/>
        <w:jc w:val="left"/>
        <w:rPr>
          <w:sz w:val="21"/>
        </w:rPr>
      </w:pPr>
      <w:bookmarkStart w:id="456" w:name="8.3.9托儿所、幼儿园、中小学建筑、高等院校建筑、职业教育建筑、特殊教育建筑等"/>
      <w:bookmarkEnd w:id="456"/>
      <w:bookmarkStart w:id="457" w:name="8.3.9托儿所、幼儿园、中小学建筑、高等院校建筑、职业教育建筑、特殊教育建筑等"/>
      <w:bookmarkEnd w:id="457"/>
      <w:r>
        <w:rPr>
          <w:w w:val="95"/>
          <w:sz w:val="21"/>
        </w:rPr>
        <w:t xml:space="preserve">托儿所、幼儿园、中小学建筑、高等院校建筑、职业教育建筑、特殊教育建筑等各类教育建筑，   </w:t>
      </w:r>
      <w:r>
        <w:rPr>
          <w:sz w:val="21"/>
        </w:rPr>
        <w:t>应进行无障碍设计。</w:t>
      </w:r>
    </w:p>
    <w:p>
      <w:pPr>
        <w:pStyle w:val="12"/>
        <w:numPr>
          <w:ilvl w:val="2"/>
          <w:numId w:val="98"/>
        </w:numPr>
        <w:tabs>
          <w:tab w:val="left" w:pos="1052"/>
          <w:tab w:val="left" w:pos="1053"/>
        </w:tabs>
        <w:spacing w:before="0" w:after="0" w:line="269" w:lineRule="exact"/>
        <w:ind w:left="1052" w:right="0" w:hanging="841"/>
        <w:jc w:val="left"/>
        <w:rPr>
          <w:sz w:val="21"/>
        </w:rPr>
      </w:pPr>
      <w:bookmarkStart w:id="458" w:name="8.3.10教育建筑的无障碍设施应符合下列规定："/>
      <w:bookmarkEnd w:id="458"/>
      <w:bookmarkStart w:id="459" w:name="8.3.10教育建筑的无障碍设施应符合下列规定："/>
      <w:bookmarkEnd w:id="459"/>
      <w:r>
        <w:rPr>
          <w:sz w:val="21"/>
        </w:rPr>
        <w:t>教育建筑的无障碍设施应符合下列规定：</w:t>
      </w:r>
    </w:p>
    <w:p>
      <w:pPr>
        <w:pStyle w:val="5"/>
        <w:spacing w:before="7"/>
        <w:rPr>
          <w:sz w:val="15"/>
        </w:rPr>
      </w:pPr>
    </w:p>
    <w:p>
      <w:pPr>
        <w:pStyle w:val="12"/>
        <w:numPr>
          <w:ilvl w:val="0"/>
          <w:numId w:val="104"/>
        </w:numPr>
        <w:tabs>
          <w:tab w:val="left" w:pos="1052"/>
          <w:tab w:val="left" w:pos="1053"/>
        </w:tabs>
        <w:spacing w:before="0" w:after="0" w:line="240" w:lineRule="auto"/>
        <w:ind w:left="1052" w:right="0" w:hanging="416"/>
        <w:jc w:val="left"/>
        <w:rPr>
          <w:sz w:val="21"/>
        </w:rPr>
      </w:pPr>
      <w:r>
        <w:rPr>
          <w:sz w:val="21"/>
        </w:rPr>
        <w:t>凡教师、学生和婴幼儿使用的建筑物主要出入口应为无障碍出入口，宜设置为平坡出入口；</w:t>
      </w:r>
    </w:p>
    <w:p>
      <w:pPr>
        <w:pStyle w:val="5"/>
        <w:spacing w:before="7"/>
        <w:rPr>
          <w:sz w:val="15"/>
        </w:rPr>
      </w:pPr>
    </w:p>
    <w:p>
      <w:pPr>
        <w:pStyle w:val="12"/>
        <w:numPr>
          <w:ilvl w:val="0"/>
          <w:numId w:val="104"/>
        </w:numPr>
        <w:tabs>
          <w:tab w:val="left" w:pos="1052"/>
          <w:tab w:val="left" w:pos="1053"/>
        </w:tabs>
        <w:spacing w:before="0" w:after="0" w:line="240" w:lineRule="auto"/>
        <w:ind w:left="1052" w:right="0" w:hanging="416"/>
        <w:jc w:val="left"/>
        <w:rPr>
          <w:sz w:val="21"/>
        </w:rPr>
      </w:pPr>
      <w:r>
        <w:rPr>
          <w:spacing w:val="-5"/>
          <w:sz w:val="21"/>
        </w:rPr>
        <w:t xml:space="preserve">主要教学用房应至少设置 </w:t>
      </w:r>
      <w:r>
        <w:rPr>
          <w:sz w:val="21"/>
        </w:rPr>
        <w:t>1</w:t>
      </w:r>
      <w:r>
        <w:rPr>
          <w:spacing w:val="-8"/>
          <w:sz w:val="21"/>
        </w:rPr>
        <w:t xml:space="preserve"> 部无障碍楼梯；</w:t>
      </w:r>
    </w:p>
    <w:p>
      <w:pPr>
        <w:pStyle w:val="5"/>
        <w:spacing w:before="6"/>
        <w:rPr>
          <w:sz w:val="15"/>
        </w:rPr>
      </w:pPr>
    </w:p>
    <w:p>
      <w:pPr>
        <w:pStyle w:val="12"/>
        <w:numPr>
          <w:ilvl w:val="0"/>
          <w:numId w:val="104"/>
        </w:numPr>
        <w:tabs>
          <w:tab w:val="left" w:pos="1052"/>
          <w:tab w:val="left" w:pos="1053"/>
        </w:tabs>
        <w:spacing w:before="1" w:after="0" w:line="240" w:lineRule="auto"/>
        <w:ind w:left="1052" w:right="0" w:hanging="416"/>
        <w:jc w:val="left"/>
        <w:rPr>
          <w:sz w:val="21"/>
        </w:rPr>
      </w:pPr>
      <w:r>
        <w:rPr>
          <w:spacing w:val="-9"/>
          <w:sz w:val="21"/>
        </w:rPr>
        <w:t xml:space="preserve">应至少设置 </w:t>
      </w:r>
      <w:r>
        <w:rPr>
          <w:sz w:val="21"/>
        </w:rPr>
        <w:t>1</w:t>
      </w:r>
      <w:r>
        <w:rPr>
          <w:spacing w:val="-13"/>
          <w:sz w:val="21"/>
        </w:rPr>
        <w:t xml:space="preserve"> 处符合本标准第 </w:t>
      </w:r>
      <w:r>
        <w:rPr>
          <w:sz w:val="21"/>
        </w:rPr>
        <w:t>4.2</w:t>
      </w:r>
      <w:r>
        <w:rPr>
          <w:spacing w:val="-8"/>
          <w:sz w:val="21"/>
        </w:rPr>
        <w:t xml:space="preserve"> 节有关规定的公共卫生间。</w:t>
      </w:r>
    </w:p>
    <w:p>
      <w:pPr>
        <w:pStyle w:val="5"/>
        <w:spacing w:before="6"/>
        <w:rPr>
          <w:sz w:val="15"/>
        </w:rPr>
      </w:pPr>
    </w:p>
    <w:p>
      <w:pPr>
        <w:pStyle w:val="12"/>
        <w:numPr>
          <w:ilvl w:val="2"/>
          <w:numId w:val="98"/>
        </w:numPr>
        <w:tabs>
          <w:tab w:val="left" w:pos="1052"/>
          <w:tab w:val="left" w:pos="1053"/>
        </w:tabs>
        <w:spacing w:before="0" w:after="0" w:line="240" w:lineRule="auto"/>
        <w:ind w:left="1052" w:right="0" w:hanging="841"/>
        <w:jc w:val="left"/>
        <w:rPr>
          <w:sz w:val="21"/>
        </w:rPr>
      </w:pPr>
      <w:bookmarkStart w:id="460" w:name="8.3.11接收残障生源的教育建筑的无障碍设施应符合下列规定："/>
      <w:bookmarkEnd w:id="460"/>
      <w:bookmarkStart w:id="461" w:name="8.3.11接收残障生源的教育建筑的无障碍设施应符合下列规定："/>
      <w:bookmarkEnd w:id="461"/>
      <w:r>
        <w:rPr>
          <w:sz w:val="21"/>
        </w:rPr>
        <w:t>接收残障生源的教育建筑的无障碍设施应符合下列规定：</w:t>
      </w:r>
    </w:p>
    <w:p>
      <w:pPr>
        <w:pStyle w:val="5"/>
        <w:spacing w:before="7"/>
        <w:rPr>
          <w:sz w:val="15"/>
        </w:rPr>
      </w:pPr>
    </w:p>
    <w:p>
      <w:pPr>
        <w:pStyle w:val="12"/>
        <w:numPr>
          <w:ilvl w:val="0"/>
          <w:numId w:val="105"/>
        </w:numPr>
        <w:tabs>
          <w:tab w:val="left" w:pos="1052"/>
          <w:tab w:val="left" w:pos="1053"/>
        </w:tabs>
        <w:spacing w:before="0" w:after="0" w:line="240" w:lineRule="auto"/>
        <w:ind w:left="1052" w:right="0" w:hanging="416"/>
        <w:jc w:val="left"/>
        <w:rPr>
          <w:sz w:val="21"/>
        </w:rPr>
      </w:pPr>
      <w:r>
        <w:rPr>
          <w:sz w:val="21"/>
        </w:rPr>
        <w:t>室内无障碍通道两侧墙面宜安装扶手；</w:t>
      </w:r>
    </w:p>
    <w:p>
      <w:pPr>
        <w:pStyle w:val="5"/>
        <w:spacing w:before="7"/>
        <w:rPr>
          <w:sz w:val="15"/>
        </w:rPr>
      </w:pPr>
    </w:p>
    <w:p>
      <w:pPr>
        <w:pStyle w:val="12"/>
        <w:numPr>
          <w:ilvl w:val="0"/>
          <w:numId w:val="105"/>
        </w:numPr>
        <w:tabs>
          <w:tab w:val="left" w:pos="1052"/>
          <w:tab w:val="left" w:pos="1053"/>
        </w:tabs>
        <w:spacing w:before="0" w:after="0" w:line="240" w:lineRule="auto"/>
        <w:ind w:left="1052" w:right="0" w:hanging="416"/>
        <w:jc w:val="left"/>
        <w:rPr>
          <w:sz w:val="21"/>
        </w:rPr>
      </w:pPr>
      <w:r>
        <w:rPr>
          <w:spacing w:val="-4"/>
          <w:sz w:val="21"/>
        </w:rPr>
        <w:t xml:space="preserve">教学用房的门应符合本标准第 </w:t>
      </w:r>
      <w:r>
        <w:rPr>
          <w:sz w:val="21"/>
        </w:rPr>
        <w:t>4.1</w:t>
      </w:r>
      <w:r>
        <w:rPr>
          <w:spacing w:val="-8"/>
          <w:sz w:val="21"/>
        </w:rPr>
        <w:t xml:space="preserve"> 节中门的有关规定；</w:t>
      </w:r>
    </w:p>
    <w:p>
      <w:pPr>
        <w:pStyle w:val="5"/>
        <w:spacing w:before="6"/>
        <w:rPr>
          <w:sz w:val="15"/>
        </w:rPr>
      </w:pPr>
    </w:p>
    <w:p>
      <w:pPr>
        <w:pStyle w:val="12"/>
        <w:numPr>
          <w:ilvl w:val="0"/>
          <w:numId w:val="105"/>
        </w:numPr>
        <w:tabs>
          <w:tab w:val="left" w:pos="1052"/>
          <w:tab w:val="left" w:pos="1053"/>
        </w:tabs>
        <w:spacing w:before="1" w:after="0" w:line="240" w:lineRule="auto"/>
        <w:ind w:left="1052" w:right="0" w:hanging="416"/>
        <w:jc w:val="left"/>
        <w:rPr>
          <w:sz w:val="21"/>
        </w:rPr>
      </w:pPr>
      <w:r>
        <w:rPr>
          <w:spacing w:val="-4"/>
          <w:sz w:val="21"/>
        </w:rPr>
        <w:t xml:space="preserve">两层及以上的建筑应至少设置 </w:t>
      </w:r>
      <w:r>
        <w:rPr>
          <w:sz w:val="21"/>
        </w:rPr>
        <w:t>1</w:t>
      </w:r>
      <w:r>
        <w:rPr>
          <w:spacing w:val="-8"/>
          <w:sz w:val="21"/>
        </w:rPr>
        <w:t xml:space="preserve"> 部无障碍电梯；</w:t>
      </w:r>
    </w:p>
    <w:p>
      <w:pPr>
        <w:pStyle w:val="5"/>
        <w:spacing w:before="6"/>
        <w:rPr>
          <w:sz w:val="15"/>
        </w:rPr>
      </w:pPr>
    </w:p>
    <w:p>
      <w:pPr>
        <w:pStyle w:val="12"/>
        <w:numPr>
          <w:ilvl w:val="0"/>
          <w:numId w:val="105"/>
        </w:numPr>
        <w:tabs>
          <w:tab w:val="left" w:pos="1052"/>
          <w:tab w:val="left" w:pos="1053"/>
        </w:tabs>
        <w:spacing w:before="0" w:after="0" w:line="417" w:lineRule="auto"/>
        <w:ind w:left="212" w:right="310" w:firstLine="424"/>
        <w:jc w:val="left"/>
        <w:rPr>
          <w:sz w:val="21"/>
        </w:rPr>
      </w:pPr>
      <w:r>
        <w:rPr>
          <w:spacing w:val="-3"/>
          <w:sz w:val="21"/>
        </w:rPr>
        <w:t xml:space="preserve">宜在主要教学用房每层公共卫生间附近设置 </w:t>
      </w:r>
      <w:r>
        <w:rPr>
          <w:sz w:val="21"/>
        </w:rPr>
        <w:t>1</w:t>
      </w:r>
      <w:r>
        <w:rPr>
          <w:spacing w:val="-13"/>
          <w:sz w:val="21"/>
        </w:rPr>
        <w:t xml:space="preserve"> 个无障碍卫生间；无条件时，每层应至少设置 </w:t>
      </w:r>
      <w:r>
        <w:rPr>
          <w:sz w:val="21"/>
        </w:rPr>
        <w:t>1</w:t>
      </w:r>
      <w:r>
        <w:rPr>
          <w:spacing w:val="-29"/>
          <w:sz w:val="21"/>
        </w:rPr>
        <w:t xml:space="preserve"> 处</w:t>
      </w:r>
      <w:r>
        <w:rPr>
          <w:spacing w:val="-33"/>
          <w:sz w:val="21"/>
        </w:rPr>
        <w:t xml:space="preserve">符合本标准第 </w:t>
      </w:r>
      <w:r>
        <w:rPr>
          <w:sz w:val="21"/>
        </w:rPr>
        <w:t>4.2</w:t>
      </w:r>
      <w:r>
        <w:rPr>
          <w:spacing w:val="-8"/>
          <w:sz w:val="21"/>
        </w:rPr>
        <w:t xml:space="preserve"> 节有关规定的公共卫生间；</w:t>
      </w:r>
    </w:p>
    <w:p>
      <w:pPr>
        <w:pStyle w:val="12"/>
        <w:numPr>
          <w:ilvl w:val="0"/>
          <w:numId w:val="105"/>
        </w:numPr>
        <w:tabs>
          <w:tab w:val="left" w:pos="1052"/>
          <w:tab w:val="left" w:pos="1053"/>
        </w:tabs>
        <w:spacing w:before="0" w:after="0" w:line="269" w:lineRule="exact"/>
        <w:ind w:left="1052" w:right="0" w:hanging="416"/>
        <w:jc w:val="left"/>
        <w:rPr>
          <w:sz w:val="21"/>
        </w:rPr>
      </w:pPr>
      <w:r>
        <w:rPr>
          <w:spacing w:val="-5"/>
          <w:sz w:val="21"/>
        </w:rPr>
        <w:t xml:space="preserve">合班教室、报告厅、剧场等应设置不少于 </w:t>
      </w:r>
      <w:r>
        <w:rPr>
          <w:sz w:val="21"/>
        </w:rPr>
        <w:t>2</w:t>
      </w:r>
      <w:r>
        <w:rPr>
          <w:spacing w:val="-8"/>
          <w:sz w:val="21"/>
        </w:rPr>
        <w:t xml:space="preserve"> 个轮椅席位；服务报告厅的公共卫生间应符合本标准</w:t>
      </w:r>
    </w:p>
    <w:p>
      <w:pPr>
        <w:spacing w:after="0" w:line="269" w:lineRule="exact"/>
        <w:jc w:val="left"/>
        <w:rPr>
          <w:sz w:val="21"/>
        </w:rPr>
        <w:sectPr>
          <w:pgSz w:w="11910" w:h="16840"/>
          <w:pgMar w:top="1580" w:right="820" w:bottom="1280" w:left="920" w:header="0" w:footer="1095" w:gutter="0"/>
          <w:cols w:space="720" w:num="1"/>
        </w:sectPr>
      </w:pPr>
    </w:p>
    <w:p>
      <w:pPr>
        <w:pStyle w:val="5"/>
        <w:spacing w:before="60"/>
        <w:ind w:left="212"/>
      </w:pPr>
      <w:r>
        <w:t>第 4.2 节有关规定或设置无障碍卫生间；</w:t>
      </w:r>
    </w:p>
    <w:p>
      <w:pPr>
        <w:pStyle w:val="5"/>
        <w:spacing w:before="6"/>
        <w:rPr>
          <w:sz w:val="15"/>
        </w:rPr>
      </w:pPr>
    </w:p>
    <w:p>
      <w:pPr>
        <w:pStyle w:val="12"/>
        <w:numPr>
          <w:ilvl w:val="0"/>
          <w:numId w:val="105"/>
        </w:numPr>
        <w:tabs>
          <w:tab w:val="left" w:pos="1052"/>
          <w:tab w:val="left" w:pos="1053"/>
        </w:tabs>
        <w:spacing w:before="1" w:after="0" w:line="240" w:lineRule="auto"/>
        <w:ind w:left="1052" w:right="0" w:hanging="416"/>
        <w:jc w:val="left"/>
        <w:rPr>
          <w:sz w:val="21"/>
        </w:rPr>
      </w:pPr>
      <w:r>
        <w:rPr>
          <w:spacing w:val="-4"/>
          <w:sz w:val="21"/>
        </w:rPr>
        <w:t xml:space="preserve">内设无障碍宿舍时，应符合本标准第 </w:t>
      </w:r>
      <w:r>
        <w:rPr>
          <w:sz w:val="21"/>
        </w:rPr>
        <w:t>4.2</w:t>
      </w:r>
      <w:r>
        <w:rPr>
          <w:spacing w:val="-8"/>
          <w:sz w:val="21"/>
        </w:rPr>
        <w:t xml:space="preserve"> 节中无障碍住房、宿舍的有关规定；</w:t>
      </w:r>
    </w:p>
    <w:p>
      <w:pPr>
        <w:pStyle w:val="5"/>
        <w:spacing w:before="6"/>
        <w:rPr>
          <w:sz w:val="15"/>
        </w:rPr>
      </w:pPr>
    </w:p>
    <w:p>
      <w:pPr>
        <w:pStyle w:val="12"/>
        <w:numPr>
          <w:ilvl w:val="0"/>
          <w:numId w:val="105"/>
        </w:numPr>
        <w:tabs>
          <w:tab w:val="left" w:pos="1052"/>
          <w:tab w:val="left" w:pos="1053"/>
        </w:tabs>
        <w:spacing w:before="0" w:after="0" w:line="240" w:lineRule="auto"/>
        <w:ind w:left="1052" w:right="0" w:hanging="416"/>
        <w:jc w:val="left"/>
        <w:rPr>
          <w:sz w:val="21"/>
        </w:rPr>
      </w:pPr>
      <w:r>
        <w:rPr>
          <w:sz w:val="21"/>
        </w:rPr>
        <w:t>有固定座位的教室、阅览室、实验教室等教学用房，应在靠近出入口处预留轮椅回转空间。</w:t>
      </w:r>
    </w:p>
    <w:p>
      <w:pPr>
        <w:pStyle w:val="5"/>
        <w:spacing w:before="7"/>
        <w:rPr>
          <w:sz w:val="15"/>
        </w:rPr>
      </w:pPr>
    </w:p>
    <w:p>
      <w:pPr>
        <w:pStyle w:val="12"/>
        <w:numPr>
          <w:ilvl w:val="2"/>
          <w:numId w:val="98"/>
        </w:numPr>
        <w:tabs>
          <w:tab w:val="left" w:pos="1052"/>
          <w:tab w:val="left" w:pos="1053"/>
        </w:tabs>
        <w:spacing w:before="0" w:after="0" w:line="417" w:lineRule="auto"/>
        <w:ind w:left="212" w:right="310" w:firstLine="0"/>
        <w:jc w:val="left"/>
        <w:rPr>
          <w:sz w:val="21"/>
        </w:rPr>
      </w:pPr>
      <w:bookmarkStart w:id="462" w:name="8.3.12视力、听力、言语、智力残障学校应符合现行行业标准《特殊教育学校建筑设"/>
      <w:bookmarkEnd w:id="462"/>
      <w:bookmarkStart w:id="463" w:name="8.3.12视力、听力、言语、智力残障学校应符合现行行业标准《特殊教育学校建筑设"/>
      <w:bookmarkEnd w:id="463"/>
      <w:r>
        <w:rPr>
          <w:spacing w:val="-4"/>
          <w:sz w:val="21"/>
        </w:rPr>
        <w:t>视力、听力、言语、智力残障学校应符合现行行业标准《特殊教育学校建筑设计规范》</w:t>
      </w:r>
      <w:r>
        <w:rPr>
          <w:rFonts w:hint="eastAsia" w:ascii="仿宋" w:eastAsia="仿宋"/>
          <w:sz w:val="21"/>
        </w:rPr>
        <w:t>JGJ</w:t>
      </w:r>
      <w:r>
        <w:rPr>
          <w:rFonts w:hint="eastAsia" w:ascii="仿宋" w:eastAsia="仿宋"/>
          <w:spacing w:val="-61"/>
          <w:sz w:val="21"/>
        </w:rPr>
        <w:t xml:space="preserve"> </w:t>
      </w:r>
      <w:r>
        <w:rPr>
          <w:sz w:val="21"/>
        </w:rPr>
        <w:t>76</w:t>
      </w:r>
      <w:r>
        <w:rPr>
          <w:spacing w:val="-31"/>
          <w:sz w:val="21"/>
        </w:rPr>
        <w:t xml:space="preserve"> 有关规定。</w:t>
      </w:r>
    </w:p>
    <w:p>
      <w:pPr>
        <w:pStyle w:val="12"/>
        <w:numPr>
          <w:ilvl w:val="1"/>
          <w:numId w:val="100"/>
        </w:numPr>
        <w:tabs>
          <w:tab w:val="left" w:pos="4797"/>
        </w:tabs>
        <w:spacing w:before="0" w:after="0" w:line="269" w:lineRule="exact"/>
        <w:ind w:left="4796" w:right="99" w:hanging="4797"/>
        <w:jc w:val="left"/>
        <w:rPr>
          <w:rFonts w:hint="eastAsia" w:ascii="黑体" w:eastAsia="黑体"/>
          <w:sz w:val="21"/>
        </w:rPr>
      </w:pPr>
      <w:bookmarkStart w:id="464" w:name="III医疗建筑"/>
      <w:bookmarkEnd w:id="464"/>
      <w:bookmarkStart w:id="465" w:name="III医疗建筑"/>
      <w:bookmarkEnd w:id="465"/>
      <w:r>
        <w:rPr>
          <w:rFonts w:hint="eastAsia" w:ascii="黑体" w:eastAsia="黑体"/>
          <w:sz w:val="21"/>
        </w:rPr>
        <w:t>医疗建筑</w:t>
      </w:r>
    </w:p>
    <w:p>
      <w:pPr>
        <w:pStyle w:val="5"/>
        <w:spacing w:before="7"/>
        <w:rPr>
          <w:rFonts w:ascii="黑体"/>
          <w:sz w:val="15"/>
        </w:rPr>
      </w:pPr>
    </w:p>
    <w:p>
      <w:pPr>
        <w:pStyle w:val="12"/>
        <w:numPr>
          <w:ilvl w:val="2"/>
          <w:numId w:val="98"/>
        </w:numPr>
        <w:tabs>
          <w:tab w:val="left" w:pos="1052"/>
          <w:tab w:val="left" w:pos="1053"/>
        </w:tabs>
        <w:spacing w:before="0" w:after="0" w:line="417" w:lineRule="auto"/>
        <w:ind w:left="212" w:right="310" w:firstLine="0"/>
        <w:jc w:val="left"/>
        <w:rPr>
          <w:sz w:val="21"/>
        </w:rPr>
      </w:pPr>
      <w:bookmarkStart w:id="466" w:name="8.3.13综合医院、专科医院、疗养院、康复中心、急救中心等与医疗、康复有关的建"/>
      <w:bookmarkEnd w:id="466"/>
      <w:bookmarkStart w:id="467" w:name="8.3.13综合医院、专科医院、疗养院、康复中心、急救中心等与医疗、康复有关的建"/>
      <w:bookmarkEnd w:id="467"/>
      <w:r>
        <w:rPr>
          <w:spacing w:val="-3"/>
          <w:w w:val="95"/>
          <w:sz w:val="21"/>
        </w:rPr>
        <w:t xml:space="preserve">综合医院、专科医院、疗养院、康复中心、急救中心等与医疗、康复有关的建筑，应进行无障碍   </w:t>
      </w:r>
      <w:r>
        <w:rPr>
          <w:spacing w:val="-3"/>
          <w:sz w:val="21"/>
        </w:rPr>
        <w:t>设计。</w:t>
      </w:r>
    </w:p>
    <w:p>
      <w:pPr>
        <w:pStyle w:val="12"/>
        <w:numPr>
          <w:ilvl w:val="2"/>
          <w:numId w:val="98"/>
        </w:numPr>
        <w:tabs>
          <w:tab w:val="left" w:pos="1052"/>
          <w:tab w:val="left" w:pos="1053"/>
        </w:tabs>
        <w:spacing w:before="0" w:after="0" w:line="269" w:lineRule="exact"/>
        <w:ind w:left="1052" w:right="0" w:hanging="841"/>
        <w:jc w:val="left"/>
        <w:rPr>
          <w:sz w:val="21"/>
        </w:rPr>
      </w:pPr>
      <w:bookmarkStart w:id="468" w:name="8.3.14医疗建筑中，凡病人、康复人员使用的建筑的无障碍设施应符合下列规定："/>
      <w:bookmarkEnd w:id="468"/>
      <w:bookmarkStart w:id="469" w:name="8.3.14医疗建筑中，凡病人、康复人员使用的建筑的无障碍设施应符合下列规定："/>
      <w:bookmarkEnd w:id="469"/>
      <w:r>
        <w:rPr>
          <w:sz w:val="21"/>
        </w:rPr>
        <w:t>医疗建筑中，凡病人、康复人员使用的建筑的无障碍设施应符合下列规定：</w:t>
      </w:r>
    </w:p>
    <w:p>
      <w:pPr>
        <w:pStyle w:val="5"/>
        <w:spacing w:before="6"/>
        <w:rPr>
          <w:sz w:val="15"/>
        </w:rPr>
      </w:pPr>
    </w:p>
    <w:p>
      <w:pPr>
        <w:pStyle w:val="12"/>
        <w:numPr>
          <w:ilvl w:val="0"/>
          <w:numId w:val="106"/>
        </w:numPr>
        <w:tabs>
          <w:tab w:val="left" w:pos="1052"/>
          <w:tab w:val="left" w:pos="1053"/>
        </w:tabs>
        <w:spacing w:before="1" w:after="0" w:line="240" w:lineRule="auto"/>
        <w:ind w:left="1052" w:right="0" w:hanging="416"/>
        <w:jc w:val="left"/>
        <w:rPr>
          <w:sz w:val="21"/>
        </w:rPr>
      </w:pPr>
      <w:r>
        <w:rPr>
          <w:sz w:val="21"/>
        </w:rPr>
        <w:t>宜设置无障碍小汽车上/落客区；</w:t>
      </w:r>
    </w:p>
    <w:p>
      <w:pPr>
        <w:pStyle w:val="5"/>
        <w:spacing w:before="6"/>
        <w:rPr>
          <w:sz w:val="15"/>
        </w:rPr>
      </w:pPr>
    </w:p>
    <w:p>
      <w:pPr>
        <w:pStyle w:val="12"/>
        <w:numPr>
          <w:ilvl w:val="0"/>
          <w:numId w:val="106"/>
        </w:numPr>
        <w:tabs>
          <w:tab w:val="left" w:pos="1052"/>
          <w:tab w:val="left" w:pos="1053"/>
        </w:tabs>
        <w:spacing w:before="0" w:after="0" w:line="240" w:lineRule="auto"/>
        <w:ind w:left="1052" w:right="0" w:hanging="416"/>
        <w:jc w:val="left"/>
        <w:rPr>
          <w:sz w:val="21"/>
        </w:rPr>
      </w:pPr>
      <w:r>
        <w:rPr>
          <w:sz w:val="21"/>
        </w:rPr>
        <w:t>室外通行的步行道应为无障碍通道；</w:t>
      </w:r>
    </w:p>
    <w:p>
      <w:pPr>
        <w:pStyle w:val="5"/>
        <w:spacing w:before="7"/>
        <w:rPr>
          <w:sz w:val="15"/>
        </w:rPr>
      </w:pPr>
    </w:p>
    <w:p>
      <w:pPr>
        <w:pStyle w:val="12"/>
        <w:numPr>
          <w:ilvl w:val="0"/>
          <w:numId w:val="106"/>
        </w:numPr>
        <w:tabs>
          <w:tab w:val="left" w:pos="1052"/>
          <w:tab w:val="left" w:pos="1053"/>
        </w:tabs>
        <w:spacing w:before="0" w:after="0" w:line="240" w:lineRule="auto"/>
        <w:ind w:left="1052" w:right="0" w:hanging="416"/>
        <w:jc w:val="left"/>
        <w:rPr>
          <w:sz w:val="21"/>
        </w:rPr>
      </w:pPr>
      <w:r>
        <w:rPr>
          <w:sz w:val="21"/>
        </w:rPr>
        <w:t>院区室外的休息座椅旁，应留有轮椅停留空间；</w:t>
      </w:r>
    </w:p>
    <w:p>
      <w:pPr>
        <w:pStyle w:val="5"/>
        <w:spacing w:before="7"/>
        <w:rPr>
          <w:sz w:val="15"/>
        </w:rPr>
      </w:pPr>
    </w:p>
    <w:p>
      <w:pPr>
        <w:pStyle w:val="12"/>
        <w:numPr>
          <w:ilvl w:val="0"/>
          <w:numId w:val="106"/>
        </w:numPr>
        <w:tabs>
          <w:tab w:val="left" w:pos="1052"/>
          <w:tab w:val="left" w:pos="1053"/>
        </w:tabs>
        <w:spacing w:before="0" w:after="0" w:line="240" w:lineRule="auto"/>
        <w:ind w:left="1052" w:right="0" w:hanging="416"/>
        <w:jc w:val="left"/>
        <w:rPr>
          <w:sz w:val="21"/>
        </w:rPr>
      </w:pPr>
      <w:r>
        <w:rPr>
          <w:sz w:val="21"/>
        </w:rPr>
        <w:t>建筑主要出入口应为无障碍出入口，宜设置为平坡出入口；</w:t>
      </w:r>
    </w:p>
    <w:p>
      <w:pPr>
        <w:pStyle w:val="5"/>
        <w:spacing w:before="6"/>
        <w:rPr>
          <w:sz w:val="15"/>
        </w:rPr>
      </w:pPr>
    </w:p>
    <w:p>
      <w:pPr>
        <w:pStyle w:val="12"/>
        <w:numPr>
          <w:ilvl w:val="0"/>
          <w:numId w:val="106"/>
        </w:numPr>
        <w:tabs>
          <w:tab w:val="left" w:pos="1052"/>
          <w:tab w:val="left" w:pos="1053"/>
        </w:tabs>
        <w:spacing w:before="1" w:after="0" w:line="240" w:lineRule="auto"/>
        <w:ind w:left="1052" w:right="0" w:hanging="416"/>
        <w:jc w:val="left"/>
        <w:rPr>
          <w:sz w:val="21"/>
        </w:rPr>
      </w:pPr>
      <w:r>
        <w:rPr>
          <w:spacing w:val="-6"/>
          <w:sz w:val="21"/>
        </w:rPr>
        <w:t>室内通道应设置无障碍通道，净宽不应小于 1.80</w:t>
      </w:r>
      <w:r>
        <w:rPr>
          <w:rFonts w:hint="eastAsia" w:ascii="仿宋" w:eastAsia="仿宋"/>
          <w:spacing w:val="-6"/>
          <w:sz w:val="21"/>
        </w:rPr>
        <w:t>m</w:t>
      </w:r>
      <w:r>
        <w:rPr>
          <w:spacing w:val="-8"/>
          <w:sz w:val="21"/>
        </w:rPr>
        <w:t xml:space="preserve">，并按照本标准第 </w:t>
      </w:r>
      <w:r>
        <w:rPr>
          <w:sz w:val="21"/>
        </w:rPr>
        <w:t>4.1</w:t>
      </w:r>
      <w:r>
        <w:rPr>
          <w:spacing w:val="-8"/>
          <w:sz w:val="21"/>
        </w:rPr>
        <w:t xml:space="preserve"> 节的有关规定设置扶手；</w:t>
      </w:r>
    </w:p>
    <w:p>
      <w:pPr>
        <w:pStyle w:val="5"/>
        <w:spacing w:before="1"/>
        <w:rPr>
          <w:sz w:val="10"/>
        </w:rPr>
      </w:pPr>
    </w:p>
    <w:p>
      <w:pPr>
        <w:pStyle w:val="12"/>
        <w:numPr>
          <w:ilvl w:val="0"/>
          <w:numId w:val="106"/>
        </w:numPr>
        <w:tabs>
          <w:tab w:val="left" w:pos="1053"/>
        </w:tabs>
        <w:spacing w:before="69" w:after="0" w:line="240" w:lineRule="auto"/>
        <w:ind w:left="1052" w:right="0" w:hanging="416"/>
        <w:jc w:val="both"/>
        <w:rPr>
          <w:sz w:val="21"/>
        </w:rPr>
      </w:pPr>
      <w:r>
        <w:rPr>
          <w:spacing w:val="-6"/>
          <w:sz w:val="21"/>
        </w:rPr>
        <w:t xml:space="preserve">门应符合本标准第 </w:t>
      </w:r>
      <w:r>
        <w:rPr>
          <w:sz w:val="21"/>
        </w:rPr>
        <w:t>4.1</w:t>
      </w:r>
      <w:r>
        <w:rPr>
          <w:spacing w:val="-8"/>
          <w:sz w:val="21"/>
        </w:rPr>
        <w:t xml:space="preserve"> 节中门的有关规定；</w:t>
      </w:r>
    </w:p>
    <w:p>
      <w:pPr>
        <w:pStyle w:val="5"/>
        <w:spacing w:before="7"/>
        <w:rPr>
          <w:sz w:val="15"/>
        </w:rPr>
      </w:pPr>
    </w:p>
    <w:p>
      <w:pPr>
        <w:pStyle w:val="12"/>
        <w:numPr>
          <w:ilvl w:val="0"/>
          <w:numId w:val="106"/>
        </w:numPr>
        <w:tabs>
          <w:tab w:val="left" w:pos="1053"/>
        </w:tabs>
        <w:spacing w:before="0" w:after="0" w:line="240" w:lineRule="auto"/>
        <w:ind w:left="1052" w:right="0" w:hanging="416"/>
        <w:jc w:val="both"/>
        <w:rPr>
          <w:sz w:val="21"/>
        </w:rPr>
      </w:pPr>
      <w:r>
        <w:rPr>
          <w:spacing w:val="-4"/>
          <w:sz w:val="21"/>
        </w:rPr>
        <w:t xml:space="preserve">设有电梯时，每组电梯应至少设置 </w:t>
      </w:r>
      <w:r>
        <w:rPr>
          <w:sz w:val="21"/>
        </w:rPr>
        <w:t>1</w:t>
      </w:r>
      <w:r>
        <w:rPr>
          <w:spacing w:val="-11"/>
          <w:sz w:val="21"/>
        </w:rPr>
        <w:t xml:space="preserve"> 部无障碍电梯；同一建筑内应至少设置 </w:t>
      </w:r>
      <w:r>
        <w:rPr>
          <w:sz w:val="21"/>
        </w:rPr>
        <w:t>1</w:t>
      </w:r>
      <w:r>
        <w:rPr>
          <w:spacing w:val="-8"/>
          <w:sz w:val="21"/>
        </w:rPr>
        <w:t xml:space="preserve"> 部无障碍楼梯；</w:t>
      </w:r>
    </w:p>
    <w:p>
      <w:pPr>
        <w:pStyle w:val="5"/>
        <w:spacing w:before="7"/>
        <w:rPr>
          <w:sz w:val="15"/>
        </w:rPr>
      </w:pPr>
    </w:p>
    <w:p>
      <w:pPr>
        <w:pStyle w:val="12"/>
        <w:numPr>
          <w:ilvl w:val="0"/>
          <w:numId w:val="106"/>
        </w:numPr>
        <w:tabs>
          <w:tab w:val="left" w:pos="1053"/>
        </w:tabs>
        <w:spacing w:before="0" w:after="0" w:line="417" w:lineRule="auto"/>
        <w:ind w:left="212" w:right="310" w:firstLine="424"/>
        <w:jc w:val="both"/>
        <w:rPr>
          <w:sz w:val="21"/>
        </w:rPr>
      </w:pPr>
      <w:r>
        <w:rPr>
          <w:spacing w:val="-7"/>
          <w:sz w:val="21"/>
        </w:rPr>
        <w:t xml:space="preserve">首层应至少设置 </w:t>
      </w:r>
      <w:r>
        <w:rPr>
          <w:sz w:val="21"/>
        </w:rPr>
        <w:t>1</w:t>
      </w:r>
      <w:r>
        <w:rPr>
          <w:spacing w:val="-11"/>
          <w:sz w:val="21"/>
        </w:rPr>
        <w:t xml:space="preserve"> 处无障碍卫生间。每层宜至少设置 </w:t>
      </w:r>
      <w:r>
        <w:rPr>
          <w:sz w:val="21"/>
        </w:rPr>
        <w:t>1</w:t>
      </w:r>
      <w:r>
        <w:rPr>
          <w:spacing w:val="-8"/>
          <w:sz w:val="21"/>
        </w:rPr>
        <w:t xml:space="preserve"> 处无障碍卫生间；无条件时，每层应至少</w:t>
      </w:r>
      <w:r>
        <w:rPr>
          <w:spacing w:val="-25"/>
          <w:sz w:val="21"/>
        </w:rPr>
        <w:t xml:space="preserve">设置 </w:t>
      </w:r>
      <w:r>
        <w:rPr>
          <w:sz w:val="21"/>
        </w:rPr>
        <w:t>1</w:t>
      </w:r>
      <w:r>
        <w:rPr>
          <w:spacing w:val="-14"/>
          <w:sz w:val="21"/>
        </w:rPr>
        <w:t xml:space="preserve"> 处符合本标准第 </w:t>
      </w:r>
      <w:r>
        <w:rPr>
          <w:sz w:val="21"/>
        </w:rPr>
        <w:t>4.2</w:t>
      </w:r>
      <w:r>
        <w:rPr>
          <w:spacing w:val="-10"/>
          <w:sz w:val="21"/>
        </w:rPr>
        <w:t xml:space="preserve"> 节有关规定的公共卫生间；病房内的卫生间应设置安全抓杆，并符合本标准第</w:t>
      </w:r>
    </w:p>
    <w:p>
      <w:pPr>
        <w:pStyle w:val="5"/>
        <w:spacing w:line="269" w:lineRule="exact"/>
        <w:ind w:left="212"/>
        <w:jc w:val="both"/>
      </w:pPr>
      <w:r>
        <w:t>4.2.7 条有关规定；</w:t>
      </w:r>
    </w:p>
    <w:p>
      <w:pPr>
        <w:pStyle w:val="5"/>
        <w:spacing w:before="7"/>
        <w:rPr>
          <w:sz w:val="15"/>
        </w:rPr>
      </w:pPr>
    </w:p>
    <w:p>
      <w:pPr>
        <w:pStyle w:val="12"/>
        <w:numPr>
          <w:ilvl w:val="0"/>
          <w:numId w:val="106"/>
        </w:numPr>
        <w:tabs>
          <w:tab w:val="left" w:pos="1053"/>
        </w:tabs>
        <w:spacing w:before="0" w:after="0" w:line="417" w:lineRule="auto"/>
        <w:ind w:left="212" w:right="310" w:firstLine="424"/>
        <w:jc w:val="both"/>
        <w:rPr>
          <w:sz w:val="21"/>
        </w:rPr>
      </w:pPr>
      <w:r>
        <w:rPr>
          <w:spacing w:val="-7"/>
          <w:sz w:val="21"/>
        </w:rPr>
        <w:t xml:space="preserve">门诊部、一类社康中心等基础医疗卫生场所，应设置 </w:t>
      </w:r>
      <w:r>
        <w:rPr>
          <w:sz w:val="21"/>
        </w:rPr>
        <w:t>1</w:t>
      </w:r>
      <w:r>
        <w:rPr>
          <w:spacing w:val="-13"/>
          <w:sz w:val="21"/>
        </w:rPr>
        <w:t xml:space="preserve"> 处使用面积不小于 </w:t>
      </w:r>
      <w:r>
        <w:rPr>
          <w:sz w:val="21"/>
        </w:rPr>
        <w:t>6</w:t>
      </w:r>
      <w:r>
        <w:rPr>
          <w:spacing w:val="-8"/>
          <w:sz w:val="21"/>
        </w:rPr>
        <w:t xml:space="preserve"> ㎡的母婴室；儿童医院的门、急诊部和医技部，以及各类医疗建筑中设有儿科诊室的楼层，每层宜至少设置 </w:t>
      </w:r>
      <w:r>
        <w:rPr>
          <w:sz w:val="21"/>
        </w:rPr>
        <w:t>1</w:t>
      </w:r>
      <w:r>
        <w:rPr>
          <w:spacing w:val="-9"/>
          <w:sz w:val="21"/>
        </w:rPr>
        <w:t xml:space="preserve"> 处母婴室，并宜靠近公共卫生间；</w:t>
      </w:r>
    </w:p>
    <w:p>
      <w:pPr>
        <w:pStyle w:val="12"/>
        <w:numPr>
          <w:ilvl w:val="0"/>
          <w:numId w:val="106"/>
        </w:numPr>
        <w:tabs>
          <w:tab w:val="left" w:pos="1053"/>
        </w:tabs>
        <w:spacing w:before="0" w:after="0" w:line="269" w:lineRule="exact"/>
        <w:ind w:left="1052" w:right="0" w:hanging="416"/>
        <w:jc w:val="both"/>
        <w:rPr>
          <w:sz w:val="21"/>
        </w:rPr>
      </w:pPr>
      <w:r>
        <w:rPr>
          <w:spacing w:val="-3"/>
          <w:sz w:val="21"/>
        </w:rPr>
        <w:t>诊区、病区的护士站、公共电话台、查询处、饮水器、自助售货处、服务台等应设置低位服务设</w:t>
      </w:r>
    </w:p>
    <w:p>
      <w:pPr>
        <w:pStyle w:val="5"/>
        <w:spacing w:before="6"/>
        <w:rPr>
          <w:sz w:val="15"/>
        </w:rPr>
      </w:pPr>
    </w:p>
    <w:p>
      <w:pPr>
        <w:pStyle w:val="5"/>
        <w:ind w:left="212"/>
      </w:pPr>
      <w:r>
        <w:t>施；</w:t>
      </w:r>
    </w:p>
    <w:p>
      <w:pPr>
        <w:pStyle w:val="5"/>
        <w:spacing w:before="7"/>
        <w:rPr>
          <w:sz w:val="15"/>
        </w:rPr>
      </w:pPr>
    </w:p>
    <w:p>
      <w:pPr>
        <w:pStyle w:val="12"/>
        <w:numPr>
          <w:ilvl w:val="0"/>
          <w:numId w:val="106"/>
        </w:numPr>
        <w:tabs>
          <w:tab w:val="left" w:pos="1052"/>
          <w:tab w:val="left" w:pos="1053"/>
        </w:tabs>
        <w:spacing w:before="0" w:after="0" w:line="417" w:lineRule="auto"/>
        <w:ind w:left="212" w:right="312" w:firstLine="424"/>
        <w:jc w:val="left"/>
        <w:rPr>
          <w:sz w:val="21"/>
        </w:rPr>
      </w:pPr>
      <w:r>
        <w:rPr>
          <w:spacing w:val="-1"/>
          <w:w w:val="95"/>
          <w:sz w:val="21"/>
        </w:rPr>
        <w:t xml:space="preserve">院区主要出入口处宜设置盲文地图或供视觉障碍者使用的语音导医系统和提示系统、供听力障碍   </w:t>
      </w:r>
      <w:r>
        <w:rPr>
          <w:spacing w:val="-1"/>
          <w:sz w:val="21"/>
        </w:rPr>
        <w:t>者需要的手语服务及文字提示导医系统。</w:t>
      </w:r>
    </w:p>
    <w:p>
      <w:pPr>
        <w:pStyle w:val="12"/>
        <w:numPr>
          <w:ilvl w:val="2"/>
          <w:numId w:val="107"/>
        </w:numPr>
        <w:tabs>
          <w:tab w:val="left" w:pos="1052"/>
          <w:tab w:val="left" w:pos="1053"/>
        </w:tabs>
        <w:spacing w:before="0" w:after="0" w:line="269" w:lineRule="exact"/>
        <w:ind w:left="1052" w:right="0" w:hanging="841"/>
        <w:jc w:val="left"/>
        <w:rPr>
          <w:sz w:val="21"/>
        </w:rPr>
      </w:pPr>
      <w:bookmarkStart w:id="470" w:name="8.3.15门、急诊部的无障碍设施还应符合下列规定："/>
      <w:bookmarkEnd w:id="470"/>
      <w:bookmarkStart w:id="471" w:name="8.3.15门、急诊部的无障碍设施还应符合下列规定："/>
      <w:bookmarkEnd w:id="471"/>
      <w:r>
        <w:rPr>
          <w:sz w:val="21"/>
        </w:rPr>
        <w:t>门、急诊部的无障碍设施还应符合下列规定：</w:t>
      </w:r>
    </w:p>
    <w:p>
      <w:pPr>
        <w:pStyle w:val="5"/>
        <w:spacing w:before="7"/>
        <w:rPr>
          <w:sz w:val="15"/>
        </w:rPr>
      </w:pPr>
    </w:p>
    <w:p>
      <w:pPr>
        <w:pStyle w:val="12"/>
        <w:numPr>
          <w:ilvl w:val="3"/>
          <w:numId w:val="107"/>
        </w:numPr>
        <w:tabs>
          <w:tab w:val="left" w:pos="1053"/>
        </w:tabs>
        <w:spacing w:before="0" w:after="0" w:line="240" w:lineRule="auto"/>
        <w:ind w:left="1052" w:right="0" w:hanging="416"/>
        <w:jc w:val="both"/>
        <w:rPr>
          <w:sz w:val="21"/>
        </w:rPr>
      </w:pPr>
      <w:r>
        <w:rPr>
          <w:sz w:val="21"/>
        </w:rPr>
        <w:t>挂号、收费、取药处应设置低位服务台或窗口，宜设置智能显示屏；</w:t>
      </w:r>
    </w:p>
    <w:p>
      <w:pPr>
        <w:pStyle w:val="5"/>
        <w:spacing w:before="7"/>
        <w:rPr>
          <w:sz w:val="15"/>
        </w:rPr>
      </w:pPr>
    </w:p>
    <w:p>
      <w:pPr>
        <w:pStyle w:val="12"/>
        <w:numPr>
          <w:ilvl w:val="3"/>
          <w:numId w:val="107"/>
        </w:numPr>
        <w:tabs>
          <w:tab w:val="left" w:pos="1053"/>
        </w:tabs>
        <w:spacing w:before="0" w:after="0" w:line="240" w:lineRule="auto"/>
        <w:ind w:left="1052" w:right="0" w:hanging="416"/>
        <w:jc w:val="both"/>
        <w:rPr>
          <w:sz w:val="21"/>
        </w:rPr>
      </w:pPr>
      <w:r>
        <w:rPr>
          <w:sz w:val="21"/>
        </w:rPr>
        <w:t>候诊区应设轮椅停留空间。</w:t>
      </w:r>
    </w:p>
    <w:p>
      <w:pPr>
        <w:spacing w:after="0" w:line="240" w:lineRule="auto"/>
        <w:jc w:val="both"/>
        <w:rPr>
          <w:sz w:val="21"/>
        </w:rPr>
        <w:sectPr>
          <w:pgSz w:w="11910" w:h="16840"/>
          <w:pgMar w:top="1580" w:right="820" w:bottom="1280" w:left="920" w:header="0" w:footer="1095" w:gutter="0"/>
          <w:cols w:space="720" w:num="1"/>
        </w:sectPr>
      </w:pPr>
    </w:p>
    <w:p>
      <w:pPr>
        <w:pStyle w:val="12"/>
        <w:numPr>
          <w:ilvl w:val="2"/>
          <w:numId w:val="107"/>
        </w:numPr>
        <w:tabs>
          <w:tab w:val="left" w:pos="1052"/>
          <w:tab w:val="left" w:pos="1053"/>
        </w:tabs>
        <w:spacing w:before="60" w:after="0" w:line="240" w:lineRule="auto"/>
        <w:ind w:left="1052" w:right="0" w:hanging="841"/>
        <w:jc w:val="left"/>
        <w:rPr>
          <w:sz w:val="21"/>
        </w:rPr>
      </w:pPr>
      <w:bookmarkStart w:id="472" w:name="8.3.16医技部的无障碍设施应符合下列规定："/>
      <w:bookmarkEnd w:id="472"/>
      <w:bookmarkStart w:id="473" w:name="8.3.16医技部的无障碍设施应符合下列规定："/>
      <w:bookmarkEnd w:id="473"/>
      <w:r>
        <w:rPr>
          <w:sz w:val="21"/>
        </w:rPr>
        <w:t>医技部的无障碍设施应符合下列规定：</w:t>
      </w:r>
    </w:p>
    <w:p>
      <w:pPr>
        <w:pStyle w:val="5"/>
        <w:spacing w:before="6"/>
        <w:rPr>
          <w:sz w:val="15"/>
        </w:rPr>
      </w:pPr>
    </w:p>
    <w:p>
      <w:pPr>
        <w:pStyle w:val="12"/>
        <w:numPr>
          <w:ilvl w:val="0"/>
          <w:numId w:val="108"/>
        </w:numPr>
        <w:tabs>
          <w:tab w:val="left" w:pos="1052"/>
          <w:tab w:val="left" w:pos="1053"/>
        </w:tabs>
        <w:spacing w:before="1" w:after="0" w:line="240" w:lineRule="auto"/>
        <w:ind w:left="1052" w:right="0" w:hanging="416"/>
        <w:jc w:val="left"/>
        <w:rPr>
          <w:sz w:val="21"/>
        </w:rPr>
      </w:pPr>
      <w:r>
        <w:rPr>
          <w:spacing w:val="-2"/>
          <w:sz w:val="21"/>
        </w:rPr>
        <w:t xml:space="preserve">病人更衣室内应留有轮椅回转空间，部分更衣箱高度应小于 </w:t>
      </w:r>
      <w:r>
        <w:rPr>
          <w:sz w:val="21"/>
        </w:rPr>
        <w:t>1.40</w:t>
      </w:r>
      <w:r>
        <w:rPr>
          <w:rFonts w:hint="eastAsia" w:ascii="仿宋" w:eastAsia="仿宋"/>
          <w:sz w:val="21"/>
        </w:rPr>
        <w:t>m</w:t>
      </w:r>
      <w:r>
        <w:rPr>
          <w:sz w:val="21"/>
        </w:rPr>
        <w:t>;</w:t>
      </w:r>
    </w:p>
    <w:p>
      <w:pPr>
        <w:pStyle w:val="5"/>
        <w:spacing w:before="6"/>
        <w:rPr>
          <w:sz w:val="15"/>
        </w:rPr>
      </w:pPr>
    </w:p>
    <w:p>
      <w:pPr>
        <w:pStyle w:val="12"/>
        <w:numPr>
          <w:ilvl w:val="0"/>
          <w:numId w:val="108"/>
        </w:numPr>
        <w:tabs>
          <w:tab w:val="left" w:pos="1052"/>
          <w:tab w:val="left" w:pos="1053"/>
        </w:tabs>
        <w:spacing w:before="0" w:after="0" w:line="240" w:lineRule="auto"/>
        <w:ind w:left="1052" w:right="0" w:hanging="416"/>
        <w:jc w:val="left"/>
        <w:rPr>
          <w:sz w:val="21"/>
        </w:rPr>
      </w:pPr>
      <w:r>
        <w:rPr>
          <w:sz w:val="21"/>
        </w:rPr>
        <w:t>等候区应设轮椅停留空间；</w:t>
      </w:r>
    </w:p>
    <w:p>
      <w:pPr>
        <w:pStyle w:val="5"/>
        <w:spacing w:before="7"/>
        <w:rPr>
          <w:sz w:val="15"/>
        </w:rPr>
      </w:pPr>
    </w:p>
    <w:p>
      <w:pPr>
        <w:pStyle w:val="12"/>
        <w:numPr>
          <w:ilvl w:val="0"/>
          <w:numId w:val="108"/>
        </w:numPr>
        <w:tabs>
          <w:tab w:val="left" w:pos="1052"/>
          <w:tab w:val="left" w:pos="1053"/>
        </w:tabs>
        <w:spacing w:before="0" w:after="0" w:line="240" w:lineRule="auto"/>
        <w:ind w:left="1052" w:right="0" w:hanging="416"/>
        <w:jc w:val="left"/>
        <w:rPr>
          <w:sz w:val="21"/>
        </w:rPr>
      </w:pPr>
      <w:r>
        <w:rPr>
          <w:sz w:val="21"/>
        </w:rPr>
        <w:t>取报告处宜设智能显示屏，并宜为自助终端等人机交互设备。</w:t>
      </w:r>
    </w:p>
    <w:p>
      <w:pPr>
        <w:pStyle w:val="5"/>
        <w:spacing w:before="7"/>
        <w:rPr>
          <w:sz w:val="15"/>
        </w:rPr>
      </w:pPr>
    </w:p>
    <w:p>
      <w:pPr>
        <w:pStyle w:val="12"/>
        <w:numPr>
          <w:ilvl w:val="2"/>
          <w:numId w:val="107"/>
        </w:numPr>
        <w:tabs>
          <w:tab w:val="left" w:pos="1052"/>
          <w:tab w:val="left" w:pos="1053"/>
        </w:tabs>
        <w:spacing w:before="0" w:after="0" w:line="240" w:lineRule="auto"/>
        <w:ind w:left="1052" w:right="0" w:hanging="841"/>
        <w:jc w:val="left"/>
        <w:rPr>
          <w:sz w:val="21"/>
        </w:rPr>
      </w:pPr>
      <w:bookmarkStart w:id="474" w:name="8.3.17住院部的无障碍设施应符合下列规定："/>
      <w:bookmarkEnd w:id="474"/>
      <w:bookmarkStart w:id="475" w:name="8.3.17住院部的无障碍设施应符合下列规定："/>
      <w:bookmarkEnd w:id="475"/>
      <w:r>
        <w:rPr>
          <w:sz w:val="21"/>
        </w:rPr>
        <w:t>住院部的无障碍设施应符合下列规定：</w:t>
      </w:r>
    </w:p>
    <w:p>
      <w:pPr>
        <w:pStyle w:val="5"/>
        <w:spacing w:before="6"/>
        <w:rPr>
          <w:sz w:val="15"/>
        </w:rPr>
      </w:pPr>
    </w:p>
    <w:p>
      <w:pPr>
        <w:pStyle w:val="12"/>
        <w:numPr>
          <w:ilvl w:val="0"/>
          <w:numId w:val="109"/>
        </w:numPr>
        <w:tabs>
          <w:tab w:val="left" w:pos="1052"/>
          <w:tab w:val="left" w:pos="1053"/>
        </w:tabs>
        <w:spacing w:before="1" w:after="0" w:line="240" w:lineRule="auto"/>
        <w:ind w:left="1052" w:right="0" w:hanging="416"/>
        <w:jc w:val="left"/>
        <w:rPr>
          <w:sz w:val="21"/>
        </w:rPr>
      </w:pPr>
      <w:r>
        <w:rPr>
          <w:spacing w:val="-3"/>
          <w:sz w:val="21"/>
        </w:rPr>
        <w:t xml:space="preserve">病人活动室墙面四周宜设置扶手，并符合本标准第 </w:t>
      </w:r>
      <w:r>
        <w:rPr>
          <w:sz w:val="21"/>
        </w:rPr>
        <w:t>4.1</w:t>
      </w:r>
      <w:r>
        <w:rPr>
          <w:spacing w:val="-8"/>
          <w:sz w:val="21"/>
        </w:rPr>
        <w:t xml:space="preserve"> 节中扶手的有关规定；</w:t>
      </w:r>
    </w:p>
    <w:p>
      <w:pPr>
        <w:pStyle w:val="5"/>
        <w:spacing w:before="6"/>
        <w:rPr>
          <w:sz w:val="15"/>
        </w:rPr>
      </w:pPr>
    </w:p>
    <w:p>
      <w:pPr>
        <w:pStyle w:val="12"/>
        <w:numPr>
          <w:ilvl w:val="0"/>
          <w:numId w:val="109"/>
        </w:numPr>
        <w:tabs>
          <w:tab w:val="left" w:pos="1052"/>
          <w:tab w:val="left" w:pos="1053"/>
        </w:tabs>
        <w:spacing w:before="0" w:after="0" w:line="417" w:lineRule="auto"/>
        <w:ind w:left="212" w:right="310" w:firstLine="424"/>
        <w:jc w:val="left"/>
        <w:rPr>
          <w:sz w:val="21"/>
        </w:rPr>
      </w:pPr>
      <w:r>
        <w:rPr>
          <w:spacing w:val="-5"/>
          <w:sz w:val="21"/>
        </w:rPr>
        <w:t xml:space="preserve">每个护理单元集中设置的病人浴室、卫生间，宜符合本标准第 </w:t>
      </w:r>
      <w:r>
        <w:rPr>
          <w:sz w:val="21"/>
        </w:rPr>
        <w:t>4.2</w:t>
      </w:r>
      <w:r>
        <w:rPr>
          <w:spacing w:val="-8"/>
          <w:sz w:val="21"/>
        </w:rPr>
        <w:t xml:space="preserve"> 节中公共浴室、公共卫生间的有关规定。</w:t>
      </w:r>
    </w:p>
    <w:p>
      <w:pPr>
        <w:pStyle w:val="12"/>
        <w:numPr>
          <w:ilvl w:val="2"/>
          <w:numId w:val="107"/>
        </w:numPr>
        <w:tabs>
          <w:tab w:val="left" w:pos="1052"/>
          <w:tab w:val="left" w:pos="1053"/>
        </w:tabs>
        <w:spacing w:before="0" w:after="0" w:line="269" w:lineRule="exact"/>
        <w:ind w:left="1052" w:right="0" w:hanging="841"/>
        <w:jc w:val="left"/>
        <w:rPr>
          <w:sz w:val="21"/>
        </w:rPr>
      </w:pPr>
      <w:bookmarkStart w:id="476" w:name="8.3.18理疗用房应根据治疗要求设置扶手，并符合本标准第4.1节中扶手的有关规"/>
      <w:bookmarkEnd w:id="476"/>
      <w:bookmarkStart w:id="477" w:name="8.3.18理疗用房应根据治疗要求设置扶手，并符合本标准第4.1节中扶手的有关规"/>
      <w:bookmarkEnd w:id="477"/>
      <w:r>
        <w:rPr>
          <w:spacing w:val="-3"/>
          <w:sz w:val="21"/>
        </w:rPr>
        <w:t xml:space="preserve">理疗用房应根据治疗要求设置扶手，并符合本标准第 </w:t>
      </w:r>
      <w:r>
        <w:rPr>
          <w:sz w:val="21"/>
        </w:rPr>
        <w:t>4.1</w:t>
      </w:r>
      <w:r>
        <w:rPr>
          <w:spacing w:val="-8"/>
          <w:sz w:val="21"/>
        </w:rPr>
        <w:t xml:space="preserve"> 节中扶手的有关规定。</w:t>
      </w:r>
    </w:p>
    <w:p>
      <w:pPr>
        <w:pStyle w:val="5"/>
        <w:spacing w:before="7"/>
        <w:rPr>
          <w:sz w:val="15"/>
        </w:rPr>
      </w:pPr>
    </w:p>
    <w:p>
      <w:pPr>
        <w:pStyle w:val="12"/>
        <w:numPr>
          <w:ilvl w:val="2"/>
          <w:numId w:val="107"/>
        </w:numPr>
        <w:tabs>
          <w:tab w:val="left" w:pos="1052"/>
          <w:tab w:val="left" w:pos="1053"/>
        </w:tabs>
        <w:spacing w:before="0" w:after="0" w:line="240" w:lineRule="auto"/>
        <w:ind w:left="1052" w:right="0" w:hanging="841"/>
        <w:jc w:val="left"/>
        <w:rPr>
          <w:sz w:val="21"/>
        </w:rPr>
      </w:pPr>
      <w:bookmarkStart w:id="478" w:name="8.3.19办公、科研、餐厅、食堂、太平间用房的主要出入口应为无障碍出入口。"/>
      <w:bookmarkEnd w:id="478"/>
      <w:bookmarkStart w:id="479" w:name="8.3.19办公、科研、餐厅、食堂、太平间用房的主要出入口应为无障碍出入口。"/>
      <w:bookmarkEnd w:id="479"/>
      <w:r>
        <w:rPr>
          <w:sz w:val="21"/>
        </w:rPr>
        <w:t>办公、科研、餐厅、食堂、太平间用房的主要出入口应为无障碍出入口。</w:t>
      </w:r>
    </w:p>
    <w:p>
      <w:pPr>
        <w:pStyle w:val="5"/>
        <w:spacing w:before="7"/>
        <w:rPr>
          <w:sz w:val="15"/>
        </w:rPr>
      </w:pPr>
    </w:p>
    <w:p>
      <w:pPr>
        <w:pStyle w:val="12"/>
        <w:numPr>
          <w:ilvl w:val="1"/>
          <w:numId w:val="100"/>
        </w:numPr>
        <w:tabs>
          <w:tab w:val="left" w:pos="4219"/>
        </w:tabs>
        <w:spacing w:before="0" w:after="0" w:line="240" w:lineRule="auto"/>
        <w:ind w:left="4218" w:right="99" w:hanging="4219"/>
        <w:jc w:val="left"/>
        <w:rPr>
          <w:rFonts w:hint="eastAsia" w:ascii="黑体" w:eastAsia="黑体"/>
          <w:sz w:val="21"/>
        </w:rPr>
      </w:pPr>
      <w:bookmarkStart w:id="480" w:name="IV福利及特殊服务建筑"/>
      <w:bookmarkEnd w:id="480"/>
      <w:bookmarkStart w:id="481" w:name="IV福利及特殊服务建筑"/>
      <w:bookmarkEnd w:id="481"/>
      <w:r>
        <w:rPr>
          <w:rFonts w:hint="eastAsia" w:ascii="黑体" w:eastAsia="黑体"/>
          <w:sz w:val="21"/>
        </w:rPr>
        <w:t>福利及特殊服务建筑</w:t>
      </w:r>
    </w:p>
    <w:p>
      <w:pPr>
        <w:pStyle w:val="5"/>
        <w:spacing w:before="6"/>
        <w:rPr>
          <w:rFonts w:ascii="黑体"/>
          <w:sz w:val="15"/>
        </w:rPr>
      </w:pPr>
    </w:p>
    <w:p>
      <w:pPr>
        <w:pStyle w:val="12"/>
        <w:numPr>
          <w:ilvl w:val="2"/>
          <w:numId w:val="107"/>
        </w:numPr>
        <w:tabs>
          <w:tab w:val="left" w:pos="1052"/>
          <w:tab w:val="left" w:pos="1053"/>
        </w:tabs>
        <w:spacing w:before="1" w:after="0" w:line="417" w:lineRule="auto"/>
        <w:ind w:left="212" w:right="292" w:firstLine="0"/>
        <w:jc w:val="left"/>
        <w:rPr>
          <w:sz w:val="21"/>
        </w:rPr>
      </w:pPr>
      <w:bookmarkStart w:id="482" w:name="8.3.20福利院、敬(安、养)老院、老年护理院、老年住宅、残疾人综合服务设施、"/>
      <w:bookmarkEnd w:id="482"/>
      <w:bookmarkStart w:id="483" w:name="8.3.20福利院、敬(安、养)老院、老年护理院、老年住宅、残疾人综合服务设施、"/>
      <w:bookmarkEnd w:id="483"/>
      <w:r>
        <w:rPr>
          <w:spacing w:val="-3"/>
          <w:sz w:val="21"/>
        </w:rPr>
        <w:t>福利院、敬(安、养)老院、老年护理院、老年住宅、残疾人综合服务设施、残疾人托养中心、残</w:t>
      </w:r>
      <w:r>
        <w:rPr>
          <w:spacing w:val="-3"/>
          <w:w w:val="95"/>
          <w:sz w:val="21"/>
        </w:rPr>
        <w:t>疾人体训中心及其他残疾人集中或使用频率较高的建筑等各类福利及特殊服务建筑，应进行无障碍设计。</w:t>
      </w:r>
    </w:p>
    <w:p>
      <w:pPr>
        <w:pStyle w:val="12"/>
        <w:numPr>
          <w:ilvl w:val="2"/>
          <w:numId w:val="107"/>
        </w:numPr>
        <w:tabs>
          <w:tab w:val="left" w:pos="1052"/>
          <w:tab w:val="left" w:pos="1053"/>
        </w:tabs>
        <w:spacing w:before="0" w:after="0" w:line="269" w:lineRule="exact"/>
        <w:ind w:left="1052" w:right="0" w:hanging="841"/>
        <w:jc w:val="left"/>
        <w:rPr>
          <w:sz w:val="21"/>
        </w:rPr>
      </w:pPr>
      <w:bookmarkStart w:id="484" w:name="8.3.21福利及特殊服务建筑的无障碍设施应符合下列规定："/>
      <w:bookmarkEnd w:id="484"/>
      <w:bookmarkStart w:id="485" w:name="8.3.21福利及特殊服务建筑的无障碍设施应符合下列规定："/>
      <w:bookmarkEnd w:id="485"/>
      <w:r>
        <w:rPr>
          <w:sz w:val="21"/>
        </w:rPr>
        <w:t>福利及特殊服务建筑的无障碍设施应符合下列规定：</w:t>
      </w:r>
    </w:p>
    <w:p>
      <w:pPr>
        <w:pStyle w:val="5"/>
        <w:spacing w:before="6"/>
        <w:rPr>
          <w:sz w:val="15"/>
        </w:rPr>
      </w:pPr>
    </w:p>
    <w:p>
      <w:pPr>
        <w:pStyle w:val="12"/>
        <w:numPr>
          <w:ilvl w:val="0"/>
          <w:numId w:val="110"/>
        </w:numPr>
        <w:tabs>
          <w:tab w:val="left" w:pos="1052"/>
          <w:tab w:val="left" w:pos="1053"/>
        </w:tabs>
        <w:spacing w:before="0" w:after="0" w:line="417" w:lineRule="auto"/>
        <w:ind w:left="212" w:right="310" w:firstLine="424"/>
        <w:jc w:val="left"/>
        <w:rPr>
          <w:sz w:val="21"/>
        </w:rPr>
      </w:pPr>
      <w:r>
        <w:rPr>
          <w:spacing w:val="-4"/>
          <w:w w:val="95"/>
          <w:sz w:val="21"/>
        </w:rPr>
        <w:t xml:space="preserve">室外通行的步行道应为无障碍通道；室外连通走道应选用平整、坚固、耐磨、不光滑的材料并宜   </w:t>
      </w:r>
      <w:r>
        <w:rPr>
          <w:spacing w:val="-4"/>
          <w:sz w:val="21"/>
        </w:rPr>
        <w:t>设遮阳蔽雨设施；</w:t>
      </w:r>
    </w:p>
    <w:p>
      <w:pPr>
        <w:pStyle w:val="12"/>
        <w:numPr>
          <w:ilvl w:val="0"/>
          <w:numId w:val="110"/>
        </w:numPr>
        <w:tabs>
          <w:tab w:val="left" w:pos="1052"/>
          <w:tab w:val="left" w:pos="1053"/>
        </w:tabs>
        <w:spacing w:before="0" w:after="0" w:line="269" w:lineRule="exact"/>
        <w:ind w:left="1052" w:right="0" w:hanging="416"/>
        <w:jc w:val="left"/>
        <w:rPr>
          <w:sz w:val="21"/>
        </w:rPr>
      </w:pPr>
      <w:r>
        <w:rPr>
          <w:sz w:val="21"/>
        </w:rPr>
        <w:t>院区室外的休息座椅旁，应留有轮椅停留空间；</w:t>
      </w:r>
    </w:p>
    <w:p>
      <w:pPr>
        <w:pStyle w:val="5"/>
        <w:spacing w:before="7"/>
        <w:rPr>
          <w:sz w:val="15"/>
        </w:rPr>
      </w:pPr>
    </w:p>
    <w:p>
      <w:pPr>
        <w:pStyle w:val="12"/>
        <w:numPr>
          <w:ilvl w:val="0"/>
          <w:numId w:val="110"/>
        </w:numPr>
        <w:tabs>
          <w:tab w:val="left" w:pos="1052"/>
          <w:tab w:val="left" w:pos="1053"/>
        </w:tabs>
        <w:spacing w:before="0" w:after="0" w:line="240" w:lineRule="auto"/>
        <w:ind w:left="1052" w:right="0" w:hanging="421"/>
        <w:jc w:val="left"/>
        <w:rPr>
          <w:sz w:val="21"/>
        </w:rPr>
      </w:pPr>
      <w:r>
        <w:rPr>
          <w:color w:val="363436"/>
          <w:spacing w:val="-2"/>
          <w:sz w:val="21"/>
        </w:rPr>
        <w:t>建筑首层</w:t>
      </w:r>
      <w:r>
        <w:rPr>
          <w:sz w:val="21"/>
        </w:rPr>
        <w:t>主要出入口应为平坡出入口，其他出入口宜为无障碍出入口</w:t>
      </w:r>
      <w:r>
        <w:rPr>
          <w:color w:val="363436"/>
          <w:sz w:val="21"/>
        </w:rPr>
        <w:t>；</w:t>
      </w:r>
    </w:p>
    <w:p>
      <w:pPr>
        <w:pStyle w:val="5"/>
        <w:spacing w:before="7"/>
        <w:rPr>
          <w:sz w:val="15"/>
        </w:rPr>
      </w:pPr>
    </w:p>
    <w:p>
      <w:pPr>
        <w:pStyle w:val="12"/>
        <w:numPr>
          <w:ilvl w:val="0"/>
          <w:numId w:val="110"/>
        </w:numPr>
        <w:tabs>
          <w:tab w:val="left" w:pos="1052"/>
          <w:tab w:val="left" w:pos="1053"/>
        </w:tabs>
        <w:spacing w:before="0" w:after="0" w:line="240" w:lineRule="auto"/>
        <w:ind w:left="1052" w:right="0" w:hanging="416"/>
        <w:jc w:val="left"/>
        <w:rPr>
          <w:sz w:val="21"/>
        </w:rPr>
      </w:pPr>
      <w:r>
        <w:rPr>
          <w:sz w:val="21"/>
        </w:rPr>
        <w:t>建筑出入口大厅、休息厅等人员聚集场所宜设置无障碍休息区；</w:t>
      </w:r>
    </w:p>
    <w:p>
      <w:pPr>
        <w:pStyle w:val="5"/>
        <w:spacing w:before="6"/>
        <w:rPr>
          <w:sz w:val="15"/>
        </w:rPr>
      </w:pPr>
    </w:p>
    <w:p>
      <w:pPr>
        <w:pStyle w:val="12"/>
        <w:numPr>
          <w:ilvl w:val="0"/>
          <w:numId w:val="110"/>
        </w:numPr>
        <w:tabs>
          <w:tab w:val="left" w:pos="1052"/>
          <w:tab w:val="left" w:pos="1053"/>
        </w:tabs>
        <w:spacing w:before="1" w:after="0" w:line="417" w:lineRule="auto"/>
        <w:ind w:left="212" w:right="315" w:firstLine="424"/>
        <w:jc w:val="left"/>
        <w:rPr>
          <w:sz w:val="21"/>
        </w:rPr>
      </w:pPr>
      <w:r>
        <w:rPr>
          <w:spacing w:val="-2"/>
          <w:sz w:val="21"/>
        </w:rPr>
        <w:t xml:space="preserve">公共区域的室内通道应为无障碍通道，净宽不宜小于 </w:t>
      </w:r>
      <w:r>
        <w:rPr>
          <w:sz w:val="21"/>
        </w:rPr>
        <w:t>1.80</w:t>
      </w:r>
      <w:r>
        <w:rPr>
          <w:rFonts w:hint="eastAsia" w:ascii="仿宋" w:eastAsia="仿宋"/>
          <w:sz w:val="21"/>
        </w:rPr>
        <w:t>m</w:t>
      </w:r>
      <w:r>
        <w:rPr>
          <w:sz w:val="21"/>
        </w:rPr>
        <w:t>，且通道两侧墙面应设置扶手，并符</w:t>
      </w:r>
      <w:r>
        <w:rPr>
          <w:spacing w:val="-9"/>
          <w:sz w:val="21"/>
        </w:rPr>
        <w:t xml:space="preserve">合本标准第 </w:t>
      </w:r>
      <w:r>
        <w:rPr>
          <w:sz w:val="21"/>
        </w:rPr>
        <w:t>4.1</w:t>
      </w:r>
      <w:r>
        <w:rPr>
          <w:spacing w:val="-8"/>
          <w:sz w:val="21"/>
        </w:rPr>
        <w:t xml:space="preserve"> 节中扶手的有关规定；</w:t>
      </w:r>
    </w:p>
    <w:p>
      <w:pPr>
        <w:pStyle w:val="12"/>
        <w:numPr>
          <w:ilvl w:val="0"/>
          <w:numId w:val="110"/>
        </w:numPr>
        <w:tabs>
          <w:tab w:val="left" w:pos="1052"/>
          <w:tab w:val="left" w:pos="1053"/>
        </w:tabs>
        <w:spacing w:before="0" w:after="0" w:line="269" w:lineRule="exact"/>
        <w:ind w:left="1052" w:right="0" w:hanging="416"/>
        <w:jc w:val="left"/>
        <w:rPr>
          <w:sz w:val="21"/>
        </w:rPr>
      </w:pPr>
      <w:r>
        <w:rPr>
          <w:sz w:val="21"/>
        </w:rPr>
        <w:t>电梯应为无障碍电梯；楼梯应为无障碍楼梯；</w:t>
      </w:r>
    </w:p>
    <w:p>
      <w:pPr>
        <w:pStyle w:val="5"/>
        <w:spacing w:before="6"/>
        <w:rPr>
          <w:sz w:val="15"/>
        </w:rPr>
      </w:pPr>
    </w:p>
    <w:p>
      <w:pPr>
        <w:pStyle w:val="12"/>
        <w:numPr>
          <w:ilvl w:val="0"/>
          <w:numId w:val="110"/>
        </w:numPr>
        <w:tabs>
          <w:tab w:val="left" w:pos="1052"/>
          <w:tab w:val="left" w:pos="1053"/>
        </w:tabs>
        <w:spacing w:before="0" w:after="0" w:line="240" w:lineRule="auto"/>
        <w:ind w:left="1052" w:right="0" w:hanging="416"/>
        <w:jc w:val="left"/>
        <w:rPr>
          <w:sz w:val="21"/>
        </w:rPr>
      </w:pPr>
      <w:r>
        <w:rPr>
          <w:spacing w:val="-2"/>
          <w:sz w:val="21"/>
        </w:rPr>
        <w:t>儿童福利院内供儿童使用的无障碍通道、台阶、轮椅坡道和无障碍楼梯两侧宜设置无障碍双层扶</w:t>
      </w:r>
    </w:p>
    <w:p>
      <w:pPr>
        <w:pStyle w:val="5"/>
        <w:spacing w:before="7"/>
        <w:rPr>
          <w:sz w:val="15"/>
        </w:rPr>
      </w:pPr>
    </w:p>
    <w:p>
      <w:pPr>
        <w:pStyle w:val="5"/>
        <w:ind w:left="212"/>
      </w:pPr>
      <w:r>
        <w:t>手；</w:t>
      </w:r>
    </w:p>
    <w:p>
      <w:pPr>
        <w:pStyle w:val="5"/>
        <w:spacing w:before="7"/>
        <w:rPr>
          <w:sz w:val="15"/>
        </w:rPr>
      </w:pPr>
    </w:p>
    <w:p>
      <w:pPr>
        <w:pStyle w:val="12"/>
        <w:numPr>
          <w:ilvl w:val="0"/>
          <w:numId w:val="110"/>
        </w:numPr>
        <w:tabs>
          <w:tab w:val="left" w:pos="1052"/>
          <w:tab w:val="left" w:pos="1053"/>
        </w:tabs>
        <w:spacing w:before="0" w:after="0" w:line="417" w:lineRule="auto"/>
        <w:ind w:left="212" w:right="312" w:firstLine="424"/>
        <w:jc w:val="left"/>
        <w:rPr>
          <w:sz w:val="21"/>
        </w:rPr>
      </w:pPr>
      <w:r>
        <w:rPr>
          <w:spacing w:val="-5"/>
          <w:sz w:val="21"/>
        </w:rPr>
        <w:t xml:space="preserve">居室户门净宽不应小于 </w:t>
      </w:r>
      <w:r>
        <w:rPr>
          <w:sz w:val="21"/>
        </w:rPr>
        <w:t>900</w:t>
      </w:r>
      <w:r>
        <w:rPr>
          <w:rFonts w:hint="eastAsia" w:ascii="仿宋" w:eastAsia="仿宋"/>
          <w:sz w:val="21"/>
        </w:rPr>
        <w:t>mm</w:t>
      </w:r>
      <w:r>
        <w:rPr>
          <w:spacing w:val="-4"/>
          <w:sz w:val="21"/>
        </w:rPr>
        <w:t xml:space="preserve">；居室内走道净宽不应小于 </w:t>
      </w:r>
      <w:r>
        <w:rPr>
          <w:sz w:val="21"/>
        </w:rPr>
        <w:t>1.20</w:t>
      </w:r>
      <w:r>
        <w:rPr>
          <w:rFonts w:hint="eastAsia" w:ascii="仿宋" w:eastAsia="仿宋"/>
          <w:sz w:val="21"/>
        </w:rPr>
        <w:t>m</w:t>
      </w:r>
      <w:r>
        <w:rPr>
          <w:sz w:val="21"/>
        </w:rPr>
        <w:t>；卧室、厨房、卫生间门净宽不</w:t>
      </w:r>
      <w:r>
        <w:rPr>
          <w:spacing w:val="-13"/>
          <w:sz w:val="21"/>
        </w:rPr>
        <w:t xml:space="preserve">应小于 </w:t>
      </w:r>
      <w:r>
        <w:rPr>
          <w:sz w:val="21"/>
        </w:rPr>
        <w:t>800</w:t>
      </w:r>
      <w:r>
        <w:rPr>
          <w:rFonts w:hint="eastAsia" w:ascii="仿宋" w:eastAsia="仿宋"/>
          <w:sz w:val="21"/>
        </w:rPr>
        <w:t>mm</w:t>
      </w:r>
      <w:r>
        <w:rPr>
          <w:sz w:val="21"/>
        </w:rPr>
        <w:t>；</w:t>
      </w:r>
    </w:p>
    <w:p>
      <w:pPr>
        <w:pStyle w:val="12"/>
        <w:numPr>
          <w:ilvl w:val="0"/>
          <w:numId w:val="110"/>
        </w:numPr>
        <w:tabs>
          <w:tab w:val="left" w:pos="1052"/>
          <w:tab w:val="left" w:pos="1053"/>
        </w:tabs>
        <w:spacing w:before="0" w:after="0" w:line="269" w:lineRule="exact"/>
        <w:ind w:left="1052" w:right="0" w:hanging="416"/>
        <w:jc w:val="left"/>
        <w:rPr>
          <w:sz w:val="21"/>
        </w:rPr>
      </w:pPr>
      <w:r>
        <w:rPr>
          <w:sz w:val="21"/>
        </w:rPr>
        <w:t>居室内宜留有轮椅回转空间；</w:t>
      </w:r>
    </w:p>
    <w:p>
      <w:pPr>
        <w:pStyle w:val="5"/>
        <w:spacing w:before="6"/>
        <w:rPr>
          <w:sz w:val="15"/>
        </w:rPr>
      </w:pPr>
    </w:p>
    <w:p>
      <w:pPr>
        <w:pStyle w:val="12"/>
        <w:numPr>
          <w:ilvl w:val="0"/>
          <w:numId w:val="110"/>
        </w:numPr>
        <w:tabs>
          <w:tab w:val="left" w:pos="1052"/>
          <w:tab w:val="left" w:pos="1053"/>
        </w:tabs>
        <w:spacing w:before="1" w:after="0" w:line="417" w:lineRule="auto"/>
        <w:ind w:left="212" w:right="312" w:firstLine="424"/>
        <w:jc w:val="left"/>
        <w:rPr>
          <w:sz w:val="21"/>
        </w:rPr>
      </w:pPr>
      <w:r>
        <w:rPr>
          <w:spacing w:val="-4"/>
          <w:sz w:val="21"/>
        </w:rPr>
        <w:t xml:space="preserve">居室内的卫生间应设置安全抓杆，并符合本标准第 </w:t>
      </w:r>
      <w:r>
        <w:rPr>
          <w:sz w:val="21"/>
        </w:rPr>
        <w:t>4.2.7</w:t>
      </w:r>
      <w:r>
        <w:rPr>
          <w:spacing w:val="-9"/>
          <w:sz w:val="21"/>
        </w:rPr>
        <w:t xml:space="preserve"> 条有关规定。居室内的淋浴间或盆浴间</w:t>
      </w:r>
      <w:r>
        <w:rPr>
          <w:spacing w:val="-12"/>
          <w:sz w:val="21"/>
        </w:rPr>
        <w:t xml:space="preserve">应设置安全抓杆，并符合本标准第 </w:t>
      </w:r>
      <w:r>
        <w:rPr>
          <w:sz w:val="21"/>
        </w:rPr>
        <w:t>4.2.12</w:t>
      </w:r>
      <w:r>
        <w:rPr>
          <w:spacing w:val="-35"/>
          <w:sz w:val="21"/>
        </w:rPr>
        <w:t xml:space="preserve"> 及 </w:t>
      </w:r>
      <w:r>
        <w:rPr>
          <w:sz w:val="21"/>
        </w:rPr>
        <w:t>4.2.13</w:t>
      </w:r>
      <w:r>
        <w:rPr>
          <w:spacing w:val="-9"/>
          <w:sz w:val="21"/>
        </w:rPr>
        <w:t xml:space="preserve"> 条有关规定；</w:t>
      </w:r>
    </w:p>
    <w:p>
      <w:pPr>
        <w:spacing w:after="0" w:line="417" w:lineRule="auto"/>
        <w:jc w:val="left"/>
        <w:rPr>
          <w:sz w:val="21"/>
        </w:rPr>
        <w:sectPr>
          <w:footerReference r:id="rId9" w:type="default"/>
          <w:pgSz w:w="11910" w:h="16840"/>
          <w:pgMar w:top="1580" w:right="820" w:bottom="1200" w:left="920" w:header="0" w:footer="1015" w:gutter="0"/>
          <w:pgNumType w:start="40"/>
          <w:cols w:space="720" w:num="1"/>
        </w:sectPr>
      </w:pPr>
    </w:p>
    <w:p>
      <w:pPr>
        <w:pStyle w:val="12"/>
        <w:numPr>
          <w:ilvl w:val="0"/>
          <w:numId w:val="110"/>
        </w:numPr>
        <w:tabs>
          <w:tab w:val="left" w:pos="1052"/>
          <w:tab w:val="left" w:pos="1053"/>
        </w:tabs>
        <w:spacing w:before="60" w:after="0" w:line="417" w:lineRule="auto"/>
        <w:ind w:left="212" w:right="310" w:firstLine="424"/>
        <w:jc w:val="left"/>
        <w:rPr>
          <w:sz w:val="21"/>
        </w:rPr>
      </w:pPr>
      <w:r>
        <w:rPr>
          <w:spacing w:val="-4"/>
          <w:sz w:val="21"/>
        </w:rPr>
        <w:t xml:space="preserve">居室外宜设置无障碍卫生间；无条件时，公共卫生间应符合本标准第 </w:t>
      </w:r>
      <w:r>
        <w:rPr>
          <w:sz w:val="21"/>
        </w:rPr>
        <w:t>4.2</w:t>
      </w:r>
      <w:r>
        <w:rPr>
          <w:spacing w:val="-9"/>
          <w:sz w:val="21"/>
        </w:rPr>
        <w:t xml:space="preserve"> 节有关规定。居室外公</w:t>
      </w:r>
      <w:r>
        <w:rPr>
          <w:spacing w:val="-13"/>
          <w:sz w:val="21"/>
        </w:rPr>
        <w:t xml:space="preserve">共浴室应符合本标准第 </w:t>
      </w:r>
      <w:r>
        <w:rPr>
          <w:sz w:val="21"/>
        </w:rPr>
        <w:t>4.2</w:t>
      </w:r>
      <w:r>
        <w:rPr>
          <w:spacing w:val="-8"/>
          <w:sz w:val="21"/>
        </w:rPr>
        <w:t xml:space="preserve"> 中公共浴室及更衣室的有关规定；</w:t>
      </w:r>
    </w:p>
    <w:p>
      <w:pPr>
        <w:pStyle w:val="12"/>
        <w:numPr>
          <w:ilvl w:val="0"/>
          <w:numId w:val="110"/>
        </w:numPr>
        <w:tabs>
          <w:tab w:val="left" w:pos="1052"/>
          <w:tab w:val="left" w:pos="1053"/>
        </w:tabs>
        <w:spacing w:before="0" w:after="0" w:line="269" w:lineRule="exact"/>
        <w:ind w:left="1052" w:right="0" w:hanging="416"/>
        <w:jc w:val="left"/>
        <w:rPr>
          <w:sz w:val="21"/>
        </w:rPr>
      </w:pPr>
      <w:r>
        <w:rPr>
          <w:sz w:val="21"/>
        </w:rPr>
        <w:t>居室宜设置智能显示屏。</w:t>
      </w:r>
    </w:p>
    <w:p>
      <w:pPr>
        <w:pStyle w:val="5"/>
        <w:spacing w:before="6"/>
        <w:rPr>
          <w:sz w:val="15"/>
        </w:rPr>
      </w:pPr>
    </w:p>
    <w:p>
      <w:pPr>
        <w:pStyle w:val="12"/>
        <w:numPr>
          <w:ilvl w:val="2"/>
          <w:numId w:val="107"/>
        </w:numPr>
        <w:tabs>
          <w:tab w:val="left" w:pos="1052"/>
          <w:tab w:val="left" w:pos="1053"/>
        </w:tabs>
        <w:spacing w:before="1" w:after="0" w:line="240" w:lineRule="auto"/>
        <w:ind w:left="1052" w:right="0" w:hanging="841"/>
        <w:jc w:val="left"/>
        <w:rPr>
          <w:sz w:val="21"/>
        </w:rPr>
      </w:pPr>
      <w:bookmarkStart w:id="486" w:name="8.3.22其他不同建筑类别应符合国家现行的有关建筑设计规范与标准的设计要求。"/>
      <w:bookmarkEnd w:id="486"/>
      <w:bookmarkStart w:id="487" w:name="8.3.22其他不同建筑类别应符合国家现行的有关建筑设计规范与标准的设计要求。"/>
      <w:bookmarkEnd w:id="487"/>
      <w:r>
        <w:rPr>
          <w:sz w:val="21"/>
        </w:rPr>
        <w:t>其他不同建筑类别应符合国家现行的有关建筑设计规范与标准的设计要求。</w:t>
      </w:r>
    </w:p>
    <w:p>
      <w:pPr>
        <w:pStyle w:val="5"/>
        <w:spacing w:before="6"/>
        <w:rPr>
          <w:sz w:val="15"/>
        </w:rPr>
      </w:pPr>
    </w:p>
    <w:p>
      <w:pPr>
        <w:pStyle w:val="12"/>
        <w:numPr>
          <w:ilvl w:val="1"/>
          <w:numId w:val="100"/>
        </w:numPr>
        <w:tabs>
          <w:tab w:val="left" w:pos="4692"/>
        </w:tabs>
        <w:spacing w:before="0" w:after="0" w:line="240" w:lineRule="auto"/>
        <w:ind w:left="4691" w:right="102" w:hanging="4692"/>
        <w:jc w:val="left"/>
        <w:rPr>
          <w:rFonts w:hint="eastAsia" w:ascii="黑体" w:eastAsia="黑体"/>
          <w:sz w:val="21"/>
        </w:rPr>
      </w:pPr>
      <w:bookmarkStart w:id="488" w:name="V体育建筑"/>
      <w:bookmarkEnd w:id="488"/>
      <w:bookmarkStart w:id="489" w:name="V体育建筑"/>
      <w:bookmarkEnd w:id="489"/>
      <w:r>
        <w:rPr>
          <w:rFonts w:hint="eastAsia" w:ascii="黑体" w:eastAsia="黑体"/>
          <w:sz w:val="21"/>
        </w:rPr>
        <w:t>体育建筑</w:t>
      </w:r>
    </w:p>
    <w:p>
      <w:pPr>
        <w:pStyle w:val="5"/>
        <w:spacing w:before="7"/>
        <w:rPr>
          <w:rFonts w:ascii="黑体"/>
          <w:sz w:val="15"/>
        </w:rPr>
      </w:pPr>
    </w:p>
    <w:p>
      <w:pPr>
        <w:pStyle w:val="12"/>
        <w:numPr>
          <w:ilvl w:val="2"/>
          <w:numId w:val="107"/>
        </w:numPr>
        <w:tabs>
          <w:tab w:val="left" w:pos="1052"/>
          <w:tab w:val="left" w:pos="1053"/>
        </w:tabs>
        <w:spacing w:before="0" w:after="0" w:line="240" w:lineRule="auto"/>
        <w:ind w:left="1052" w:right="0" w:hanging="841"/>
        <w:jc w:val="left"/>
        <w:rPr>
          <w:sz w:val="21"/>
        </w:rPr>
      </w:pPr>
      <w:bookmarkStart w:id="490" w:name="8.3.23作为体育比赛(训练)、体育教学、体育休闲使用的体育场馆和场地设施等，"/>
      <w:bookmarkEnd w:id="490"/>
      <w:bookmarkStart w:id="491" w:name="8.3.23作为体育比赛(训练)、体育教学、体育休闲使用的体育场馆和场地设施等，"/>
      <w:bookmarkEnd w:id="491"/>
      <w:r>
        <w:rPr>
          <w:sz w:val="21"/>
        </w:rPr>
        <w:t>作为体育比赛(训练)、体育教学、体育休闲使用的体育场馆和场地设施等，应进行无障碍设计。</w:t>
      </w:r>
    </w:p>
    <w:p>
      <w:pPr>
        <w:pStyle w:val="5"/>
        <w:spacing w:before="7"/>
        <w:rPr>
          <w:sz w:val="15"/>
        </w:rPr>
      </w:pPr>
    </w:p>
    <w:p>
      <w:pPr>
        <w:pStyle w:val="12"/>
        <w:numPr>
          <w:ilvl w:val="2"/>
          <w:numId w:val="107"/>
        </w:numPr>
        <w:tabs>
          <w:tab w:val="left" w:pos="1052"/>
          <w:tab w:val="left" w:pos="1053"/>
        </w:tabs>
        <w:spacing w:before="0" w:after="0" w:line="240" w:lineRule="auto"/>
        <w:ind w:left="1052" w:right="0" w:hanging="841"/>
        <w:jc w:val="left"/>
        <w:rPr>
          <w:sz w:val="21"/>
        </w:rPr>
      </w:pPr>
      <w:bookmarkStart w:id="492" w:name="8.3.24体育建筑的无障碍设施应符合下列规定："/>
      <w:bookmarkEnd w:id="492"/>
      <w:bookmarkStart w:id="493" w:name="8.3.24体育建筑的无障碍设施应符合下列规定："/>
      <w:bookmarkEnd w:id="493"/>
      <w:r>
        <w:rPr>
          <w:sz w:val="21"/>
        </w:rPr>
        <w:t>体育建筑的无障碍设施应符合下列规定：</w:t>
      </w:r>
    </w:p>
    <w:p>
      <w:pPr>
        <w:pStyle w:val="5"/>
        <w:spacing w:before="6"/>
        <w:rPr>
          <w:sz w:val="15"/>
        </w:rPr>
      </w:pPr>
    </w:p>
    <w:p>
      <w:pPr>
        <w:pStyle w:val="12"/>
        <w:numPr>
          <w:ilvl w:val="0"/>
          <w:numId w:val="111"/>
        </w:numPr>
        <w:tabs>
          <w:tab w:val="left" w:pos="1052"/>
          <w:tab w:val="left" w:pos="1053"/>
        </w:tabs>
        <w:spacing w:before="1" w:after="0" w:line="417" w:lineRule="auto"/>
        <w:ind w:left="212" w:right="238" w:firstLine="424"/>
        <w:jc w:val="left"/>
        <w:rPr>
          <w:sz w:val="21"/>
        </w:rPr>
      </w:pPr>
      <w:r>
        <w:rPr>
          <w:spacing w:val="-3"/>
          <w:sz w:val="21"/>
        </w:rPr>
        <w:t xml:space="preserve">特级、甲级场馆基地内应设置不少于总停车数的 </w:t>
      </w:r>
      <w:r>
        <w:rPr>
          <w:sz w:val="21"/>
        </w:rPr>
        <w:t>2</w:t>
      </w:r>
      <w:r>
        <w:rPr>
          <w:spacing w:val="-9"/>
          <w:sz w:val="21"/>
        </w:rPr>
        <w:t xml:space="preserve">%，且不少于 </w:t>
      </w:r>
      <w:r>
        <w:rPr>
          <w:sz w:val="21"/>
        </w:rPr>
        <w:t>2</w:t>
      </w:r>
      <w:r>
        <w:rPr>
          <w:spacing w:val="-8"/>
          <w:sz w:val="21"/>
        </w:rPr>
        <w:t xml:space="preserve"> 个无障碍机动车停车位；乙级、</w:t>
      </w:r>
      <w:r>
        <w:rPr>
          <w:spacing w:val="-12"/>
          <w:sz w:val="21"/>
        </w:rPr>
        <w:t xml:space="preserve">丙级场馆基地内应设置不少于 </w:t>
      </w:r>
      <w:r>
        <w:rPr>
          <w:sz w:val="21"/>
        </w:rPr>
        <w:t>2</w:t>
      </w:r>
      <w:r>
        <w:rPr>
          <w:spacing w:val="-8"/>
          <w:sz w:val="21"/>
        </w:rPr>
        <w:t xml:space="preserve"> 个无障碍机动车停车位；</w:t>
      </w:r>
    </w:p>
    <w:p>
      <w:pPr>
        <w:pStyle w:val="12"/>
        <w:numPr>
          <w:ilvl w:val="0"/>
          <w:numId w:val="111"/>
        </w:numPr>
        <w:tabs>
          <w:tab w:val="left" w:pos="1052"/>
          <w:tab w:val="left" w:pos="1053"/>
        </w:tabs>
        <w:spacing w:before="0" w:after="0" w:line="417" w:lineRule="auto"/>
        <w:ind w:left="212" w:right="312" w:firstLine="424"/>
        <w:jc w:val="left"/>
        <w:rPr>
          <w:sz w:val="21"/>
        </w:rPr>
      </w:pPr>
      <w:r>
        <w:rPr>
          <w:spacing w:val="-5"/>
          <w:sz w:val="21"/>
        </w:rPr>
        <w:t xml:space="preserve">建筑的观众、运动员及贵宾出入口应至少各设 </w:t>
      </w:r>
      <w:r>
        <w:rPr>
          <w:sz w:val="21"/>
        </w:rPr>
        <w:t>1</w:t>
      </w:r>
      <w:r>
        <w:rPr>
          <w:spacing w:val="-9"/>
          <w:sz w:val="21"/>
        </w:rPr>
        <w:t xml:space="preserve"> 处无障碍出入口，其他功能分区的出入口可根据需要设置无障碍出入口；</w:t>
      </w:r>
    </w:p>
    <w:p>
      <w:pPr>
        <w:pStyle w:val="12"/>
        <w:numPr>
          <w:ilvl w:val="0"/>
          <w:numId w:val="111"/>
        </w:numPr>
        <w:tabs>
          <w:tab w:val="left" w:pos="1052"/>
          <w:tab w:val="left" w:pos="1053"/>
        </w:tabs>
        <w:spacing w:before="0" w:after="0" w:line="417" w:lineRule="auto"/>
        <w:ind w:left="212" w:right="311" w:firstLine="424"/>
        <w:jc w:val="left"/>
        <w:rPr>
          <w:sz w:val="21"/>
        </w:rPr>
      </w:pPr>
      <w:r>
        <w:rPr>
          <w:spacing w:val="-5"/>
          <w:sz w:val="21"/>
        </w:rPr>
        <w:t xml:space="preserve">建筑检票口及无障碍出入口到各种无障碍设施的室内走道应为无障碍通道；通道长度大于 </w:t>
      </w:r>
      <w:r>
        <w:rPr>
          <w:sz w:val="21"/>
        </w:rPr>
        <w:t>50.00</w:t>
      </w:r>
      <w:r>
        <w:rPr>
          <w:rFonts w:hint="eastAsia" w:ascii="仿宋" w:eastAsia="仿宋"/>
          <w:sz w:val="21"/>
        </w:rPr>
        <w:t xml:space="preserve">m </w:t>
      </w:r>
      <w:r>
        <w:rPr>
          <w:sz w:val="21"/>
        </w:rPr>
        <w:t>时宜设置无障碍休息区，且不应影响通行净宽；</w:t>
      </w:r>
    </w:p>
    <w:p>
      <w:pPr>
        <w:pStyle w:val="12"/>
        <w:numPr>
          <w:ilvl w:val="0"/>
          <w:numId w:val="111"/>
        </w:numPr>
        <w:tabs>
          <w:tab w:val="left" w:pos="1052"/>
          <w:tab w:val="left" w:pos="1053"/>
        </w:tabs>
        <w:spacing w:before="0" w:after="0" w:line="269" w:lineRule="exact"/>
        <w:ind w:left="1052" w:right="0" w:hanging="416"/>
        <w:jc w:val="left"/>
        <w:rPr>
          <w:sz w:val="21"/>
        </w:rPr>
      </w:pPr>
      <w:r>
        <w:rPr>
          <w:sz w:val="21"/>
        </w:rPr>
        <w:t>大厅、休息厅、贵宾休息室、疏散大厅等主要人员聚集场所宜设置无障碍休息区；</w:t>
      </w:r>
    </w:p>
    <w:p>
      <w:pPr>
        <w:pStyle w:val="5"/>
        <w:spacing w:before="6"/>
        <w:rPr>
          <w:sz w:val="15"/>
        </w:rPr>
      </w:pPr>
    </w:p>
    <w:p>
      <w:pPr>
        <w:pStyle w:val="12"/>
        <w:numPr>
          <w:ilvl w:val="0"/>
          <w:numId w:val="111"/>
        </w:numPr>
        <w:tabs>
          <w:tab w:val="left" w:pos="1052"/>
          <w:tab w:val="left" w:pos="1053"/>
        </w:tabs>
        <w:spacing w:before="0" w:after="0" w:line="417" w:lineRule="auto"/>
        <w:ind w:left="212" w:right="310" w:firstLine="424"/>
        <w:jc w:val="left"/>
        <w:rPr>
          <w:sz w:val="21"/>
        </w:rPr>
      </w:pPr>
      <w:r>
        <w:rPr>
          <w:spacing w:val="-7"/>
          <w:sz w:val="21"/>
        </w:rPr>
        <w:t xml:space="preserve">特级、甲级场馆内各类观众看台区、主席台、贵宾区内设有电梯时，应至少各设置 </w:t>
      </w:r>
      <w:r>
        <w:rPr>
          <w:sz w:val="21"/>
        </w:rPr>
        <w:t>1</w:t>
      </w:r>
      <w:r>
        <w:rPr>
          <w:spacing w:val="-10"/>
          <w:sz w:val="21"/>
        </w:rPr>
        <w:t xml:space="preserve"> 部无障碍电</w:t>
      </w:r>
      <w:r>
        <w:rPr>
          <w:spacing w:val="-12"/>
          <w:sz w:val="21"/>
        </w:rPr>
        <w:t xml:space="preserve">梯；乙级、丙级场馆内坐席区设有电梯时，应至少设置 </w:t>
      </w:r>
      <w:r>
        <w:rPr>
          <w:sz w:val="21"/>
        </w:rPr>
        <w:t>1</w:t>
      </w:r>
      <w:r>
        <w:rPr>
          <w:spacing w:val="-8"/>
          <w:sz w:val="21"/>
        </w:rPr>
        <w:t xml:space="preserve"> 部无障碍电梯；</w:t>
      </w:r>
    </w:p>
    <w:p>
      <w:pPr>
        <w:pStyle w:val="12"/>
        <w:numPr>
          <w:ilvl w:val="0"/>
          <w:numId w:val="111"/>
        </w:numPr>
        <w:tabs>
          <w:tab w:val="left" w:pos="1052"/>
          <w:tab w:val="left" w:pos="1053"/>
        </w:tabs>
        <w:spacing w:before="0" w:after="0" w:line="269" w:lineRule="exact"/>
        <w:ind w:left="1052" w:right="0" w:hanging="416"/>
        <w:jc w:val="left"/>
        <w:rPr>
          <w:sz w:val="21"/>
        </w:rPr>
      </w:pPr>
      <w:r>
        <w:rPr>
          <w:sz w:val="21"/>
        </w:rPr>
        <w:t>供观众使用的楼梯应为无障碍楼梯；</w:t>
      </w:r>
    </w:p>
    <w:p>
      <w:pPr>
        <w:pStyle w:val="5"/>
        <w:spacing w:before="6"/>
        <w:rPr>
          <w:sz w:val="15"/>
        </w:rPr>
      </w:pPr>
    </w:p>
    <w:p>
      <w:pPr>
        <w:pStyle w:val="12"/>
        <w:numPr>
          <w:ilvl w:val="0"/>
          <w:numId w:val="111"/>
        </w:numPr>
        <w:tabs>
          <w:tab w:val="left" w:pos="1052"/>
          <w:tab w:val="left" w:pos="1053"/>
        </w:tabs>
        <w:spacing w:before="0" w:after="0" w:line="417" w:lineRule="auto"/>
        <w:ind w:left="212" w:right="208" w:firstLine="424"/>
        <w:jc w:val="left"/>
        <w:rPr>
          <w:sz w:val="21"/>
        </w:rPr>
      </w:pPr>
      <w:r>
        <w:rPr>
          <w:spacing w:val="-10"/>
          <w:sz w:val="21"/>
        </w:rPr>
        <w:t xml:space="preserve">宜在特级、甲级场馆每处观众区和运动员区的公共卫生间附近设置 </w:t>
      </w:r>
      <w:r>
        <w:rPr>
          <w:sz w:val="21"/>
        </w:rPr>
        <w:t>1</w:t>
      </w:r>
      <w:r>
        <w:rPr>
          <w:spacing w:val="-12"/>
          <w:sz w:val="21"/>
        </w:rPr>
        <w:t xml:space="preserve"> 个无障碍卫生间；无条件时， </w:t>
      </w:r>
      <w:r>
        <w:rPr>
          <w:spacing w:val="-15"/>
          <w:sz w:val="21"/>
        </w:rPr>
        <w:t xml:space="preserve">每处公共卫生间均应符合本标准第 </w:t>
      </w:r>
      <w:r>
        <w:rPr>
          <w:sz w:val="21"/>
        </w:rPr>
        <w:t>4.2</w:t>
      </w:r>
      <w:r>
        <w:rPr>
          <w:spacing w:val="-11"/>
          <w:sz w:val="21"/>
        </w:rPr>
        <w:t xml:space="preserve"> 节有关规定，且场馆内应至少设置 </w:t>
      </w:r>
      <w:r>
        <w:rPr>
          <w:sz w:val="21"/>
        </w:rPr>
        <w:t>1</w:t>
      </w:r>
      <w:r>
        <w:rPr>
          <w:spacing w:val="-9"/>
          <w:sz w:val="21"/>
        </w:rPr>
        <w:t xml:space="preserve"> 处无障碍卫生间；主席台休息</w:t>
      </w:r>
      <w:r>
        <w:rPr>
          <w:spacing w:val="-8"/>
          <w:sz w:val="21"/>
        </w:rPr>
        <w:t xml:space="preserve">区、贵宾休息区应至少各设置 </w:t>
      </w:r>
      <w:r>
        <w:rPr>
          <w:sz w:val="21"/>
        </w:rPr>
        <w:t>1</w:t>
      </w:r>
      <w:r>
        <w:rPr>
          <w:spacing w:val="-8"/>
          <w:sz w:val="21"/>
        </w:rPr>
        <w:t xml:space="preserve"> 处无障碍卫生间；宜在乙级、丙级场馆的观众区和运动员区的公共卫生间</w:t>
      </w:r>
      <w:r>
        <w:rPr>
          <w:spacing w:val="-16"/>
          <w:sz w:val="21"/>
        </w:rPr>
        <w:t xml:space="preserve">附近各设置 </w:t>
      </w:r>
      <w:r>
        <w:rPr>
          <w:sz w:val="21"/>
        </w:rPr>
        <w:t>1</w:t>
      </w:r>
      <w:r>
        <w:rPr>
          <w:spacing w:val="-17"/>
          <w:sz w:val="21"/>
        </w:rPr>
        <w:t xml:space="preserve"> 个无障碍卫生间；无条件时，应各至少设置 </w:t>
      </w:r>
      <w:r>
        <w:rPr>
          <w:sz w:val="21"/>
        </w:rPr>
        <w:t>1</w:t>
      </w:r>
      <w:r>
        <w:rPr>
          <w:spacing w:val="-14"/>
          <w:sz w:val="21"/>
        </w:rPr>
        <w:t xml:space="preserve"> 处符合本标准第 </w:t>
      </w:r>
      <w:r>
        <w:rPr>
          <w:sz w:val="21"/>
        </w:rPr>
        <w:t>4.2</w:t>
      </w:r>
      <w:r>
        <w:rPr>
          <w:spacing w:val="-8"/>
          <w:sz w:val="21"/>
        </w:rPr>
        <w:t xml:space="preserve"> 节有关规定的公共卫生间；</w:t>
      </w:r>
    </w:p>
    <w:p>
      <w:pPr>
        <w:pStyle w:val="12"/>
        <w:numPr>
          <w:ilvl w:val="0"/>
          <w:numId w:val="111"/>
        </w:numPr>
        <w:tabs>
          <w:tab w:val="left" w:pos="1052"/>
          <w:tab w:val="left" w:pos="1053"/>
        </w:tabs>
        <w:spacing w:before="0" w:after="0" w:line="268" w:lineRule="exact"/>
        <w:ind w:left="1052" w:right="0" w:hanging="416"/>
        <w:jc w:val="left"/>
        <w:rPr>
          <w:sz w:val="21"/>
        </w:rPr>
      </w:pPr>
      <w:r>
        <w:rPr>
          <w:sz w:val="21"/>
        </w:rPr>
        <w:t>场馆内人员聚集场所宜设置第三卫生间；</w:t>
      </w:r>
    </w:p>
    <w:p>
      <w:pPr>
        <w:pStyle w:val="5"/>
        <w:spacing w:before="7"/>
        <w:rPr>
          <w:sz w:val="15"/>
        </w:rPr>
      </w:pPr>
    </w:p>
    <w:p>
      <w:pPr>
        <w:pStyle w:val="12"/>
        <w:numPr>
          <w:ilvl w:val="0"/>
          <w:numId w:val="111"/>
        </w:numPr>
        <w:tabs>
          <w:tab w:val="left" w:pos="1052"/>
          <w:tab w:val="left" w:pos="1053"/>
        </w:tabs>
        <w:spacing w:before="0" w:after="0" w:line="240" w:lineRule="auto"/>
        <w:ind w:left="1052" w:right="0" w:hanging="416"/>
        <w:jc w:val="left"/>
        <w:rPr>
          <w:sz w:val="21"/>
        </w:rPr>
      </w:pPr>
      <w:r>
        <w:rPr>
          <w:spacing w:val="-3"/>
          <w:sz w:val="21"/>
        </w:rPr>
        <w:t xml:space="preserve">运动员浴室与更衣室均应符合本标准第 </w:t>
      </w:r>
      <w:r>
        <w:rPr>
          <w:sz w:val="21"/>
        </w:rPr>
        <w:t>4.2</w:t>
      </w:r>
      <w:r>
        <w:rPr>
          <w:spacing w:val="-8"/>
          <w:sz w:val="21"/>
        </w:rPr>
        <w:t xml:space="preserve"> 节中公共浴室及更衣室的有关规定。</w:t>
      </w:r>
    </w:p>
    <w:p>
      <w:pPr>
        <w:pStyle w:val="5"/>
        <w:spacing w:before="7"/>
        <w:rPr>
          <w:sz w:val="15"/>
        </w:rPr>
      </w:pPr>
    </w:p>
    <w:p>
      <w:pPr>
        <w:pStyle w:val="12"/>
        <w:numPr>
          <w:ilvl w:val="0"/>
          <w:numId w:val="111"/>
        </w:numPr>
        <w:tabs>
          <w:tab w:val="left" w:pos="1052"/>
          <w:tab w:val="left" w:pos="1053"/>
        </w:tabs>
        <w:spacing w:before="0" w:after="0" w:line="417" w:lineRule="auto"/>
        <w:ind w:left="212" w:right="312" w:firstLine="424"/>
        <w:jc w:val="left"/>
        <w:rPr>
          <w:sz w:val="21"/>
        </w:rPr>
      </w:pPr>
      <w:r>
        <w:rPr>
          <w:spacing w:val="-4"/>
          <w:sz w:val="21"/>
        </w:rPr>
        <w:t xml:space="preserve">场馆内各类观众看台的坐席区均应设置轮椅席位，并在轮椅席位旁或邻近的坐席处，设置 </w:t>
      </w:r>
      <w:r>
        <w:rPr>
          <w:sz w:val="21"/>
        </w:rPr>
        <w:t>1:1</w:t>
      </w:r>
      <w:r>
        <w:rPr>
          <w:spacing w:val="-31"/>
          <w:sz w:val="21"/>
        </w:rPr>
        <w:t xml:space="preserve"> 的</w:t>
      </w:r>
      <w:r>
        <w:rPr>
          <w:spacing w:val="-32"/>
          <w:sz w:val="21"/>
        </w:rPr>
        <w:t xml:space="preserve">陪护席位，轮椅席位数不应少于观众席位总数的 </w:t>
      </w:r>
      <w:r>
        <w:rPr>
          <w:sz w:val="21"/>
        </w:rPr>
        <w:t>0.2%；</w:t>
      </w:r>
    </w:p>
    <w:p>
      <w:pPr>
        <w:pStyle w:val="12"/>
        <w:numPr>
          <w:ilvl w:val="0"/>
          <w:numId w:val="111"/>
        </w:numPr>
        <w:tabs>
          <w:tab w:val="left" w:pos="1052"/>
          <w:tab w:val="left" w:pos="1053"/>
        </w:tabs>
        <w:spacing w:before="0" w:after="0" w:line="269" w:lineRule="exact"/>
        <w:ind w:left="1052" w:right="0" w:hanging="416"/>
        <w:jc w:val="left"/>
        <w:rPr>
          <w:sz w:val="21"/>
        </w:rPr>
      </w:pPr>
      <w:r>
        <w:rPr>
          <w:spacing w:val="-1"/>
          <w:w w:val="99"/>
          <w:sz w:val="21"/>
        </w:rPr>
        <w:t>建筑面积达到</w:t>
      </w:r>
      <w:r>
        <w:rPr>
          <w:spacing w:val="-50"/>
          <w:sz w:val="21"/>
        </w:rPr>
        <w:t xml:space="preserve"> </w:t>
      </w:r>
      <w:r>
        <w:rPr>
          <w:w w:val="99"/>
          <w:sz w:val="21"/>
        </w:rPr>
        <w:t>2</w:t>
      </w:r>
      <w:r>
        <w:rPr>
          <w:spacing w:val="-52"/>
          <w:sz w:val="21"/>
        </w:rPr>
        <w:t xml:space="preserve"> </w:t>
      </w:r>
      <w:r>
        <w:rPr>
          <w:w w:val="99"/>
          <w:sz w:val="21"/>
        </w:rPr>
        <w:t>万</w:t>
      </w:r>
      <w:r>
        <w:rPr>
          <w:spacing w:val="-53"/>
          <w:sz w:val="21"/>
        </w:rPr>
        <w:t xml:space="preserve"> </w:t>
      </w:r>
      <w:r>
        <w:rPr>
          <w:rFonts w:hint="eastAsia" w:ascii="仿宋" w:eastAsia="仿宋"/>
          <w:spacing w:val="1"/>
          <w:w w:val="99"/>
          <w:sz w:val="21"/>
        </w:rPr>
        <w:t>m</w:t>
      </w:r>
      <w:r>
        <w:rPr>
          <w:w w:val="106"/>
          <w:position w:val="11"/>
          <w:sz w:val="10"/>
        </w:rPr>
        <w:t>2</w:t>
      </w:r>
      <w:r>
        <w:rPr>
          <w:spacing w:val="-24"/>
          <w:position w:val="11"/>
          <w:sz w:val="10"/>
        </w:rPr>
        <w:t xml:space="preserve"> </w:t>
      </w:r>
      <w:r>
        <w:rPr>
          <w:spacing w:val="-1"/>
          <w:w w:val="99"/>
          <w:sz w:val="21"/>
        </w:rPr>
        <w:t>以上的体育建筑宜设置智能显示屏。</w:t>
      </w:r>
    </w:p>
    <w:p>
      <w:pPr>
        <w:pStyle w:val="5"/>
        <w:spacing w:before="7"/>
        <w:rPr>
          <w:sz w:val="15"/>
        </w:rPr>
      </w:pPr>
    </w:p>
    <w:p>
      <w:pPr>
        <w:pStyle w:val="12"/>
        <w:numPr>
          <w:ilvl w:val="1"/>
          <w:numId w:val="100"/>
        </w:numPr>
        <w:tabs>
          <w:tab w:val="left" w:pos="4744"/>
        </w:tabs>
        <w:spacing w:before="0" w:after="0" w:line="240" w:lineRule="auto"/>
        <w:ind w:left="4744" w:right="99" w:hanging="4744"/>
        <w:jc w:val="left"/>
        <w:rPr>
          <w:rFonts w:hint="eastAsia" w:ascii="黑体" w:eastAsia="黑体"/>
          <w:sz w:val="21"/>
        </w:rPr>
      </w:pPr>
      <w:bookmarkStart w:id="494" w:name="VI文化建筑"/>
      <w:bookmarkEnd w:id="494"/>
      <w:bookmarkStart w:id="495" w:name="VI文化建筑"/>
      <w:bookmarkEnd w:id="495"/>
      <w:r>
        <w:rPr>
          <w:rFonts w:hint="eastAsia" w:ascii="黑体" w:eastAsia="黑体"/>
          <w:sz w:val="21"/>
        </w:rPr>
        <w:t>文化建筑</w:t>
      </w:r>
    </w:p>
    <w:p>
      <w:pPr>
        <w:pStyle w:val="5"/>
        <w:spacing w:before="6"/>
        <w:rPr>
          <w:rFonts w:ascii="黑体"/>
          <w:sz w:val="15"/>
        </w:rPr>
      </w:pPr>
    </w:p>
    <w:p>
      <w:pPr>
        <w:pStyle w:val="12"/>
        <w:numPr>
          <w:ilvl w:val="2"/>
          <w:numId w:val="107"/>
        </w:numPr>
        <w:tabs>
          <w:tab w:val="left" w:pos="1052"/>
          <w:tab w:val="left" w:pos="1053"/>
        </w:tabs>
        <w:spacing w:before="0" w:after="0" w:line="417" w:lineRule="auto"/>
        <w:ind w:left="212" w:right="292" w:firstLine="0"/>
        <w:jc w:val="left"/>
        <w:rPr>
          <w:sz w:val="21"/>
        </w:rPr>
      </w:pPr>
      <w:bookmarkStart w:id="496" w:name="8.3.25文化馆、活动中心、图书馆、档案馆、纪念馆、纪念塔、纪念碑、宗教建筑、"/>
      <w:bookmarkEnd w:id="496"/>
      <w:bookmarkStart w:id="497" w:name="8.3.25文化馆、活动中心、图书馆、档案馆、纪念馆、纪念塔、纪念碑、宗教建筑、"/>
      <w:bookmarkEnd w:id="497"/>
      <w:r>
        <w:rPr>
          <w:w w:val="95"/>
          <w:sz w:val="21"/>
        </w:rPr>
        <w:t xml:space="preserve">文化馆、活动中心、图书馆、档案馆、纪念馆、纪念塔、纪念碑、宗教建筑、博物馆、展览馆、   </w:t>
      </w:r>
      <w:r>
        <w:rPr>
          <w:spacing w:val="-3"/>
          <w:sz w:val="21"/>
        </w:rPr>
        <w:t>科技馆、艺术馆、美术馆、会展中心、剧场、音乐厅、电影院、会堂、演艺中心等各类文化建筑，应进行</w:t>
      </w:r>
    </w:p>
    <w:p>
      <w:pPr>
        <w:spacing w:after="0" w:line="417" w:lineRule="auto"/>
        <w:jc w:val="left"/>
        <w:rPr>
          <w:sz w:val="21"/>
        </w:rPr>
        <w:sectPr>
          <w:pgSz w:w="11910" w:h="16840"/>
          <w:pgMar w:top="1580" w:right="820" w:bottom="1280" w:left="920" w:header="0" w:footer="1015" w:gutter="0"/>
          <w:cols w:space="720" w:num="1"/>
        </w:sectPr>
      </w:pPr>
    </w:p>
    <w:p>
      <w:pPr>
        <w:pStyle w:val="5"/>
        <w:spacing w:before="60"/>
        <w:ind w:left="212"/>
      </w:pPr>
      <w:r>
        <w:t>无障碍设计。</w:t>
      </w:r>
    </w:p>
    <w:p>
      <w:pPr>
        <w:pStyle w:val="5"/>
        <w:spacing w:before="6"/>
        <w:rPr>
          <w:sz w:val="15"/>
        </w:rPr>
      </w:pPr>
    </w:p>
    <w:p>
      <w:pPr>
        <w:pStyle w:val="12"/>
        <w:numPr>
          <w:ilvl w:val="2"/>
          <w:numId w:val="107"/>
        </w:numPr>
        <w:tabs>
          <w:tab w:val="left" w:pos="1052"/>
          <w:tab w:val="left" w:pos="1053"/>
        </w:tabs>
        <w:spacing w:before="1" w:after="0" w:line="240" w:lineRule="auto"/>
        <w:ind w:left="1052" w:right="0" w:hanging="841"/>
        <w:jc w:val="left"/>
        <w:rPr>
          <w:sz w:val="21"/>
        </w:rPr>
      </w:pPr>
      <w:bookmarkStart w:id="498" w:name="8.3.26文化建筑的无障碍设施应符合下列规定："/>
      <w:bookmarkEnd w:id="498"/>
      <w:bookmarkStart w:id="499" w:name="8.3.26文化建筑的无障碍设施应符合下列规定："/>
      <w:bookmarkEnd w:id="499"/>
      <w:r>
        <w:rPr>
          <w:sz w:val="21"/>
        </w:rPr>
        <w:t>文化建筑的无障碍设施应符合下列规定：</w:t>
      </w:r>
    </w:p>
    <w:p>
      <w:pPr>
        <w:pStyle w:val="5"/>
        <w:spacing w:before="6"/>
        <w:rPr>
          <w:sz w:val="15"/>
        </w:rPr>
      </w:pPr>
    </w:p>
    <w:p>
      <w:pPr>
        <w:pStyle w:val="12"/>
        <w:numPr>
          <w:ilvl w:val="0"/>
          <w:numId w:val="112"/>
        </w:numPr>
        <w:tabs>
          <w:tab w:val="left" w:pos="1052"/>
          <w:tab w:val="left" w:pos="1053"/>
        </w:tabs>
        <w:spacing w:before="0" w:after="0" w:line="240" w:lineRule="auto"/>
        <w:ind w:left="1052" w:right="0" w:hanging="416"/>
        <w:jc w:val="left"/>
        <w:rPr>
          <w:sz w:val="21"/>
        </w:rPr>
      </w:pPr>
      <w:r>
        <w:rPr>
          <w:spacing w:val="-7"/>
          <w:sz w:val="21"/>
        </w:rPr>
        <w:t xml:space="preserve">建筑应至少设置 </w:t>
      </w:r>
      <w:r>
        <w:rPr>
          <w:sz w:val="21"/>
        </w:rPr>
        <w:t>1</w:t>
      </w:r>
      <w:r>
        <w:rPr>
          <w:spacing w:val="-8"/>
          <w:sz w:val="21"/>
        </w:rPr>
        <w:t xml:space="preserve"> 处无障碍出入口，且宜位于主要出入口处；</w:t>
      </w:r>
    </w:p>
    <w:p>
      <w:pPr>
        <w:pStyle w:val="5"/>
        <w:spacing w:before="7"/>
        <w:rPr>
          <w:sz w:val="15"/>
        </w:rPr>
      </w:pPr>
    </w:p>
    <w:p>
      <w:pPr>
        <w:pStyle w:val="12"/>
        <w:numPr>
          <w:ilvl w:val="0"/>
          <w:numId w:val="112"/>
        </w:numPr>
        <w:tabs>
          <w:tab w:val="left" w:pos="1052"/>
          <w:tab w:val="left" w:pos="1053"/>
        </w:tabs>
        <w:spacing w:before="0" w:after="0" w:line="417" w:lineRule="auto"/>
        <w:ind w:left="212" w:right="312" w:firstLine="424"/>
        <w:jc w:val="left"/>
        <w:rPr>
          <w:sz w:val="21"/>
        </w:rPr>
      </w:pPr>
      <w:r>
        <w:rPr>
          <w:spacing w:val="-2"/>
          <w:w w:val="95"/>
          <w:sz w:val="21"/>
        </w:rPr>
        <w:t>建筑出入口大厅、休息厅</w:t>
      </w:r>
      <w:r>
        <w:rPr>
          <w:w w:val="95"/>
          <w:sz w:val="21"/>
        </w:rPr>
        <w:t>（贵宾休息厅</w:t>
      </w:r>
      <w:r>
        <w:rPr>
          <w:spacing w:val="-3"/>
          <w:w w:val="95"/>
          <w:sz w:val="21"/>
        </w:rPr>
        <w:t>）</w:t>
      </w:r>
      <w:r>
        <w:rPr>
          <w:spacing w:val="-2"/>
          <w:w w:val="95"/>
          <w:sz w:val="21"/>
        </w:rPr>
        <w:t xml:space="preserve">、疏散大厅等主要人员聚集场所有高差或台阶时应设轮   </w:t>
      </w:r>
      <w:r>
        <w:rPr>
          <w:spacing w:val="-2"/>
          <w:sz w:val="21"/>
        </w:rPr>
        <w:t>椅坡道，宜设置无障碍休息区；</w:t>
      </w:r>
    </w:p>
    <w:p>
      <w:pPr>
        <w:pStyle w:val="12"/>
        <w:numPr>
          <w:ilvl w:val="0"/>
          <w:numId w:val="112"/>
        </w:numPr>
        <w:tabs>
          <w:tab w:val="left" w:pos="1052"/>
          <w:tab w:val="left" w:pos="1053"/>
        </w:tabs>
        <w:spacing w:before="0" w:after="0" w:line="417" w:lineRule="auto"/>
        <w:ind w:left="212" w:right="315" w:firstLine="424"/>
        <w:jc w:val="left"/>
        <w:rPr>
          <w:sz w:val="21"/>
        </w:rPr>
      </w:pPr>
      <w:r>
        <w:rPr>
          <w:spacing w:val="-2"/>
          <w:sz w:val="21"/>
        </w:rPr>
        <w:t xml:space="preserve">公众通行的室内走道及检票口应为无障碍通道，通道长度大于 </w:t>
      </w:r>
      <w:r>
        <w:rPr>
          <w:sz w:val="21"/>
        </w:rPr>
        <w:t>50.00</w:t>
      </w:r>
      <w:r>
        <w:rPr>
          <w:rFonts w:hint="eastAsia" w:ascii="仿宋" w:eastAsia="仿宋"/>
          <w:sz w:val="21"/>
        </w:rPr>
        <w:t>m</w:t>
      </w:r>
      <w:r>
        <w:rPr>
          <w:rFonts w:hint="eastAsia" w:ascii="仿宋" w:eastAsia="仿宋"/>
          <w:spacing w:val="-48"/>
          <w:sz w:val="21"/>
        </w:rPr>
        <w:t xml:space="preserve"> </w:t>
      </w:r>
      <w:r>
        <w:rPr>
          <w:sz w:val="21"/>
        </w:rPr>
        <w:t>时宜设无障碍休息区，且不应影响通行净宽；</w:t>
      </w:r>
    </w:p>
    <w:p>
      <w:pPr>
        <w:pStyle w:val="12"/>
        <w:numPr>
          <w:ilvl w:val="0"/>
          <w:numId w:val="112"/>
        </w:numPr>
        <w:tabs>
          <w:tab w:val="left" w:pos="1052"/>
          <w:tab w:val="left" w:pos="1053"/>
        </w:tabs>
        <w:spacing w:before="0" w:after="0" w:line="269" w:lineRule="exact"/>
        <w:ind w:left="1052" w:right="0" w:hanging="416"/>
        <w:jc w:val="left"/>
        <w:rPr>
          <w:sz w:val="21"/>
        </w:rPr>
      </w:pPr>
      <w:r>
        <w:rPr>
          <w:sz w:val="21"/>
        </w:rPr>
        <w:t>供公众使用的主要楼梯宜为无障碍楼梯；</w:t>
      </w:r>
    </w:p>
    <w:p>
      <w:pPr>
        <w:pStyle w:val="5"/>
        <w:spacing w:before="6"/>
        <w:rPr>
          <w:sz w:val="15"/>
        </w:rPr>
      </w:pPr>
    </w:p>
    <w:p>
      <w:pPr>
        <w:pStyle w:val="12"/>
        <w:numPr>
          <w:ilvl w:val="0"/>
          <w:numId w:val="112"/>
        </w:numPr>
        <w:tabs>
          <w:tab w:val="left" w:pos="1052"/>
          <w:tab w:val="left" w:pos="1053"/>
        </w:tabs>
        <w:spacing w:before="1" w:after="0" w:line="417" w:lineRule="auto"/>
        <w:ind w:left="212" w:right="310" w:firstLine="424"/>
        <w:jc w:val="left"/>
        <w:rPr>
          <w:sz w:val="21"/>
        </w:rPr>
      </w:pPr>
      <w:r>
        <w:rPr>
          <w:spacing w:val="-3"/>
          <w:sz w:val="21"/>
        </w:rPr>
        <w:t xml:space="preserve">宜在每层供公众使用的公共卫生间附近设置 </w:t>
      </w:r>
      <w:r>
        <w:rPr>
          <w:sz w:val="21"/>
        </w:rPr>
        <w:t>1</w:t>
      </w:r>
      <w:r>
        <w:rPr>
          <w:spacing w:val="-13"/>
          <w:sz w:val="21"/>
        </w:rPr>
        <w:t xml:space="preserve"> 个无障碍卫生间；无条件时，每层应至少设置 </w:t>
      </w:r>
      <w:r>
        <w:rPr>
          <w:sz w:val="21"/>
        </w:rPr>
        <w:t>1</w:t>
      </w:r>
      <w:r>
        <w:rPr>
          <w:spacing w:val="-29"/>
          <w:sz w:val="21"/>
        </w:rPr>
        <w:t xml:space="preserve"> 处</w:t>
      </w:r>
      <w:r>
        <w:rPr>
          <w:spacing w:val="-33"/>
          <w:sz w:val="21"/>
        </w:rPr>
        <w:t xml:space="preserve">符合本标准第 </w:t>
      </w:r>
      <w:r>
        <w:rPr>
          <w:sz w:val="21"/>
        </w:rPr>
        <w:t>4.2</w:t>
      </w:r>
      <w:r>
        <w:rPr>
          <w:spacing w:val="-8"/>
          <w:sz w:val="21"/>
        </w:rPr>
        <w:t xml:space="preserve"> 节有关规定的公共卫生间；</w:t>
      </w:r>
    </w:p>
    <w:p>
      <w:pPr>
        <w:pStyle w:val="12"/>
        <w:numPr>
          <w:ilvl w:val="0"/>
          <w:numId w:val="112"/>
        </w:numPr>
        <w:tabs>
          <w:tab w:val="left" w:pos="1052"/>
          <w:tab w:val="left" w:pos="1053"/>
        </w:tabs>
        <w:spacing w:before="0" w:after="0" w:line="269" w:lineRule="exact"/>
        <w:ind w:left="1052" w:right="0" w:hanging="416"/>
        <w:jc w:val="left"/>
        <w:rPr>
          <w:sz w:val="21"/>
        </w:rPr>
      </w:pPr>
      <w:r>
        <w:rPr>
          <w:sz w:val="21"/>
        </w:rPr>
        <w:t>公共区域人员聚集场所宜设置第三卫生间；</w:t>
      </w:r>
    </w:p>
    <w:p>
      <w:pPr>
        <w:pStyle w:val="5"/>
        <w:spacing w:before="6"/>
        <w:rPr>
          <w:sz w:val="15"/>
        </w:rPr>
      </w:pPr>
    </w:p>
    <w:p>
      <w:pPr>
        <w:pStyle w:val="12"/>
        <w:numPr>
          <w:ilvl w:val="0"/>
          <w:numId w:val="112"/>
        </w:numPr>
        <w:tabs>
          <w:tab w:val="left" w:pos="1052"/>
          <w:tab w:val="left" w:pos="1053"/>
        </w:tabs>
        <w:spacing w:before="0" w:after="0" w:line="240" w:lineRule="auto"/>
        <w:ind w:left="1052" w:right="0" w:hanging="416"/>
        <w:jc w:val="left"/>
        <w:rPr>
          <w:sz w:val="21"/>
        </w:rPr>
      </w:pPr>
      <w:r>
        <w:rPr>
          <w:spacing w:val="-5"/>
          <w:sz w:val="21"/>
        </w:rPr>
        <w:t xml:space="preserve">公共餐厅应提供总用餐数 </w:t>
      </w:r>
      <w:r>
        <w:rPr>
          <w:sz w:val="21"/>
        </w:rPr>
        <w:t>2%的活动座椅；</w:t>
      </w:r>
    </w:p>
    <w:p>
      <w:pPr>
        <w:pStyle w:val="5"/>
        <w:spacing w:before="7"/>
        <w:rPr>
          <w:sz w:val="15"/>
        </w:rPr>
      </w:pPr>
    </w:p>
    <w:p>
      <w:pPr>
        <w:pStyle w:val="12"/>
        <w:numPr>
          <w:ilvl w:val="0"/>
          <w:numId w:val="112"/>
        </w:numPr>
        <w:tabs>
          <w:tab w:val="left" w:pos="1052"/>
          <w:tab w:val="left" w:pos="1053"/>
        </w:tabs>
        <w:spacing w:before="0" w:after="0" w:line="240" w:lineRule="auto"/>
        <w:ind w:left="1052" w:right="0" w:hanging="416"/>
        <w:jc w:val="left"/>
        <w:rPr>
          <w:sz w:val="21"/>
        </w:rPr>
      </w:pPr>
      <w:r>
        <w:rPr>
          <w:sz w:val="21"/>
        </w:rPr>
        <w:t>宜在大厅、休息厅、图书馆和文化馆的检索台、展馆的检票口和门禁等处使用人机交互设备。</w:t>
      </w:r>
    </w:p>
    <w:p>
      <w:pPr>
        <w:pStyle w:val="5"/>
        <w:spacing w:before="7"/>
        <w:rPr>
          <w:sz w:val="15"/>
        </w:rPr>
      </w:pPr>
    </w:p>
    <w:p>
      <w:pPr>
        <w:pStyle w:val="12"/>
        <w:numPr>
          <w:ilvl w:val="2"/>
          <w:numId w:val="107"/>
        </w:numPr>
        <w:tabs>
          <w:tab w:val="left" w:pos="1052"/>
          <w:tab w:val="left" w:pos="1053"/>
        </w:tabs>
        <w:spacing w:before="0" w:after="0" w:line="417" w:lineRule="auto"/>
        <w:ind w:left="212" w:right="307" w:firstLine="0"/>
        <w:jc w:val="left"/>
        <w:rPr>
          <w:sz w:val="21"/>
        </w:rPr>
      </w:pPr>
      <w:bookmarkStart w:id="500" w:name="8.3.27文化馆、少儿活动中心、图书馆、档案馆、纪念馆、纪念塔、纪念碑、宗教建"/>
      <w:bookmarkEnd w:id="500"/>
      <w:bookmarkStart w:id="501" w:name="8.3.27文化馆、少儿活动中心、图书馆、档案馆、纪念馆、纪念塔、纪念碑、宗教建"/>
      <w:bookmarkEnd w:id="501"/>
      <w:r>
        <w:rPr>
          <w:spacing w:val="-3"/>
          <w:w w:val="95"/>
          <w:sz w:val="21"/>
        </w:rPr>
        <w:t xml:space="preserve">文化馆、少儿活动中心、图书馆、档案馆、纪念馆、纪念塔、纪念碑、宗教建筑、博物馆、展览   </w:t>
      </w:r>
      <w:r>
        <w:rPr>
          <w:spacing w:val="-3"/>
          <w:sz w:val="21"/>
        </w:rPr>
        <w:t>馆、科技馆、艺术馆、美术馆、会展中心等建筑物的无障碍设施尚应符合下列规定：</w:t>
      </w:r>
    </w:p>
    <w:p>
      <w:pPr>
        <w:pStyle w:val="12"/>
        <w:numPr>
          <w:ilvl w:val="0"/>
          <w:numId w:val="113"/>
        </w:numPr>
        <w:tabs>
          <w:tab w:val="left" w:pos="1052"/>
          <w:tab w:val="left" w:pos="1053"/>
        </w:tabs>
        <w:spacing w:before="0" w:after="0" w:line="269" w:lineRule="exact"/>
        <w:ind w:left="1052" w:right="0" w:hanging="416"/>
        <w:jc w:val="left"/>
        <w:rPr>
          <w:sz w:val="21"/>
        </w:rPr>
      </w:pPr>
      <w:r>
        <w:rPr>
          <w:sz w:val="21"/>
        </w:rPr>
        <w:t>图书馆、文化馆等安有探测仪的出入口应便于乘轮椅者进入；</w:t>
      </w:r>
    </w:p>
    <w:p>
      <w:pPr>
        <w:pStyle w:val="5"/>
        <w:spacing w:before="6"/>
        <w:rPr>
          <w:sz w:val="15"/>
        </w:rPr>
      </w:pPr>
    </w:p>
    <w:p>
      <w:pPr>
        <w:pStyle w:val="12"/>
        <w:numPr>
          <w:ilvl w:val="0"/>
          <w:numId w:val="113"/>
        </w:numPr>
        <w:tabs>
          <w:tab w:val="left" w:pos="1052"/>
          <w:tab w:val="left" w:pos="1053"/>
        </w:tabs>
        <w:spacing w:before="1" w:after="0" w:line="240" w:lineRule="auto"/>
        <w:ind w:left="1052" w:right="0" w:hanging="416"/>
        <w:jc w:val="left"/>
        <w:rPr>
          <w:sz w:val="21"/>
        </w:rPr>
      </w:pPr>
      <w:r>
        <w:rPr>
          <w:spacing w:val="-6"/>
          <w:sz w:val="21"/>
        </w:rPr>
        <w:t xml:space="preserve">图书馆、文化馆等应设置带目录检索功能的低位自助终端，且符合本标准第 </w:t>
      </w:r>
      <w:r>
        <w:rPr>
          <w:sz w:val="21"/>
        </w:rPr>
        <w:t>4.3.12</w:t>
      </w:r>
      <w:r>
        <w:rPr>
          <w:spacing w:val="-9"/>
          <w:sz w:val="21"/>
        </w:rPr>
        <w:t xml:space="preserve"> 条有关规定；</w:t>
      </w:r>
    </w:p>
    <w:p>
      <w:pPr>
        <w:pStyle w:val="5"/>
        <w:spacing w:before="6"/>
        <w:rPr>
          <w:sz w:val="15"/>
        </w:rPr>
      </w:pPr>
    </w:p>
    <w:p>
      <w:pPr>
        <w:pStyle w:val="12"/>
        <w:numPr>
          <w:ilvl w:val="0"/>
          <w:numId w:val="113"/>
        </w:numPr>
        <w:tabs>
          <w:tab w:val="left" w:pos="1052"/>
          <w:tab w:val="left" w:pos="1053"/>
        </w:tabs>
        <w:spacing w:before="0" w:after="0" w:line="240" w:lineRule="auto"/>
        <w:ind w:left="1052" w:right="0" w:hanging="416"/>
        <w:jc w:val="left"/>
        <w:rPr>
          <w:sz w:val="21"/>
        </w:rPr>
      </w:pPr>
      <w:r>
        <w:rPr>
          <w:spacing w:val="-2"/>
          <w:sz w:val="21"/>
        </w:rPr>
        <w:t xml:space="preserve">报告厅、视听室、陈列室、展览厅等设有观众席位时应至少设 </w:t>
      </w:r>
      <w:r>
        <w:rPr>
          <w:sz w:val="21"/>
        </w:rPr>
        <w:t>1</w:t>
      </w:r>
      <w:r>
        <w:rPr>
          <w:spacing w:val="-9"/>
          <w:sz w:val="21"/>
        </w:rPr>
        <w:t xml:space="preserve"> 个轮椅席位；</w:t>
      </w:r>
    </w:p>
    <w:p>
      <w:pPr>
        <w:pStyle w:val="5"/>
        <w:spacing w:before="7"/>
        <w:rPr>
          <w:sz w:val="15"/>
        </w:rPr>
      </w:pPr>
    </w:p>
    <w:p>
      <w:pPr>
        <w:pStyle w:val="12"/>
        <w:numPr>
          <w:ilvl w:val="0"/>
          <w:numId w:val="113"/>
        </w:numPr>
        <w:tabs>
          <w:tab w:val="left" w:pos="1052"/>
          <w:tab w:val="left" w:pos="1053"/>
        </w:tabs>
        <w:spacing w:before="0" w:after="0" w:line="240" w:lineRule="auto"/>
        <w:ind w:left="1052" w:right="0" w:hanging="416"/>
        <w:jc w:val="left"/>
        <w:rPr>
          <w:sz w:val="21"/>
        </w:rPr>
      </w:pPr>
      <w:r>
        <w:rPr>
          <w:w w:val="95"/>
          <w:sz w:val="21"/>
        </w:rPr>
        <w:t>区级及以上图书馆应设盲人专用图书室(角)，图书室（角）内宜设置智能显示屏、公用计算机；</w:t>
      </w:r>
    </w:p>
    <w:p>
      <w:pPr>
        <w:pStyle w:val="5"/>
        <w:spacing w:before="7"/>
        <w:rPr>
          <w:sz w:val="15"/>
        </w:rPr>
      </w:pPr>
    </w:p>
    <w:p>
      <w:pPr>
        <w:pStyle w:val="12"/>
        <w:numPr>
          <w:ilvl w:val="0"/>
          <w:numId w:val="113"/>
        </w:numPr>
        <w:tabs>
          <w:tab w:val="left" w:pos="1052"/>
          <w:tab w:val="left" w:pos="1053"/>
        </w:tabs>
        <w:spacing w:before="0" w:after="0" w:line="417" w:lineRule="auto"/>
        <w:ind w:left="212" w:right="312" w:firstLine="424"/>
        <w:jc w:val="left"/>
        <w:rPr>
          <w:sz w:val="21"/>
        </w:rPr>
      </w:pPr>
      <w:r>
        <w:rPr>
          <w:spacing w:val="-3"/>
          <w:sz w:val="21"/>
        </w:rPr>
        <w:t>设盲人专用图书室(角)的图书馆内无障碍入口、服务台、楼梯间和电梯间入口、盲人图书室前应设行进盲道和提示盲道；</w:t>
      </w:r>
    </w:p>
    <w:p>
      <w:pPr>
        <w:pStyle w:val="12"/>
        <w:numPr>
          <w:ilvl w:val="0"/>
          <w:numId w:val="113"/>
        </w:numPr>
        <w:tabs>
          <w:tab w:val="left" w:pos="1052"/>
          <w:tab w:val="left" w:pos="1053"/>
        </w:tabs>
        <w:spacing w:before="0" w:after="0" w:line="269" w:lineRule="exact"/>
        <w:ind w:left="1052" w:right="0" w:hanging="416"/>
        <w:jc w:val="left"/>
        <w:rPr>
          <w:sz w:val="21"/>
        </w:rPr>
      </w:pPr>
      <w:r>
        <w:rPr>
          <w:sz w:val="21"/>
        </w:rPr>
        <w:t>宜提供语音导览器、助听器等信息服务设备。</w:t>
      </w:r>
    </w:p>
    <w:p>
      <w:pPr>
        <w:pStyle w:val="5"/>
        <w:spacing w:before="6"/>
        <w:rPr>
          <w:sz w:val="15"/>
        </w:rPr>
      </w:pPr>
    </w:p>
    <w:p>
      <w:pPr>
        <w:pStyle w:val="12"/>
        <w:numPr>
          <w:ilvl w:val="2"/>
          <w:numId w:val="107"/>
        </w:numPr>
        <w:tabs>
          <w:tab w:val="left" w:pos="1052"/>
          <w:tab w:val="left" w:pos="1053"/>
        </w:tabs>
        <w:spacing w:before="1" w:after="0" w:line="240" w:lineRule="auto"/>
        <w:ind w:left="1052" w:right="0" w:hanging="841"/>
        <w:jc w:val="left"/>
        <w:rPr>
          <w:sz w:val="21"/>
        </w:rPr>
      </w:pPr>
      <w:bookmarkStart w:id="502" w:name="8.3.28剧场、音乐厅、电影院、会堂、演艺中心等建筑的无障碍设施应符合下列规定"/>
      <w:bookmarkEnd w:id="502"/>
      <w:bookmarkStart w:id="503" w:name="8.3.28剧场、音乐厅、电影院、会堂、演艺中心等建筑的无障碍设施应符合下列规定"/>
      <w:bookmarkEnd w:id="503"/>
      <w:r>
        <w:rPr>
          <w:w w:val="95"/>
          <w:sz w:val="21"/>
        </w:rPr>
        <w:t>剧场、音乐厅、电影院、会堂、演艺中心等建筑的无障碍设施应符合下列规定：</w:t>
      </w:r>
    </w:p>
    <w:p>
      <w:pPr>
        <w:pStyle w:val="5"/>
        <w:spacing w:before="6"/>
        <w:rPr>
          <w:sz w:val="15"/>
        </w:rPr>
      </w:pPr>
    </w:p>
    <w:p>
      <w:pPr>
        <w:pStyle w:val="12"/>
        <w:numPr>
          <w:ilvl w:val="0"/>
          <w:numId w:val="114"/>
        </w:numPr>
        <w:tabs>
          <w:tab w:val="left" w:pos="1052"/>
          <w:tab w:val="left" w:pos="1053"/>
        </w:tabs>
        <w:spacing w:before="0" w:after="0" w:line="417" w:lineRule="auto"/>
        <w:ind w:left="212" w:right="310" w:firstLine="424"/>
        <w:jc w:val="left"/>
        <w:rPr>
          <w:sz w:val="21"/>
        </w:rPr>
      </w:pPr>
      <w:r>
        <w:rPr>
          <w:spacing w:val="-5"/>
          <w:sz w:val="21"/>
        </w:rPr>
        <w:t xml:space="preserve">演员活动区域应至少设置 </w:t>
      </w:r>
      <w:r>
        <w:rPr>
          <w:sz w:val="21"/>
        </w:rPr>
        <w:t>1</w:t>
      </w:r>
      <w:r>
        <w:rPr>
          <w:spacing w:val="-13"/>
          <w:sz w:val="21"/>
        </w:rPr>
        <w:t xml:space="preserve"> 处符合本标准第 </w:t>
      </w:r>
      <w:r>
        <w:rPr>
          <w:sz w:val="21"/>
        </w:rPr>
        <w:t>4.2</w:t>
      </w:r>
      <w:r>
        <w:rPr>
          <w:spacing w:val="-12"/>
          <w:sz w:val="21"/>
        </w:rPr>
        <w:t xml:space="preserve"> 节有关规定的公共卫生间；贵宾室宜设 </w:t>
      </w:r>
      <w:r>
        <w:rPr>
          <w:sz w:val="21"/>
        </w:rPr>
        <w:t>1</w:t>
      </w:r>
      <w:r>
        <w:rPr>
          <w:spacing w:val="-15"/>
          <w:sz w:val="21"/>
        </w:rPr>
        <w:t xml:space="preserve"> 个无障碍卫生间；</w:t>
      </w:r>
    </w:p>
    <w:p>
      <w:pPr>
        <w:pStyle w:val="12"/>
        <w:numPr>
          <w:ilvl w:val="0"/>
          <w:numId w:val="114"/>
        </w:numPr>
        <w:tabs>
          <w:tab w:val="left" w:pos="1052"/>
          <w:tab w:val="left" w:pos="1053"/>
        </w:tabs>
        <w:spacing w:before="0" w:after="0" w:line="417" w:lineRule="auto"/>
        <w:ind w:left="212" w:right="307" w:firstLine="424"/>
        <w:jc w:val="left"/>
        <w:rPr>
          <w:sz w:val="21"/>
        </w:rPr>
      </w:pPr>
      <w:r>
        <w:rPr>
          <w:spacing w:val="-7"/>
          <w:sz w:val="21"/>
        </w:rPr>
        <w:t xml:space="preserve">观众厅内座位数为 </w:t>
      </w:r>
      <w:r>
        <w:rPr>
          <w:sz w:val="21"/>
        </w:rPr>
        <w:t>300</w:t>
      </w:r>
      <w:r>
        <w:rPr>
          <w:spacing w:val="-13"/>
          <w:sz w:val="21"/>
        </w:rPr>
        <w:t xml:space="preserve"> 座及以下时应至少设置 </w:t>
      </w:r>
      <w:r>
        <w:rPr>
          <w:sz w:val="21"/>
        </w:rPr>
        <w:t>1</w:t>
      </w:r>
      <w:r>
        <w:rPr>
          <w:spacing w:val="-9"/>
          <w:sz w:val="21"/>
        </w:rPr>
        <w:t xml:space="preserve"> 个轮椅席位,</w:t>
      </w:r>
      <w:r>
        <w:rPr>
          <w:sz w:val="21"/>
        </w:rPr>
        <w:t>300</w:t>
      </w:r>
      <w:r>
        <w:rPr>
          <w:spacing w:val="-13"/>
          <w:sz w:val="21"/>
        </w:rPr>
        <w:t xml:space="preserve"> 座以上时不应少于 </w:t>
      </w:r>
      <w:r>
        <w:rPr>
          <w:sz w:val="21"/>
        </w:rPr>
        <w:t>0.2％且不少</w:t>
      </w:r>
      <w:r>
        <w:rPr>
          <w:spacing w:val="-26"/>
          <w:sz w:val="21"/>
        </w:rPr>
        <w:t xml:space="preserve">于 </w:t>
      </w:r>
      <w:r>
        <w:rPr>
          <w:sz w:val="21"/>
        </w:rPr>
        <w:t>2</w:t>
      </w:r>
      <w:r>
        <w:rPr>
          <w:spacing w:val="-9"/>
          <w:sz w:val="21"/>
        </w:rPr>
        <w:t xml:space="preserve"> 个轮椅席位；</w:t>
      </w:r>
    </w:p>
    <w:p>
      <w:pPr>
        <w:pStyle w:val="12"/>
        <w:numPr>
          <w:ilvl w:val="0"/>
          <w:numId w:val="114"/>
        </w:numPr>
        <w:tabs>
          <w:tab w:val="left" w:pos="1052"/>
          <w:tab w:val="left" w:pos="1053"/>
        </w:tabs>
        <w:spacing w:before="0" w:after="0" w:line="269" w:lineRule="exact"/>
        <w:ind w:left="1052" w:right="0" w:hanging="416"/>
        <w:jc w:val="left"/>
        <w:rPr>
          <w:sz w:val="21"/>
        </w:rPr>
      </w:pPr>
      <w:r>
        <w:rPr>
          <w:sz w:val="21"/>
        </w:rPr>
        <w:t>化妆室、休息室、淋浴间及更衣室宜便于乘轮椅者的通行和使用；</w:t>
      </w:r>
    </w:p>
    <w:p>
      <w:pPr>
        <w:pStyle w:val="5"/>
        <w:spacing w:before="7"/>
        <w:rPr>
          <w:sz w:val="15"/>
        </w:rPr>
      </w:pPr>
    </w:p>
    <w:p>
      <w:pPr>
        <w:pStyle w:val="12"/>
        <w:numPr>
          <w:ilvl w:val="0"/>
          <w:numId w:val="114"/>
        </w:numPr>
        <w:tabs>
          <w:tab w:val="left" w:pos="1052"/>
          <w:tab w:val="left" w:pos="1053"/>
        </w:tabs>
        <w:spacing w:before="0" w:after="0" w:line="240" w:lineRule="auto"/>
        <w:ind w:left="1052" w:right="0" w:hanging="416"/>
        <w:jc w:val="left"/>
        <w:rPr>
          <w:sz w:val="21"/>
        </w:rPr>
      </w:pPr>
      <w:r>
        <w:rPr>
          <w:color w:val="393838"/>
          <w:sz w:val="21"/>
        </w:rPr>
        <w:t>宜提供方便导盲犬休息的空间和设施</w:t>
      </w:r>
      <w:r>
        <w:rPr>
          <w:sz w:val="21"/>
        </w:rPr>
        <w:t>。</w:t>
      </w:r>
    </w:p>
    <w:p>
      <w:pPr>
        <w:spacing w:after="0" w:line="240" w:lineRule="auto"/>
        <w:jc w:val="left"/>
        <w:rPr>
          <w:sz w:val="21"/>
        </w:rPr>
        <w:sectPr>
          <w:pgSz w:w="11910" w:h="16840"/>
          <w:pgMar w:top="1580" w:right="820" w:bottom="1280" w:left="920" w:header="0" w:footer="1015" w:gutter="0"/>
          <w:cols w:space="720" w:num="1"/>
        </w:sectPr>
      </w:pPr>
    </w:p>
    <w:p>
      <w:pPr>
        <w:pStyle w:val="12"/>
        <w:numPr>
          <w:ilvl w:val="1"/>
          <w:numId w:val="100"/>
        </w:numPr>
        <w:tabs>
          <w:tab w:val="left" w:pos="4586"/>
        </w:tabs>
        <w:spacing w:before="60" w:after="0" w:line="240" w:lineRule="auto"/>
        <w:ind w:left="4585" w:right="102" w:hanging="4586"/>
        <w:jc w:val="left"/>
        <w:rPr>
          <w:rFonts w:hint="eastAsia" w:ascii="黑体" w:eastAsia="黑体"/>
          <w:sz w:val="21"/>
        </w:rPr>
      </w:pPr>
      <w:bookmarkStart w:id="504" w:name="VII商业服务建筑"/>
      <w:bookmarkEnd w:id="504"/>
      <w:bookmarkStart w:id="505" w:name="VII商业服务建筑"/>
      <w:bookmarkEnd w:id="505"/>
      <w:r>
        <w:rPr>
          <w:rFonts w:hint="eastAsia" w:ascii="黑体" w:eastAsia="黑体"/>
          <w:sz w:val="21"/>
        </w:rPr>
        <w:t>商业服务建筑</w:t>
      </w:r>
    </w:p>
    <w:p>
      <w:pPr>
        <w:pStyle w:val="5"/>
        <w:spacing w:before="6"/>
        <w:rPr>
          <w:rFonts w:ascii="黑体"/>
          <w:sz w:val="15"/>
        </w:rPr>
      </w:pPr>
    </w:p>
    <w:p>
      <w:pPr>
        <w:pStyle w:val="12"/>
        <w:numPr>
          <w:ilvl w:val="2"/>
          <w:numId w:val="107"/>
        </w:numPr>
        <w:tabs>
          <w:tab w:val="left" w:pos="1052"/>
          <w:tab w:val="left" w:pos="1053"/>
        </w:tabs>
        <w:spacing w:before="1" w:after="0" w:line="417" w:lineRule="auto"/>
        <w:ind w:left="212" w:right="310" w:firstLine="0"/>
        <w:jc w:val="left"/>
        <w:rPr>
          <w:sz w:val="21"/>
        </w:rPr>
      </w:pPr>
      <w:bookmarkStart w:id="506" w:name="8.3.29各类百货店、购物中心、超市、专卖店、专业店、餐饮建筑、旅馆等商业建筑"/>
      <w:bookmarkEnd w:id="506"/>
      <w:bookmarkStart w:id="507" w:name="8.3.29各类百货店、购物中心、超市、专卖店、专业店、餐饮建筑、旅馆等商业建筑"/>
      <w:bookmarkEnd w:id="507"/>
      <w:r>
        <w:rPr>
          <w:spacing w:val="-3"/>
          <w:w w:val="95"/>
          <w:sz w:val="21"/>
        </w:rPr>
        <w:t xml:space="preserve">各类百货店、购物中心、超市、专卖店、专业店、餐饮建筑、旅馆等商业建筑，银行、证券等金   </w:t>
      </w:r>
      <w:r>
        <w:rPr>
          <w:spacing w:val="-3"/>
          <w:sz w:val="21"/>
        </w:rPr>
        <w:t>融服务建筑，邮局、电信局等邮电建筑，娱乐建筑等，应进行无障碍设计。</w:t>
      </w:r>
    </w:p>
    <w:p>
      <w:pPr>
        <w:pStyle w:val="12"/>
        <w:numPr>
          <w:ilvl w:val="2"/>
          <w:numId w:val="107"/>
        </w:numPr>
        <w:tabs>
          <w:tab w:val="left" w:pos="1052"/>
          <w:tab w:val="left" w:pos="1053"/>
        </w:tabs>
        <w:spacing w:before="0" w:after="0" w:line="269" w:lineRule="exact"/>
        <w:ind w:left="1052" w:right="0" w:hanging="841"/>
        <w:jc w:val="left"/>
        <w:rPr>
          <w:sz w:val="21"/>
        </w:rPr>
      </w:pPr>
      <w:bookmarkStart w:id="508" w:name="8.3.30商业服务建筑的无障碍设施应符合下列规定："/>
      <w:bookmarkEnd w:id="508"/>
      <w:bookmarkStart w:id="509" w:name="8.3.30商业服务建筑的无障碍设施应符合下列规定："/>
      <w:bookmarkEnd w:id="509"/>
      <w:r>
        <w:rPr>
          <w:sz w:val="21"/>
        </w:rPr>
        <w:t>商业服务建筑的无障碍设施应符合下列规定：</w:t>
      </w:r>
    </w:p>
    <w:p>
      <w:pPr>
        <w:pStyle w:val="5"/>
        <w:spacing w:before="6"/>
        <w:rPr>
          <w:sz w:val="15"/>
        </w:rPr>
      </w:pPr>
    </w:p>
    <w:p>
      <w:pPr>
        <w:pStyle w:val="12"/>
        <w:numPr>
          <w:ilvl w:val="0"/>
          <w:numId w:val="115"/>
        </w:numPr>
        <w:tabs>
          <w:tab w:val="left" w:pos="1052"/>
          <w:tab w:val="left" w:pos="1053"/>
        </w:tabs>
        <w:spacing w:before="0" w:after="0" w:line="240" w:lineRule="auto"/>
        <w:ind w:left="1052" w:right="0" w:hanging="416"/>
        <w:jc w:val="left"/>
        <w:rPr>
          <w:sz w:val="21"/>
        </w:rPr>
      </w:pPr>
      <w:r>
        <w:rPr>
          <w:sz w:val="21"/>
        </w:rPr>
        <w:t>建筑主要出入口应为无障碍出入口，宜设置为平坡出入口；</w:t>
      </w:r>
    </w:p>
    <w:p>
      <w:pPr>
        <w:pStyle w:val="5"/>
        <w:spacing w:before="7"/>
        <w:rPr>
          <w:sz w:val="15"/>
        </w:rPr>
      </w:pPr>
    </w:p>
    <w:p>
      <w:pPr>
        <w:pStyle w:val="12"/>
        <w:numPr>
          <w:ilvl w:val="0"/>
          <w:numId w:val="115"/>
        </w:numPr>
        <w:tabs>
          <w:tab w:val="left" w:pos="1052"/>
          <w:tab w:val="left" w:pos="1053"/>
        </w:tabs>
        <w:spacing w:before="0" w:after="0" w:line="240" w:lineRule="auto"/>
        <w:ind w:left="1052" w:right="0" w:hanging="416"/>
        <w:jc w:val="left"/>
        <w:rPr>
          <w:sz w:val="21"/>
        </w:rPr>
      </w:pPr>
      <w:r>
        <w:rPr>
          <w:sz w:val="21"/>
        </w:rPr>
        <w:t>公众通行的室内走道应为无障碍通道；</w:t>
      </w:r>
    </w:p>
    <w:p>
      <w:pPr>
        <w:pStyle w:val="5"/>
        <w:spacing w:before="7"/>
        <w:rPr>
          <w:sz w:val="15"/>
        </w:rPr>
      </w:pPr>
    </w:p>
    <w:p>
      <w:pPr>
        <w:pStyle w:val="12"/>
        <w:numPr>
          <w:ilvl w:val="0"/>
          <w:numId w:val="115"/>
        </w:numPr>
        <w:tabs>
          <w:tab w:val="left" w:pos="1052"/>
          <w:tab w:val="left" w:pos="1053"/>
        </w:tabs>
        <w:spacing w:before="0" w:after="0" w:line="240" w:lineRule="auto"/>
        <w:ind w:left="1052" w:right="0" w:hanging="416"/>
        <w:jc w:val="left"/>
        <w:rPr>
          <w:sz w:val="21"/>
        </w:rPr>
      </w:pPr>
      <w:r>
        <w:rPr>
          <w:spacing w:val="-3"/>
          <w:sz w:val="21"/>
        </w:rPr>
        <w:t xml:space="preserve">分组设置电梯时，每组电梯应至少设置 </w:t>
      </w:r>
      <w:r>
        <w:rPr>
          <w:sz w:val="21"/>
        </w:rPr>
        <w:t>1</w:t>
      </w:r>
      <w:r>
        <w:rPr>
          <w:spacing w:val="-8"/>
          <w:sz w:val="21"/>
        </w:rPr>
        <w:t xml:space="preserve"> 部无障碍电梯；</w:t>
      </w:r>
    </w:p>
    <w:p>
      <w:pPr>
        <w:pStyle w:val="5"/>
        <w:spacing w:before="6"/>
        <w:rPr>
          <w:sz w:val="15"/>
        </w:rPr>
      </w:pPr>
    </w:p>
    <w:p>
      <w:pPr>
        <w:pStyle w:val="12"/>
        <w:numPr>
          <w:ilvl w:val="0"/>
          <w:numId w:val="115"/>
        </w:numPr>
        <w:tabs>
          <w:tab w:val="left" w:pos="1052"/>
          <w:tab w:val="left" w:pos="1053"/>
        </w:tabs>
        <w:spacing w:before="1" w:after="0" w:line="240" w:lineRule="auto"/>
        <w:ind w:left="1052" w:right="0" w:hanging="416"/>
        <w:jc w:val="left"/>
        <w:rPr>
          <w:sz w:val="21"/>
        </w:rPr>
      </w:pPr>
      <w:r>
        <w:rPr>
          <w:sz w:val="21"/>
        </w:rPr>
        <w:t>供公众使用的主要楼梯应为无障碍楼梯；</w:t>
      </w:r>
    </w:p>
    <w:p>
      <w:pPr>
        <w:pStyle w:val="5"/>
        <w:spacing w:before="6"/>
        <w:rPr>
          <w:sz w:val="15"/>
        </w:rPr>
      </w:pPr>
    </w:p>
    <w:p>
      <w:pPr>
        <w:pStyle w:val="12"/>
        <w:numPr>
          <w:ilvl w:val="0"/>
          <w:numId w:val="115"/>
        </w:numPr>
        <w:tabs>
          <w:tab w:val="left" w:pos="1052"/>
          <w:tab w:val="left" w:pos="1053"/>
        </w:tabs>
        <w:spacing w:before="0" w:after="0" w:line="417" w:lineRule="auto"/>
        <w:ind w:left="212" w:right="310" w:firstLine="424"/>
        <w:jc w:val="left"/>
        <w:rPr>
          <w:sz w:val="21"/>
        </w:rPr>
      </w:pPr>
      <w:r>
        <w:rPr>
          <w:spacing w:val="-3"/>
          <w:sz w:val="21"/>
        </w:rPr>
        <w:t xml:space="preserve">宜在每层供公众使用的公共卫生间附近设置 </w:t>
      </w:r>
      <w:r>
        <w:rPr>
          <w:sz w:val="21"/>
        </w:rPr>
        <w:t>1</w:t>
      </w:r>
      <w:r>
        <w:rPr>
          <w:spacing w:val="-13"/>
          <w:sz w:val="21"/>
        </w:rPr>
        <w:t xml:space="preserve"> 个无障碍卫生间；无条件时，每层应至少设置 </w:t>
      </w:r>
      <w:r>
        <w:rPr>
          <w:sz w:val="21"/>
        </w:rPr>
        <w:t>1</w:t>
      </w:r>
      <w:r>
        <w:rPr>
          <w:spacing w:val="-29"/>
          <w:sz w:val="21"/>
        </w:rPr>
        <w:t xml:space="preserve"> 处</w:t>
      </w:r>
      <w:r>
        <w:rPr>
          <w:spacing w:val="-33"/>
          <w:sz w:val="21"/>
        </w:rPr>
        <w:t xml:space="preserve">符合本标准第 </w:t>
      </w:r>
      <w:r>
        <w:rPr>
          <w:sz w:val="21"/>
        </w:rPr>
        <w:t>4.2</w:t>
      </w:r>
      <w:r>
        <w:rPr>
          <w:spacing w:val="-8"/>
          <w:sz w:val="21"/>
        </w:rPr>
        <w:t xml:space="preserve"> 节有关规定的公共卫生间；</w:t>
      </w:r>
    </w:p>
    <w:p>
      <w:pPr>
        <w:pStyle w:val="12"/>
        <w:numPr>
          <w:ilvl w:val="0"/>
          <w:numId w:val="115"/>
        </w:numPr>
        <w:tabs>
          <w:tab w:val="left" w:pos="1052"/>
          <w:tab w:val="left" w:pos="1053"/>
        </w:tabs>
        <w:spacing w:before="0" w:after="0" w:line="417" w:lineRule="auto"/>
        <w:ind w:left="212" w:right="315" w:firstLine="424"/>
        <w:jc w:val="left"/>
        <w:rPr>
          <w:sz w:val="21"/>
        </w:rPr>
      </w:pPr>
      <w:r>
        <w:rPr>
          <w:spacing w:val="-4"/>
          <w:sz w:val="21"/>
        </w:rPr>
        <w:t xml:space="preserve">大型商业建筑宜在公共卫生间符合本标准第 </w:t>
      </w:r>
      <w:r>
        <w:rPr>
          <w:sz w:val="21"/>
        </w:rPr>
        <w:t>4.2</w:t>
      </w:r>
      <w:r>
        <w:rPr>
          <w:spacing w:val="-13"/>
          <w:sz w:val="21"/>
        </w:rPr>
        <w:t xml:space="preserve"> 节有关规定的同时且在附近设置 </w:t>
      </w:r>
      <w:r>
        <w:rPr>
          <w:sz w:val="21"/>
        </w:rPr>
        <w:t>1</w:t>
      </w:r>
      <w:r>
        <w:rPr>
          <w:spacing w:val="-11"/>
          <w:sz w:val="21"/>
        </w:rPr>
        <w:t xml:space="preserve"> 个无障碍卫生</w:t>
      </w:r>
      <w:r>
        <w:rPr>
          <w:spacing w:val="-13"/>
          <w:sz w:val="21"/>
        </w:rPr>
        <w:t xml:space="preserve">间或第三卫生间；宜在公共卫生间附近设置 </w:t>
      </w:r>
      <w:r>
        <w:rPr>
          <w:sz w:val="21"/>
        </w:rPr>
        <w:t>1</w:t>
      </w:r>
      <w:r>
        <w:rPr>
          <w:spacing w:val="-10"/>
          <w:sz w:val="21"/>
        </w:rPr>
        <w:t xml:space="preserve"> 个母婴室；</w:t>
      </w:r>
    </w:p>
    <w:p>
      <w:pPr>
        <w:pStyle w:val="12"/>
        <w:numPr>
          <w:ilvl w:val="0"/>
          <w:numId w:val="115"/>
        </w:numPr>
        <w:tabs>
          <w:tab w:val="left" w:pos="1052"/>
          <w:tab w:val="left" w:pos="1053"/>
        </w:tabs>
        <w:spacing w:before="0" w:after="0" w:line="269" w:lineRule="exact"/>
        <w:ind w:left="1052" w:right="0" w:hanging="416"/>
        <w:jc w:val="left"/>
        <w:rPr>
          <w:sz w:val="21"/>
        </w:rPr>
      </w:pPr>
      <w:r>
        <w:rPr>
          <w:spacing w:val="-1"/>
          <w:w w:val="99"/>
          <w:sz w:val="21"/>
        </w:rPr>
        <w:t>建筑面积达到</w:t>
      </w:r>
      <w:r>
        <w:rPr>
          <w:spacing w:val="-50"/>
          <w:sz w:val="21"/>
        </w:rPr>
        <w:t xml:space="preserve"> </w:t>
      </w:r>
      <w:r>
        <w:rPr>
          <w:w w:val="99"/>
          <w:sz w:val="21"/>
        </w:rPr>
        <w:t>2</w:t>
      </w:r>
      <w:r>
        <w:rPr>
          <w:spacing w:val="-52"/>
          <w:sz w:val="21"/>
        </w:rPr>
        <w:t xml:space="preserve"> </w:t>
      </w:r>
      <w:r>
        <w:rPr>
          <w:w w:val="99"/>
          <w:sz w:val="21"/>
        </w:rPr>
        <w:t>万</w:t>
      </w:r>
      <w:r>
        <w:rPr>
          <w:spacing w:val="-53"/>
          <w:sz w:val="21"/>
        </w:rPr>
        <w:t xml:space="preserve"> </w:t>
      </w:r>
      <w:r>
        <w:rPr>
          <w:rFonts w:hint="eastAsia" w:ascii="仿宋" w:eastAsia="仿宋"/>
          <w:spacing w:val="1"/>
          <w:w w:val="99"/>
          <w:sz w:val="21"/>
        </w:rPr>
        <w:t>m</w:t>
      </w:r>
      <w:r>
        <w:rPr>
          <w:w w:val="106"/>
          <w:position w:val="11"/>
          <w:sz w:val="10"/>
        </w:rPr>
        <w:t>2</w:t>
      </w:r>
      <w:r>
        <w:rPr>
          <w:spacing w:val="-24"/>
          <w:position w:val="11"/>
          <w:sz w:val="10"/>
        </w:rPr>
        <w:t xml:space="preserve"> </w:t>
      </w:r>
      <w:r>
        <w:rPr>
          <w:spacing w:val="-1"/>
          <w:w w:val="99"/>
          <w:sz w:val="21"/>
        </w:rPr>
        <w:t>以上的商业服务建筑宜设置智能显示屏；</w:t>
      </w:r>
    </w:p>
    <w:p>
      <w:pPr>
        <w:pStyle w:val="5"/>
        <w:spacing w:before="7"/>
        <w:rPr>
          <w:sz w:val="15"/>
        </w:rPr>
      </w:pPr>
    </w:p>
    <w:p>
      <w:pPr>
        <w:pStyle w:val="12"/>
        <w:numPr>
          <w:ilvl w:val="0"/>
          <w:numId w:val="115"/>
        </w:numPr>
        <w:tabs>
          <w:tab w:val="left" w:pos="1052"/>
          <w:tab w:val="left" w:pos="1053"/>
        </w:tabs>
        <w:spacing w:before="0" w:after="0" w:line="417" w:lineRule="auto"/>
        <w:ind w:left="212" w:right="307" w:firstLine="424"/>
        <w:jc w:val="left"/>
        <w:rPr>
          <w:sz w:val="21"/>
        </w:rPr>
      </w:pPr>
      <w:r>
        <w:rPr>
          <w:spacing w:val="-3"/>
          <w:w w:val="95"/>
          <w:sz w:val="21"/>
        </w:rPr>
        <w:t xml:space="preserve">宜在百货商店、购物中心、超市、餐饮等建筑的自助售货处，银行、证券、邮局、电信局等建筑   </w:t>
      </w:r>
      <w:r>
        <w:rPr>
          <w:spacing w:val="-3"/>
          <w:sz w:val="21"/>
        </w:rPr>
        <w:t>的服务大厅等处使用自助终端等人机交互设备。</w:t>
      </w:r>
    </w:p>
    <w:p>
      <w:pPr>
        <w:pStyle w:val="12"/>
        <w:numPr>
          <w:ilvl w:val="2"/>
          <w:numId w:val="107"/>
        </w:numPr>
        <w:tabs>
          <w:tab w:val="left" w:pos="1052"/>
          <w:tab w:val="left" w:pos="1053"/>
        </w:tabs>
        <w:spacing w:before="0" w:after="0" w:line="269" w:lineRule="exact"/>
        <w:ind w:left="1052" w:right="0" w:hanging="841"/>
        <w:jc w:val="left"/>
        <w:rPr>
          <w:sz w:val="21"/>
        </w:rPr>
      </w:pPr>
      <w:bookmarkStart w:id="510" w:name="8.3.31旅馆等商业服务建筑应设置无障碍客房，其数量应符合下列规定："/>
      <w:bookmarkEnd w:id="510"/>
      <w:bookmarkStart w:id="511" w:name="8.3.31旅馆等商业服务建筑应设置无障碍客房，其数量应符合下列规定："/>
      <w:bookmarkEnd w:id="511"/>
      <w:r>
        <w:rPr>
          <w:sz w:val="21"/>
        </w:rPr>
        <w:t>旅馆等商业服务建筑应设置无障碍客房，其数量应符合下列规定：</w:t>
      </w:r>
    </w:p>
    <w:p>
      <w:pPr>
        <w:pStyle w:val="5"/>
        <w:spacing w:before="6"/>
        <w:rPr>
          <w:sz w:val="15"/>
        </w:rPr>
      </w:pPr>
    </w:p>
    <w:p>
      <w:pPr>
        <w:pStyle w:val="5"/>
        <w:tabs>
          <w:tab w:val="left" w:pos="1052"/>
        </w:tabs>
        <w:spacing w:before="1" w:line="417" w:lineRule="auto"/>
        <w:ind w:left="637" w:right="3915"/>
      </w:pPr>
      <w:r>
        <w:rPr>
          <w:b/>
        </w:rPr>
        <w:t>1</w:t>
      </w:r>
      <w:r>
        <w:rPr>
          <w:b/>
        </w:rPr>
        <w:tab/>
      </w:r>
      <w:r>
        <w:t>客房数量为</w:t>
      </w:r>
      <w:r>
        <w:rPr>
          <w:spacing w:val="-53"/>
        </w:rPr>
        <w:t xml:space="preserve"> </w:t>
      </w:r>
      <w:r>
        <w:t>100</w:t>
      </w:r>
      <w:r>
        <w:rPr>
          <w:spacing w:val="-56"/>
        </w:rPr>
        <w:t xml:space="preserve"> </w:t>
      </w:r>
      <w:r>
        <w:t>间以下时，应设</w:t>
      </w:r>
      <w:r>
        <w:rPr>
          <w:spacing w:val="-56"/>
        </w:rPr>
        <w:t xml:space="preserve"> </w:t>
      </w:r>
      <w:r>
        <w:t>1</w:t>
      </w:r>
      <w:r>
        <w:rPr>
          <w:spacing w:val="-54"/>
        </w:rPr>
        <w:t xml:space="preserve"> </w:t>
      </w:r>
      <w:r>
        <w:t>间～2</w:t>
      </w:r>
      <w:r>
        <w:rPr>
          <w:spacing w:val="-56"/>
        </w:rPr>
        <w:t xml:space="preserve"> </w:t>
      </w:r>
      <w:r>
        <w:t xml:space="preserve">间无障碍客房； </w:t>
      </w:r>
      <w:r>
        <w:rPr>
          <w:b/>
        </w:rPr>
        <w:t>2</w:t>
      </w:r>
      <w:r>
        <w:rPr>
          <w:b/>
        </w:rPr>
        <w:tab/>
      </w:r>
      <w:r>
        <w:t>100</w:t>
      </w:r>
      <w:r>
        <w:rPr>
          <w:spacing w:val="-55"/>
        </w:rPr>
        <w:t xml:space="preserve"> </w:t>
      </w:r>
      <w:r>
        <w:t>间～400</w:t>
      </w:r>
      <w:r>
        <w:rPr>
          <w:spacing w:val="-53"/>
        </w:rPr>
        <w:t xml:space="preserve"> </w:t>
      </w:r>
      <w:r>
        <w:t>间，</w:t>
      </w:r>
      <w:r>
        <w:rPr>
          <w:spacing w:val="-1"/>
        </w:rPr>
        <w:t xml:space="preserve"> </w:t>
      </w:r>
      <w:r>
        <w:t>应设</w:t>
      </w:r>
      <w:r>
        <w:rPr>
          <w:spacing w:val="-50"/>
        </w:rPr>
        <w:t xml:space="preserve"> </w:t>
      </w:r>
      <w:r>
        <w:t>2</w:t>
      </w:r>
      <w:r>
        <w:rPr>
          <w:spacing w:val="-53"/>
        </w:rPr>
        <w:t xml:space="preserve"> </w:t>
      </w:r>
      <w:r>
        <w:t>间～4</w:t>
      </w:r>
      <w:r>
        <w:rPr>
          <w:spacing w:val="-54"/>
        </w:rPr>
        <w:t xml:space="preserve"> </w:t>
      </w:r>
      <w:r>
        <w:t>间无障碍客房；</w:t>
      </w:r>
    </w:p>
    <w:p>
      <w:pPr>
        <w:pStyle w:val="5"/>
        <w:tabs>
          <w:tab w:val="left" w:pos="1052"/>
        </w:tabs>
        <w:spacing w:line="269" w:lineRule="exact"/>
        <w:ind w:left="637"/>
      </w:pPr>
      <w:r>
        <w:rPr>
          <w:b/>
        </w:rPr>
        <w:t>3</w:t>
      </w:r>
      <w:r>
        <w:rPr>
          <w:b/>
        </w:rPr>
        <w:tab/>
      </w:r>
      <w:r>
        <w:t>400</w:t>
      </w:r>
      <w:r>
        <w:rPr>
          <w:spacing w:val="-13"/>
        </w:rPr>
        <w:t xml:space="preserve"> 间以上，应至少设 </w:t>
      </w:r>
      <w:r>
        <w:t>4</w:t>
      </w:r>
      <w:r>
        <w:rPr>
          <w:spacing w:val="-8"/>
        </w:rPr>
        <w:t xml:space="preserve"> 间无障碍客房。</w:t>
      </w:r>
    </w:p>
    <w:p>
      <w:pPr>
        <w:pStyle w:val="5"/>
        <w:spacing w:before="6"/>
        <w:rPr>
          <w:sz w:val="15"/>
        </w:rPr>
      </w:pPr>
    </w:p>
    <w:p>
      <w:pPr>
        <w:pStyle w:val="12"/>
        <w:numPr>
          <w:ilvl w:val="2"/>
          <w:numId w:val="107"/>
        </w:numPr>
        <w:tabs>
          <w:tab w:val="left" w:pos="1052"/>
          <w:tab w:val="left" w:pos="1053"/>
        </w:tabs>
        <w:spacing w:before="0" w:after="0" w:line="240" w:lineRule="auto"/>
        <w:ind w:left="1052" w:right="0" w:hanging="841"/>
        <w:jc w:val="left"/>
        <w:rPr>
          <w:sz w:val="21"/>
        </w:rPr>
      </w:pPr>
      <w:bookmarkStart w:id="512" w:name="8.3.32餐饮建筑、设有无障碍客房的旅馆建筑，宜提供方便导盲犬休息的空间和设施"/>
      <w:bookmarkEnd w:id="512"/>
      <w:bookmarkStart w:id="513" w:name="8.3.32餐饮建筑、设有无障碍客房的旅馆建筑，宜提供方便导盲犬休息的空间和设施"/>
      <w:bookmarkEnd w:id="513"/>
      <w:r>
        <w:rPr>
          <w:sz w:val="21"/>
        </w:rPr>
        <w:t>餐饮建筑、</w:t>
      </w:r>
      <w:r>
        <w:rPr>
          <w:color w:val="393838"/>
          <w:sz w:val="21"/>
        </w:rPr>
        <w:t>设有无障碍客房的旅馆建筑，宜提供方便导盲犬休息的空间和设施。</w:t>
      </w:r>
    </w:p>
    <w:p>
      <w:pPr>
        <w:pStyle w:val="5"/>
        <w:spacing w:before="7"/>
        <w:rPr>
          <w:sz w:val="15"/>
        </w:rPr>
      </w:pPr>
    </w:p>
    <w:p>
      <w:pPr>
        <w:pStyle w:val="12"/>
        <w:numPr>
          <w:ilvl w:val="1"/>
          <w:numId w:val="100"/>
        </w:numPr>
        <w:tabs>
          <w:tab w:val="left" w:pos="4850"/>
        </w:tabs>
        <w:spacing w:before="0" w:after="0" w:line="240" w:lineRule="auto"/>
        <w:ind w:left="4849" w:right="99" w:hanging="4850"/>
        <w:jc w:val="left"/>
        <w:rPr>
          <w:rFonts w:hint="eastAsia" w:ascii="黑体" w:eastAsia="黑体"/>
          <w:sz w:val="21"/>
        </w:rPr>
      </w:pPr>
      <w:bookmarkStart w:id="514" w:name="VIII交通建筑"/>
      <w:bookmarkEnd w:id="514"/>
      <w:bookmarkStart w:id="515" w:name="VIII交通建筑"/>
      <w:bookmarkEnd w:id="515"/>
      <w:r>
        <w:rPr>
          <w:rFonts w:hint="eastAsia" w:ascii="黑体" w:eastAsia="黑体"/>
          <w:sz w:val="21"/>
        </w:rPr>
        <w:t>交通建筑</w:t>
      </w:r>
    </w:p>
    <w:p>
      <w:pPr>
        <w:pStyle w:val="5"/>
        <w:spacing w:before="7"/>
        <w:rPr>
          <w:rFonts w:ascii="黑体"/>
          <w:sz w:val="15"/>
        </w:rPr>
      </w:pPr>
    </w:p>
    <w:p>
      <w:pPr>
        <w:pStyle w:val="12"/>
        <w:numPr>
          <w:ilvl w:val="2"/>
          <w:numId w:val="107"/>
        </w:numPr>
        <w:tabs>
          <w:tab w:val="left" w:pos="1052"/>
          <w:tab w:val="left" w:pos="1053"/>
        </w:tabs>
        <w:spacing w:before="0" w:after="0" w:line="417" w:lineRule="auto"/>
        <w:ind w:left="212" w:right="310" w:firstLine="0"/>
        <w:jc w:val="left"/>
        <w:rPr>
          <w:sz w:val="21"/>
        </w:rPr>
      </w:pPr>
      <w:bookmarkStart w:id="516" w:name="8.3.33地铁车站、汽车客运站、港口客运站、铁路旅客车站、机场航站楼等交通建筑"/>
      <w:bookmarkEnd w:id="516"/>
      <w:bookmarkStart w:id="517" w:name="8.3.33地铁车站、汽车客运站、港口客运站、铁路旅客车站、机场航站楼等交通建筑"/>
      <w:bookmarkEnd w:id="517"/>
      <w:r>
        <w:rPr>
          <w:spacing w:val="-3"/>
          <w:w w:val="95"/>
          <w:sz w:val="21"/>
        </w:rPr>
        <w:t xml:space="preserve">地铁车站、汽车客运站、港口客运站、铁路旅客车站、机场航站楼等交通建筑，应进行无障碍设   </w:t>
      </w:r>
      <w:r>
        <w:rPr>
          <w:spacing w:val="-3"/>
          <w:sz w:val="21"/>
        </w:rPr>
        <w:t>计。</w:t>
      </w:r>
    </w:p>
    <w:p>
      <w:pPr>
        <w:pStyle w:val="12"/>
        <w:numPr>
          <w:ilvl w:val="2"/>
          <w:numId w:val="107"/>
        </w:numPr>
        <w:tabs>
          <w:tab w:val="left" w:pos="1052"/>
          <w:tab w:val="left" w:pos="1053"/>
        </w:tabs>
        <w:spacing w:before="0" w:after="0" w:line="269" w:lineRule="exact"/>
        <w:ind w:left="1052" w:right="0" w:hanging="841"/>
        <w:jc w:val="left"/>
        <w:rPr>
          <w:sz w:val="21"/>
        </w:rPr>
      </w:pPr>
      <w:bookmarkStart w:id="518" w:name="8.3.34交通建筑的无障碍设施应符合下列规定： "/>
      <w:bookmarkEnd w:id="518"/>
      <w:bookmarkStart w:id="519" w:name="8.3.34交通建筑的无障碍设施应符合下列规定： "/>
      <w:bookmarkEnd w:id="519"/>
      <w:r>
        <w:rPr>
          <w:sz w:val="21"/>
        </w:rPr>
        <w:t>交通建筑的无障碍设施应符合下列规定：</w:t>
      </w:r>
    </w:p>
    <w:p>
      <w:pPr>
        <w:pStyle w:val="5"/>
        <w:spacing w:before="6"/>
        <w:rPr>
          <w:sz w:val="15"/>
        </w:rPr>
      </w:pPr>
    </w:p>
    <w:p>
      <w:pPr>
        <w:pStyle w:val="5"/>
        <w:tabs>
          <w:tab w:val="left" w:pos="1052"/>
        </w:tabs>
        <w:spacing w:before="1"/>
        <w:ind w:left="637"/>
      </w:pPr>
      <w:r>
        <w:rPr>
          <w:b/>
        </w:rPr>
        <w:t>1</w:t>
      </w:r>
      <w:r>
        <w:rPr>
          <w:b/>
        </w:rPr>
        <w:tab/>
      </w:r>
      <w:r>
        <w:t>站前广场人行通道的地面应平整、防滑，存在高差时应设置轮椅坡道；</w:t>
      </w:r>
    </w:p>
    <w:p>
      <w:pPr>
        <w:pStyle w:val="5"/>
        <w:spacing w:before="6"/>
        <w:rPr>
          <w:sz w:val="15"/>
        </w:rPr>
      </w:pPr>
    </w:p>
    <w:p>
      <w:pPr>
        <w:pStyle w:val="12"/>
        <w:numPr>
          <w:ilvl w:val="0"/>
          <w:numId w:val="116"/>
        </w:numPr>
        <w:tabs>
          <w:tab w:val="left" w:pos="1052"/>
          <w:tab w:val="left" w:pos="1053"/>
        </w:tabs>
        <w:spacing w:before="0" w:after="0" w:line="240" w:lineRule="auto"/>
        <w:ind w:left="1052" w:right="0" w:hanging="416"/>
        <w:jc w:val="left"/>
        <w:rPr>
          <w:sz w:val="21"/>
        </w:rPr>
      </w:pPr>
      <w:r>
        <w:rPr>
          <w:sz w:val="21"/>
        </w:rPr>
        <w:t>主要出入口应为无障碍出入口，宜设置为平坡出入口；</w:t>
      </w:r>
    </w:p>
    <w:p>
      <w:pPr>
        <w:pStyle w:val="5"/>
        <w:spacing w:before="7"/>
        <w:rPr>
          <w:sz w:val="15"/>
        </w:rPr>
      </w:pPr>
    </w:p>
    <w:p>
      <w:pPr>
        <w:pStyle w:val="12"/>
        <w:numPr>
          <w:ilvl w:val="0"/>
          <w:numId w:val="116"/>
        </w:numPr>
        <w:tabs>
          <w:tab w:val="left" w:pos="1052"/>
          <w:tab w:val="left" w:pos="1053"/>
        </w:tabs>
        <w:spacing w:before="0" w:after="0" w:line="240" w:lineRule="auto"/>
        <w:ind w:left="1052" w:right="0" w:hanging="416"/>
        <w:jc w:val="left"/>
        <w:rPr>
          <w:sz w:val="21"/>
        </w:rPr>
      </w:pPr>
      <w:r>
        <w:rPr>
          <w:sz w:val="21"/>
        </w:rPr>
        <w:t>门厅、售票厅、候乘厅、检票口等旅客通行的室内走道应为无障碍通道；</w:t>
      </w:r>
    </w:p>
    <w:p>
      <w:pPr>
        <w:pStyle w:val="5"/>
        <w:spacing w:before="7"/>
        <w:rPr>
          <w:sz w:val="15"/>
        </w:rPr>
      </w:pPr>
    </w:p>
    <w:p>
      <w:pPr>
        <w:pStyle w:val="12"/>
        <w:numPr>
          <w:ilvl w:val="0"/>
          <w:numId w:val="116"/>
        </w:numPr>
        <w:tabs>
          <w:tab w:val="left" w:pos="1052"/>
          <w:tab w:val="left" w:pos="1053"/>
        </w:tabs>
        <w:spacing w:before="0" w:after="0" w:line="240" w:lineRule="auto"/>
        <w:ind w:left="1052" w:right="0" w:hanging="416"/>
        <w:jc w:val="left"/>
        <w:rPr>
          <w:sz w:val="21"/>
        </w:rPr>
      </w:pPr>
      <w:r>
        <w:rPr>
          <w:sz w:val="21"/>
        </w:rPr>
        <w:t>供公众使用的主要楼梯应为无障碍楼梯；</w:t>
      </w:r>
    </w:p>
    <w:p>
      <w:pPr>
        <w:pStyle w:val="5"/>
        <w:spacing w:before="6"/>
        <w:rPr>
          <w:sz w:val="15"/>
        </w:rPr>
      </w:pPr>
    </w:p>
    <w:p>
      <w:pPr>
        <w:pStyle w:val="12"/>
        <w:numPr>
          <w:ilvl w:val="0"/>
          <w:numId w:val="116"/>
        </w:numPr>
        <w:tabs>
          <w:tab w:val="left" w:pos="1052"/>
          <w:tab w:val="left" w:pos="1053"/>
        </w:tabs>
        <w:spacing w:before="1" w:after="0" w:line="240" w:lineRule="auto"/>
        <w:ind w:left="1052" w:right="0" w:hanging="416"/>
        <w:jc w:val="left"/>
        <w:rPr>
          <w:sz w:val="21"/>
        </w:rPr>
      </w:pPr>
      <w:r>
        <w:rPr>
          <w:sz w:val="21"/>
        </w:rPr>
        <w:t>自动扶梯宜设置地桩等防止大件行李、行李车误入；</w:t>
      </w:r>
    </w:p>
    <w:p>
      <w:pPr>
        <w:spacing w:after="0" w:line="240" w:lineRule="auto"/>
        <w:jc w:val="left"/>
        <w:rPr>
          <w:sz w:val="21"/>
        </w:rPr>
        <w:sectPr>
          <w:pgSz w:w="11910" w:h="16840"/>
          <w:pgMar w:top="1580" w:right="820" w:bottom="1280" w:left="920" w:header="0" w:footer="1015" w:gutter="0"/>
          <w:cols w:space="720" w:num="1"/>
        </w:sectPr>
      </w:pPr>
    </w:p>
    <w:p>
      <w:pPr>
        <w:pStyle w:val="12"/>
        <w:numPr>
          <w:ilvl w:val="0"/>
          <w:numId w:val="116"/>
        </w:numPr>
        <w:tabs>
          <w:tab w:val="left" w:pos="1052"/>
          <w:tab w:val="left" w:pos="1053"/>
        </w:tabs>
        <w:spacing w:before="60" w:after="0" w:line="240" w:lineRule="auto"/>
        <w:ind w:left="1052" w:right="0" w:hanging="416"/>
        <w:jc w:val="left"/>
        <w:rPr>
          <w:sz w:val="21"/>
        </w:rPr>
      </w:pPr>
      <w:r>
        <w:rPr>
          <w:sz w:val="21"/>
        </w:rPr>
        <w:t>行包托运处（含小件寄存处）应设置低位服务设施；</w:t>
      </w:r>
    </w:p>
    <w:p>
      <w:pPr>
        <w:pStyle w:val="5"/>
        <w:spacing w:before="6"/>
        <w:rPr>
          <w:sz w:val="15"/>
        </w:rPr>
      </w:pPr>
    </w:p>
    <w:p>
      <w:pPr>
        <w:pStyle w:val="12"/>
        <w:numPr>
          <w:ilvl w:val="0"/>
          <w:numId w:val="116"/>
        </w:numPr>
        <w:tabs>
          <w:tab w:val="left" w:pos="1052"/>
          <w:tab w:val="left" w:pos="1053"/>
        </w:tabs>
        <w:spacing w:before="1" w:after="0" w:line="240" w:lineRule="auto"/>
        <w:ind w:left="1052" w:right="0" w:hanging="416"/>
        <w:jc w:val="left"/>
        <w:rPr>
          <w:sz w:val="21"/>
        </w:rPr>
      </w:pPr>
      <w:r>
        <w:rPr>
          <w:w w:val="95"/>
          <w:sz w:val="21"/>
        </w:rPr>
        <w:t>候乘厅、站台等区域邻近休息座椅处应留有轮椅停留空间，且宜靠近专用检票口、无障碍电梯；</w:t>
      </w:r>
    </w:p>
    <w:p>
      <w:pPr>
        <w:pStyle w:val="5"/>
        <w:spacing w:before="6"/>
        <w:rPr>
          <w:sz w:val="15"/>
        </w:rPr>
      </w:pPr>
    </w:p>
    <w:p>
      <w:pPr>
        <w:pStyle w:val="12"/>
        <w:numPr>
          <w:ilvl w:val="0"/>
          <w:numId w:val="116"/>
        </w:numPr>
        <w:tabs>
          <w:tab w:val="left" w:pos="1052"/>
          <w:tab w:val="left" w:pos="1053"/>
        </w:tabs>
        <w:spacing w:before="0" w:after="0" w:line="240" w:lineRule="auto"/>
        <w:ind w:left="1052" w:right="0" w:hanging="416"/>
        <w:jc w:val="left"/>
        <w:rPr>
          <w:sz w:val="21"/>
        </w:rPr>
      </w:pPr>
      <w:r>
        <w:rPr>
          <w:w w:val="95"/>
          <w:sz w:val="21"/>
        </w:rPr>
        <w:t>售票厅、候乘厅、站台、集散厅等旅客集中区域，宜设置智能显示屏，售票厅宜使用自动终端。</w:t>
      </w:r>
    </w:p>
    <w:p>
      <w:pPr>
        <w:pStyle w:val="5"/>
        <w:spacing w:before="7"/>
        <w:rPr>
          <w:sz w:val="15"/>
        </w:rPr>
      </w:pPr>
    </w:p>
    <w:p>
      <w:pPr>
        <w:pStyle w:val="12"/>
        <w:numPr>
          <w:ilvl w:val="2"/>
          <w:numId w:val="107"/>
        </w:numPr>
        <w:tabs>
          <w:tab w:val="left" w:pos="839"/>
          <w:tab w:val="left" w:pos="1053"/>
        </w:tabs>
        <w:spacing w:before="0" w:after="0" w:line="240" w:lineRule="auto"/>
        <w:ind w:left="1052" w:right="5122" w:hanging="1053"/>
        <w:jc w:val="right"/>
        <w:rPr>
          <w:sz w:val="21"/>
        </w:rPr>
      </w:pPr>
      <w:bookmarkStart w:id="520" w:name="8.3.35地铁车站的无障碍设施尚应符合下列规定："/>
      <w:bookmarkEnd w:id="520"/>
      <w:bookmarkStart w:id="521" w:name="8.3.35地铁车站的无障碍设施尚应符合下列规定："/>
      <w:bookmarkEnd w:id="521"/>
      <w:r>
        <w:rPr>
          <w:w w:val="95"/>
          <w:sz w:val="21"/>
        </w:rPr>
        <w:t>地铁车站的无障碍设施尚应符合下列规定：</w:t>
      </w:r>
    </w:p>
    <w:p>
      <w:pPr>
        <w:pStyle w:val="5"/>
        <w:spacing w:before="7"/>
        <w:rPr>
          <w:sz w:val="15"/>
        </w:rPr>
      </w:pPr>
    </w:p>
    <w:p>
      <w:pPr>
        <w:pStyle w:val="12"/>
        <w:numPr>
          <w:ilvl w:val="0"/>
          <w:numId w:val="117"/>
        </w:numPr>
        <w:tabs>
          <w:tab w:val="left" w:pos="1052"/>
          <w:tab w:val="left" w:pos="1053"/>
        </w:tabs>
        <w:spacing w:before="0" w:after="0" w:line="240" w:lineRule="auto"/>
        <w:ind w:left="1052" w:right="0" w:hanging="416"/>
        <w:jc w:val="left"/>
        <w:rPr>
          <w:sz w:val="21"/>
        </w:rPr>
      </w:pPr>
      <w:r>
        <w:rPr>
          <w:sz w:val="21"/>
        </w:rPr>
        <w:t>车站跨城市快速路、主干路设置时，应在道路两侧地面出入口分别设置无障碍电梯；</w:t>
      </w:r>
    </w:p>
    <w:p>
      <w:pPr>
        <w:pStyle w:val="5"/>
        <w:spacing w:before="6"/>
        <w:rPr>
          <w:sz w:val="15"/>
        </w:rPr>
      </w:pPr>
    </w:p>
    <w:p>
      <w:pPr>
        <w:pStyle w:val="12"/>
        <w:numPr>
          <w:ilvl w:val="0"/>
          <w:numId w:val="117"/>
        </w:numPr>
        <w:tabs>
          <w:tab w:val="left" w:pos="1052"/>
          <w:tab w:val="left" w:pos="1053"/>
        </w:tabs>
        <w:spacing w:before="1" w:after="0" w:line="240" w:lineRule="auto"/>
        <w:ind w:left="1052" w:right="0" w:hanging="416"/>
        <w:jc w:val="left"/>
        <w:rPr>
          <w:sz w:val="21"/>
        </w:rPr>
      </w:pPr>
      <w:r>
        <w:rPr>
          <w:sz w:val="21"/>
        </w:rPr>
        <w:t>设有无障碍电梯的出入口与人行道存在高差时，应设置轮椅坡道；</w:t>
      </w:r>
    </w:p>
    <w:p>
      <w:pPr>
        <w:pStyle w:val="5"/>
        <w:spacing w:before="6"/>
        <w:rPr>
          <w:sz w:val="15"/>
        </w:rPr>
      </w:pPr>
    </w:p>
    <w:p>
      <w:pPr>
        <w:pStyle w:val="12"/>
        <w:numPr>
          <w:ilvl w:val="0"/>
          <w:numId w:val="117"/>
        </w:numPr>
        <w:tabs>
          <w:tab w:val="left" w:pos="1052"/>
          <w:tab w:val="left" w:pos="1053"/>
        </w:tabs>
        <w:spacing w:before="0" w:after="0" w:line="240" w:lineRule="auto"/>
        <w:ind w:left="1052" w:right="0" w:hanging="416"/>
        <w:jc w:val="left"/>
        <w:rPr>
          <w:sz w:val="21"/>
        </w:rPr>
      </w:pPr>
      <w:r>
        <w:rPr>
          <w:sz w:val="21"/>
        </w:rPr>
        <w:t>公共区站台到站厅、站厅到地面不同层时应设置无障碍电梯；</w:t>
      </w:r>
    </w:p>
    <w:p>
      <w:pPr>
        <w:pStyle w:val="5"/>
        <w:spacing w:before="7"/>
        <w:rPr>
          <w:sz w:val="15"/>
        </w:rPr>
      </w:pPr>
    </w:p>
    <w:p>
      <w:pPr>
        <w:pStyle w:val="12"/>
        <w:numPr>
          <w:ilvl w:val="0"/>
          <w:numId w:val="117"/>
        </w:numPr>
        <w:tabs>
          <w:tab w:val="left" w:pos="1052"/>
          <w:tab w:val="left" w:pos="1053"/>
        </w:tabs>
        <w:spacing w:before="0" w:after="0" w:line="240" w:lineRule="auto"/>
        <w:ind w:left="1052" w:right="0" w:hanging="416"/>
        <w:jc w:val="left"/>
        <w:rPr>
          <w:sz w:val="21"/>
        </w:rPr>
      </w:pPr>
      <w:r>
        <w:rPr>
          <w:sz w:val="21"/>
        </w:rPr>
        <w:t>换乘通道应为无障碍通道，高差较大无法设置轮椅坡道时应设置无障碍电梯；</w:t>
      </w:r>
    </w:p>
    <w:p>
      <w:pPr>
        <w:pStyle w:val="5"/>
        <w:spacing w:before="7"/>
        <w:rPr>
          <w:sz w:val="15"/>
        </w:rPr>
      </w:pPr>
    </w:p>
    <w:p>
      <w:pPr>
        <w:pStyle w:val="12"/>
        <w:numPr>
          <w:ilvl w:val="0"/>
          <w:numId w:val="117"/>
        </w:numPr>
        <w:tabs>
          <w:tab w:val="left" w:pos="1052"/>
          <w:tab w:val="left" w:pos="1053"/>
        </w:tabs>
        <w:spacing w:before="0" w:after="0" w:line="240" w:lineRule="auto"/>
        <w:ind w:left="1052" w:right="0" w:hanging="416"/>
        <w:jc w:val="left"/>
        <w:rPr>
          <w:sz w:val="21"/>
        </w:rPr>
      </w:pPr>
      <w:r>
        <w:rPr>
          <w:sz w:val="21"/>
        </w:rPr>
        <w:t>公共区域应设置无障碍卫生间或第三卫生间；</w:t>
      </w:r>
    </w:p>
    <w:p>
      <w:pPr>
        <w:pStyle w:val="5"/>
        <w:spacing w:before="6"/>
        <w:rPr>
          <w:sz w:val="15"/>
        </w:rPr>
      </w:pPr>
    </w:p>
    <w:p>
      <w:pPr>
        <w:pStyle w:val="12"/>
        <w:numPr>
          <w:ilvl w:val="0"/>
          <w:numId w:val="117"/>
        </w:numPr>
        <w:tabs>
          <w:tab w:val="left" w:pos="1052"/>
          <w:tab w:val="left" w:pos="1053"/>
        </w:tabs>
        <w:spacing w:before="1" w:after="0" w:line="240" w:lineRule="auto"/>
        <w:ind w:left="1052" w:right="0" w:hanging="416"/>
        <w:jc w:val="left"/>
        <w:rPr>
          <w:sz w:val="21"/>
        </w:rPr>
      </w:pPr>
      <w:r>
        <w:rPr>
          <w:sz w:val="21"/>
        </w:rPr>
        <w:t>站台层无障碍电梯门不宜正对轨道区设置，且候梯厅不得计入站台的有效宽度；</w:t>
      </w:r>
    </w:p>
    <w:p>
      <w:pPr>
        <w:pStyle w:val="5"/>
        <w:spacing w:before="6"/>
        <w:rPr>
          <w:sz w:val="15"/>
        </w:rPr>
      </w:pPr>
    </w:p>
    <w:p>
      <w:pPr>
        <w:pStyle w:val="12"/>
        <w:numPr>
          <w:ilvl w:val="0"/>
          <w:numId w:val="117"/>
        </w:numPr>
        <w:tabs>
          <w:tab w:val="left" w:pos="1052"/>
          <w:tab w:val="left" w:pos="1053"/>
        </w:tabs>
        <w:spacing w:before="0" w:after="0" w:line="417" w:lineRule="auto"/>
        <w:ind w:left="212" w:right="312" w:firstLine="424"/>
        <w:jc w:val="left"/>
        <w:rPr>
          <w:sz w:val="21"/>
        </w:rPr>
      </w:pPr>
      <w:r>
        <w:rPr>
          <w:spacing w:val="-3"/>
          <w:w w:val="95"/>
          <w:sz w:val="21"/>
        </w:rPr>
        <w:t xml:space="preserve">每扇站台门外应设提示盲道，宜与站台门等宽，且应与站台上的行进盲道相连，盲道与站台门之   </w:t>
      </w:r>
      <w:r>
        <w:rPr>
          <w:spacing w:val="-10"/>
          <w:sz w:val="21"/>
        </w:rPr>
        <w:t xml:space="preserve">间的距离宜为 </w:t>
      </w:r>
      <w:r>
        <w:rPr>
          <w:sz w:val="21"/>
        </w:rPr>
        <w:t>1.20</w:t>
      </w:r>
      <w:r>
        <w:rPr>
          <w:rFonts w:hint="eastAsia" w:ascii="仿宋" w:eastAsia="仿宋"/>
          <w:sz w:val="21"/>
        </w:rPr>
        <w:t>m</w:t>
      </w:r>
      <w:r>
        <w:rPr>
          <w:sz w:val="21"/>
        </w:rPr>
        <w:t>。</w:t>
      </w:r>
    </w:p>
    <w:p>
      <w:pPr>
        <w:pStyle w:val="12"/>
        <w:numPr>
          <w:ilvl w:val="2"/>
          <w:numId w:val="107"/>
        </w:numPr>
        <w:tabs>
          <w:tab w:val="left" w:pos="1052"/>
          <w:tab w:val="left" w:pos="1053"/>
        </w:tabs>
        <w:spacing w:before="0" w:after="0" w:line="269" w:lineRule="exact"/>
        <w:ind w:left="1052" w:right="0" w:hanging="841"/>
        <w:jc w:val="left"/>
        <w:rPr>
          <w:sz w:val="21"/>
        </w:rPr>
      </w:pPr>
      <w:bookmarkStart w:id="522" w:name="8.3.36汽车客运站、港口客运站建筑的无障碍设施尚应符合下列规定："/>
      <w:bookmarkEnd w:id="522"/>
      <w:bookmarkStart w:id="523" w:name="8.3.36汽车客运站、港口客运站建筑的无障碍设施尚应符合下列规定："/>
      <w:bookmarkEnd w:id="523"/>
      <w:r>
        <w:rPr>
          <w:sz w:val="21"/>
        </w:rPr>
        <w:t>汽车客运站、港口客运站建筑的无障碍设施尚应符合下列规定：</w:t>
      </w:r>
    </w:p>
    <w:p>
      <w:pPr>
        <w:pStyle w:val="5"/>
        <w:spacing w:before="7"/>
        <w:rPr>
          <w:sz w:val="15"/>
        </w:rPr>
      </w:pPr>
    </w:p>
    <w:p>
      <w:pPr>
        <w:pStyle w:val="12"/>
        <w:numPr>
          <w:ilvl w:val="0"/>
          <w:numId w:val="118"/>
        </w:numPr>
        <w:tabs>
          <w:tab w:val="left" w:pos="1052"/>
          <w:tab w:val="left" w:pos="1053"/>
        </w:tabs>
        <w:spacing w:before="0" w:after="0" w:line="240" w:lineRule="auto"/>
        <w:ind w:left="1052" w:right="0" w:hanging="416"/>
        <w:jc w:val="left"/>
        <w:rPr>
          <w:sz w:val="21"/>
        </w:rPr>
      </w:pPr>
      <w:r>
        <w:rPr>
          <w:sz w:val="21"/>
        </w:rPr>
        <w:t>入口与候乘厅不同层时，应设置自动扶梯和无障碍电梯；</w:t>
      </w:r>
    </w:p>
    <w:p>
      <w:pPr>
        <w:pStyle w:val="5"/>
        <w:spacing w:before="7"/>
        <w:rPr>
          <w:sz w:val="15"/>
        </w:rPr>
      </w:pPr>
    </w:p>
    <w:p>
      <w:pPr>
        <w:pStyle w:val="12"/>
        <w:numPr>
          <w:ilvl w:val="0"/>
          <w:numId w:val="118"/>
        </w:numPr>
        <w:tabs>
          <w:tab w:val="left" w:pos="1052"/>
          <w:tab w:val="left" w:pos="1053"/>
        </w:tabs>
        <w:spacing w:before="0" w:after="0" w:line="417" w:lineRule="auto"/>
        <w:ind w:left="212" w:right="310" w:firstLine="424"/>
        <w:jc w:val="left"/>
        <w:rPr>
          <w:sz w:val="21"/>
        </w:rPr>
      </w:pPr>
      <w:r>
        <w:rPr>
          <w:spacing w:val="-3"/>
          <w:sz w:val="21"/>
        </w:rPr>
        <w:t xml:space="preserve">宜在每层供旅客使用的公共卫生间附近设置 </w:t>
      </w:r>
      <w:r>
        <w:rPr>
          <w:sz w:val="21"/>
        </w:rPr>
        <w:t>1</w:t>
      </w:r>
      <w:r>
        <w:rPr>
          <w:spacing w:val="-13"/>
          <w:sz w:val="21"/>
        </w:rPr>
        <w:t xml:space="preserve"> 个无障碍卫生间；无条件时，每层应至少设置 </w:t>
      </w:r>
      <w:r>
        <w:rPr>
          <w:sz w:val="21"/>
        </w:rPr>
        <w:t>1</w:t>
      </w:r>
      <w:r>
        <w:rPr>
          <w:spacing w:val="-29"/>
          <w:sz w:val="21"/>
        </w:rPr>
        <w:t xml:space="preserve"> 处</w:t>
      </w:r>
      <w:r>
        <w:rPr>
          <w:spacing w:val="-33"/>
          <w:sz w:val="21"/>
        </w:rPr>
        <w:t xml:space="preserve">符合本标准第 </w:t>
      </w:r>
      <w:r>
        <w:rPr>
          <w:sz w:val="21"/>
        </w:rPr>
        <w:t>4.2</w:t>
      </w:r>
      <w:r>
        <w:rPr>
          <w:spacing w:val="-10"/>
          <w:sz w:val="21"/>
        </w:rPr>
        <w:t xml:space="preserve"> 节有关规定的公共卫生间，且建筑内应至少设置 </w:t>
      </w:r>
      <w:r>
        <w:rPr>
          <w:sz w:val="21"/>
        </w:rPr>
        <w:t>1</w:t>
      </w:r>
      <w:r>
        <w:rPr>
          <w:spacing w:val="-8"/>
          <w:sz w:val="21"/>
        </w:rPr>
        <w:t xml:space="preserve"> 处无障碍卫生间或第三卫生间；</w:t>
      </w:r>
    </w:p>
    <w:p>
      <w:pPr>
        <w:pStyle w:val="12"/>
        <w:numPr>
          <w:ilvl w:val="0"/>
          <w:numId w:val="118"/>
        </w:numPr>
        <w:tabs>
          <w:tab w:val="left" w:pos="1052"/>
          <w:tab w:val="left" w:pos="1053"/>
        </w:tabs>
        <w:spacing w:before="0" w:after="0" w:line="269" w:lineRule="exact"/>
        <w:ind w:left="1052" w:right="0" w:hanging="416"/>
        <w:jc w:val="left"/>
        <w:rPr>
          <w:sz w:val="21"/>
        </w:rPr>
      </w:pPr>
      <w:r>
        <w:rPr>
          <w:sz w:val="21"/>
        </w:rPr>
        <w:t>大型汽车客运站、港口客运站的候乘厅内宜设置母婴室；</w:t>
      </w:r>
    </w:p>
    <w:p>
      <w:pPr>
        <w:pStyle w:val="5"/>
        <w:spacing w:before="6"/>
        <w:rPr>
          <w:sz w:val="15"/>
        </w:rPr>
      </w:pPr>
    </w:p>
    <w:p>
      <w:pPr>
        <w:pStyle w:val="12"/>
        <w:numPr>
          <w:ilvl w:val="0"/>
          <w:numId w:val="118"/>
        </w:numPr>
        <w:tabs>
          <w:tab w:val="left" w:pos="1052"/>
          <w:tab w:val="left" w:pos="1053"/>
        </w:tabs>
        <w:spacing w:before="1" w:after="0" w:line="240" w:lineRule="auto"/>
        <w:ind w:left="1052" w:right="0" w:hanging="416"/>
        <w:jc w:val="left"/>
        <w:rPr>
          <w:sz w:val="21"/>
        </w:rPr>
      </w:pPr>
      <w:r>
        <w:rPr>
          <w:sz w:val="21"/>
        </w:rPr>
        <w:t>检票口与乘车（船）通道存在高差时，应设轮椅坡道；</w:t>
      </w:r>
    </w:p>
    <w:p>
      <w:pPr>
        <w:pStyle w:val="5"/>
        <w:spacing w:before="6"/>
        <w:rPr>
          <w:sz w:val="15"/>
        </w:rPr>
      </w:pPr>
    </w:p>
    <w:p>
      <w:pPr>
        <w:pStyle w:val="12"/>
        <w:numPr>
          <w:ilvl w:val="0"/>
          <w:numId w:val="118"/>
        </w:numPr>
        <w:tabs>
          <w:tab w:val="left" w:pos="415"/>
          <w:tab w:val="left" w:pos="1053"/>
        </w:tabs>
        <w:spacing w:before="0" w:after="0" w:line="240" w:lineRule="auto"/>
        <w:ind w:left="1052" w:right="5122" w:hanging="1053"/>
        <w:jc w:val="right"/>
        <w:rPr>
          <w:sz w:val="21"/>
        </w:rPr>
      </w:pPr>
      <w:r>
        <w:rPr>
          <w:w w:val="95"/>
          <w:sz w:val="21"/>
        </w:rPr>
        <w:t>室外站台、候乘区应设置雨棚等蔽雨设施。</w:t>
      </w:r>
    </w:p>
    <w:p>
      <w:pPr>
        <w:pStyle w:val="5"/>
        <w:spacing w:before="7"/>
        <w:rPr>
          <w:sz w:val="15"/>
        </w:rPr>
      </w:pPr>
    </w:p>
    <w:p>
      <w:pPr>
        <w:pStyle w:val="12"/>
        <w:numPr>
          <w:ilvl w:val="2"/>
          <w:numId w:val="107"/>
        </w:numPr>
        <w:tabs>
          <w:tab w:val="left" w:pos="1052"/>
          <w:tab w:val="left" w:pos="1053"/>
        </w:tabs>
        <w:spacing w:before="0" w:after="0" w:line="240" w:lineRule="auto"/>
        <w:ind w:left="1052" w:right="0" w:hanging="841"/>
        <w:jc w:val="left"/>
        <w:rPr>
          <w:sz w:val="21"/>
        </w:rPr>
      </w:pPr>
      <w:bookmarkStart w:id="524" w:name="8.3.37铁路旅客车站建筑的无障碍设施尚应符合下列规定："/>
      <w:bookmarkEnd w:id="524"/>
      <w:bookmarkStart w:id="525" w:name="8.3.37铁路旅客车站建筑的无障碍设施尚应符合下列规定："/>
      <w:bookmarkEnd w:id="525"/>
      <w:r>
        <w:rPr>
          <w:sz w:val="21"/>
        </w:rPr>
        <w:t>铁路旅客车站建筑的无障碍设施尚应符合下列规定：</w:t>
      </w:r>
    </w:p>
    <w:p>
      <w:pPr>
        <w:pStyle w:val="5"/>
        <w:spacing w:before="7"/>
        <w:rPr>
          <w:sz w:val="15"/>
        </w:rPr>
      </w:pPr>
    </w:p>
    <w:p>
      <w:pPr>
        <w:pStyle w:val="12"/>
        <w:numPr>
          <w:ilvl w:val="0"/>
          <w:numId w:val="119"/>
        </w:numPr>
        <w:tabs>
          <w:tab w:val="left" w:pos="1052"/>
          <w:tab w:val="left" w:pos="1053"/>
        </w:tabs>
        <w:spacing w:before="0" w:after="0" w:line="240" w:lineRule="auto"/>
        <w:ind w:left="1052" w:right="0" w:hanging="416"/>
        <w:jc w:val="left"/>
        <w:rPr>
          <w:sz w:val="21"/>
        </w:rPr>
      </w:pPr>
      <w:r>
        <w:rPr>
          <w:sz w:val="21"/>
        </w:rPr>
        <w:t>进站集散厅与候乘厅、地面层存在高差时，应设置轮椅坡道或无障碍电梯；</w:t>
      </w:r>
    </w:p>
    <w:p>
      <w:pPr>
        <w:pStyle w:val="5"/>
        <w:spacing w:before="6"/>
        <w:rPr>
          <w:sz w:val="15"/>
        </w:rPr>
      </w:pPr>
    </w:p>
    <w:p>
      <w:pPr>
        <w:pStyle w:val="12"/>
        <w:numPr>
          <w:ilvl w:val="0"/>
          <w:numId w:val="119"/>
        </w:numPr>
        <w:tabs>
          <w:tab w:val="left" w:pos="1052"/>
          <w:tab w:val="left" w:pos="1053"/>
        </w:tabs>
        <w:spacing w:before="1" w:after="0" w:line="240" w:lineRule="auto"/>
        <w:ind w:left="1052" w:right="0" w:hanging="416"/>
        <w:jc w:val="left"/>
        <w:rPr>
          <w:sz w:val="21"/>
        </w:rPr>
      </w:pPr>
      <w:r>
        <w:rPr>
          <w:spacing w:val="-6"/>
          <w:sz w:val="21"/>
        </w:rPr>
        <w:t xml:space="preserve">水平换乘距离大于 </w:t>
      </w:r>
      <w:r>
        <w:rPr>
          <w:sz w:val="21"/>
        </w:rPr>
        <w:t>300</w:t>
      </w:r>
      <w:r>
        <w:rPr>
          <w:rFonts w:hint="eastAsia" w:ascii="仿宋" w:eastAsia="仿宋"/>
          <w:sz w:val="21"/>
        </w:rPr>
        <w:t>m</w:t>
      </w:r>
      <w:r>
        <w:rPr>
          <w:rFonts w:hint="eastAsia" w:ascii="仿宋" w:eastAsia="仿宋"/>
          <w:spacing w:val="-52"/>
          <w:sz w:val="21"/>
        </w:rPr>
        <w:t xml:space="preserve"> </w:t>
      </w:r>
      <w:r>
        <w:rPr>
          <w:sz w:val="21"/>
        </w:rPr>
        <w:t>的换乘通道宜设置自动人行道；</w:t>
      </w:r>
    </w:p>
    <w:p>
      <w:pPr>
        <w:pStyle w:val="5"/>
        <w:spacing w:before="6"/>
        <w:rPr>
          <w:sz w:val="15"/>
        </w:rPr>
      </w:pPr>
    </w:p>
    <w:p>
      <w:pPr>
        <w:pStyle w:val="12"/>
        <w:numPr>
          <w:ilvl w:val="0"/>
          <w:numId w:val="119"/>
        </w:numPr>
        <w:tabs>
          <w:tab w:val="left" w:pos="1052"/>
          <w:tab w:val="left" w:pos="1053"/>
        </w:tabs>
        <w:spacing w:before="0" w:after="0" w:line="417" w:lineRule="auto"/>
        <w:ind w:left="212" w:right="312" w:firstLine="424"/>
        <w:jc w:val="left"/>
        <w:rPr>
          <w:sz w:val="21"/>
        </w:rPr>
      </w:pPr>
      <w:r>
        <w:rPr>
          <w:spacing w:val="-1"/>
          <w:w w:val="95"/>
          <w:sz w:val="21"/>
        </w:rPr>
        <w:t xml:space="preserve">中型及以上铁路客站应设置无障碍卫生间或第三卫生间。小型铁路客站宜设置无障碍卫生间或第   </w:t>
      </w:r>
      <w:r>
        <w:rPr>
          <w:spacing w:val="-4"/>
          <w:sz w:val="21"/>
        </w:rPr>
        <w:t xml:space="preserve">三卫生间；无条件时，应设置符合本标准第 </w:t>
      </w:r>
      <w:r>
        <w:rPr>
          <w:sz w:val="21"/>
        </w:rPr>
        <w:t>4.2</w:t>
      </w:r>
      <w:r>
        <w:rPr>
          <w:spacing w:val="-8"/>
          <w:sz w:val="21"/>
        </w:rPr>
        <w:t xml:space="preserve"> 节有关规定的公共卫生间；</w:t>
      </w:r>
    </w:p>
    <w:p>
      <w:pPr>
        <w:pStyle w:val="12"/>
        <w:numPr>
          <w:ilvl w:val="0"/>
          <w:numId w:val="119"/>
        </w:numPr>
        <w:tabs>
          <w:tab w:val="left" w:pos="1052"/>
          <w:tab w:val="left" w:pos="1053"/>
        </w:tabs>
        <w:spacing w:before="0" w:after="0" w:line="417" w:lineRule="auto"/>
        <w:ind w:left="212" w:right="312" w:firstLine="424"/>
        <w:jc w:val="left"/>
        <w:rPr>
          <w:sz w:val="21"/>
        </w:rPr>
      </w:pPr>
      <w:r>
        <w:rPr>
          <w:spacing w:val="-5"/>
          <w:sz w:val="21"/>
        </w:rPr>
        <w:t xml:space="preserve">站台安全警戒线内侧应设置 </w:t>
      </w:r>
      <w:r>
        <w:rPr>
          <w:sz w:val="21"/>
        </w:rPr>
        <w:t>600</w:t>
      </w:r>
      <w:r>
        <w:rPr>
          <w:rFonts w:hint="eastAsia" w:ascii="仿宋" w:eastAsia="仿宋"/>
          <w:sz w:val="21"/>
        </w:rPr>
        <w:t>mm</w:t>
      </w:r>
      <w:r>
        <w:rPr>
          <w:rFonts w:hint="eastAsia" w:ascii="仿宋" w:eastAsia="仿宋"/>
          <w:spacing w:val="-61"/>
          <w:sz w:val="21"/>
        </w:rPr>
        <w:t xml:space="preserve"> </w:t>
      </w:r>
      <w:r>
        <w:rPr>
          <w:spacing w:val="-3"/>
          <w:sz w:val="21"/>
        </w:rPr>
        <w:t>宽的提示盲道，且宜与安全警戒线等长。站台安全警戒线内侧的提示盲道应与站台上无障碍楼梯、无障碍电梯出入口处的提示盲道采用行进盲道相连。</w:t>
      </w:r>
    </w:p>
    <w:p>
      <w:pPr>
        <w:pStyle w:val="12"/>
        <w:numPr>
          <w:ilvl w:val="2"/>
          <w:numId w:val="107"/>
        </w:numPr>
        <w:tabs>
          <w:tab w:val="left" w:pos="1052"/>
          <w:tab w:val="left" w:pos="1053"/>
        </w:tabs>
        <w:spacing w:before="0" w:after="0" w:line="269" w:lineRule="exact"/>
        <w:ind w:left="1052" w:right="0" w:hanging="841"/>
        <w:jc w:val="left"/>
        <w:rPr>
          <w:sz w:val="21"/>
        </w:rPr>
      </w:pPr>
      <w:bookmarkStart w:id="526" w:name="8.3.38机场航站楼的无障碍设施尚应符合下列规定："/>
      <w:bookmarkEnd w:id="526"/>
      <w:bookmarkStart w:id="527" w:name="8.3.38机场航站楼的无障碍设施尚应符合下列规定："/>
      <w:bookmarkEnd w:id="527"/>
      <w:r>
        <w:rPr>
          <w:sz w:val="21"/>
        </w:rPr>
        <w:t>机场航站楼的无障碍设施尚应符合下列规定：</w:t>
      </w:r>
    </w:p>
    <w:p>
      <w:pPr>
        <w:pStyle w:val="5"/>
        <w:spacing w:before="7"/>
        <w:rPr>
          <w:sz w:val="15"/>
        </w:rPr>
      </w:pPr>
    </w:p>
    <w:p>
      <w:pPr>
        <w:pStyle w:val="12"/>
        <w:numPr>
          <w:ilvl w:val="0"/>
          <w:numId w:val="120"/>
        </w:numPr>
        <w:tabs>
          <w:tab w:val="left" w:pos="1052"/>
          <w:tab w:val="left" w:pos="1053"/>
        </w:tabs>
        <w:spacing w:before="0" w:after="0" w:line="240" w:lineRule="auto"/>
        <w:ind w:left="1052" w:right="0" w:hanging="416"/>
        <w:jc w:val="left"/>
        <w:rPr>
          <w:sz w:val="21"/>
        </w:rPr>
      </w:pPr>
      <w:r>
        <w:rPr>
          <w:sz w:val="21"/>
        </w:rPr>
        <w:t>靠近无障碍出入口的站前机动车停车通道应设置无障碍小汽车上/落客区；</w:t>
      </w:r>
    </w:p>
    <w:p>
      <w:pPr>
        <w:pStyle w:val="5"/>
        <w:spacing w:before="6"/>
        <w:rPr>
          <w:sz w:val="15"/>
        </w:rPr>
      </w:pPr>
    </w:p>
    <w:p>
      <w:pPr>
        <w:pStyle w:val="12"/>
        <w:numPr>
          <w:ilvl w:val="0"/>
          <w:numId w:val="120"/>
        </w:numPr>
        <w:tabs>
          <w:tab w:val="left" w:pos="1052"/>
          <w:tab w:val="left" w:pos="1053"/>
        </w:tabs>
        <w:spacing w:before="1" w:after="0" w:line="240" w:lineRule="auto"/>
        <w:ind w:left="1052" w:right="0" w:hanging="416"/>
        <w:jc w:val="left"/>
        <w:rPr>
          <w:sz w:val="21"/>
        </w:rPr>
      </w:pPr>
      <w:r>
        <w:rPr>
          <w:sz w:val="21"/>
        </w:rPr>
        <w:t>自动人行道的宽度和坡度应适合乘轮椅者的使用；</w:t>
      </w:r>
    </w:p>
    <w:p>
      <w:pPr>
        <w:spacing w:after="0" w:line="240" w:lineRule="auto"/>
        <w:jc w:val="left"/>
        <w:rPr>
          <w:sz w:val="21"/>
        </w:rPr>
        <w:sectPr>
          <w:pgSz w:w="11910" w:h="16840"/>
          <w:pgMar w:top="1580" w:right="820" w:bottom="1280" w:left="920" w:header="0" w:footer="1015" w:gutter="0"/>
          <w:cols w:space="720" w:num="1"/>
        </w:sectPr>
      </w:pPr>
    </w:p>
    <w:p>
      <w:pPr>
        <w:pStyle w:val="12"/>
        <w:numPr>
          <w:ilvl w:val="0"/>
          <w:numId w:val="120"/>
        </w:numPr>
        <w:tabs>
          <w:tab w:val="left" w:pos="1052"/>
          <w:tab w:val="left" w:pos="1053"/>
        </w:tabs>
        <w:spacing w:before="60" w:after="0" w:line="417" w:lineRule="auto"/>
        <w:ind w:left="212" w:right="208" w:firstLine="424"/>
        <w:jc w:val="left"/>
        <w:rPr>
          <w:sz w:val="21"/>
        </w:rPr>
      </w:pPr>
      <w:r>
        <w:rPr>
          <w:spacing w:val="-12"/>
          <w:w w:val="95"/>
          <w:sz w:val="21"/>
        </w:rPr>
        <w:t xml:space="preserve">宜在出发厅、候机厅、行李提取区、到达厅宜在公共卫生间附近设置无障碍卫生间或第三卫生间；   </w:t>
      </w:r>
      <w:r>
        <w:rPr>
          <w:spacing w:val="-15"/>
          <w:sz w:val="21"/>
        </w:rPr>
        <w:t xml:space="preserve">无条件时，应设置符合本标准第 </w:t>
      </w:r>
      <w:r>
        <w:rPr>
          <w:sz w:val="21"/>
        </w:rPr>
        <w:t>4.2</w:t>
      </w:r>
      <w:r>
        <w:rPr>
          <w:spacing w:val="-8"/>
          <w:sz w:val="21"/>
        </w:rPr>
        <w:t xml:space="preserve"> 节有关规定的公共卫生间；</w:t>
      </w:r>
    </w:p>
    <w:p>
      <w:pPr>
        <w:pStyle w:val="12"/>
        <w:numPr>
          <w:ilvl w:val="0"/>
          <w:numId w:val="120"/>
        </w:numPr>
        <w:tabs>
          <w:tab w:val="left" w:pos="1052"/>
          <w:tab w:val="left" w:pos="1053"/>
        </w:tabs>
        <w:spacing w:before="0" w:after="0" w:line="269" w:lineRule="exact"/>
        <w:ind w:left="1052" w:right="0" w:hanging="416"/>
        <w:jc w:val="left"/>
        <w:rPr>
          <w:sz w:val="21"/>
        </w:rPr>
      </w:pPr>
      <w:r>
        <w:rPr>
          <w:sz w:val="21"/>
        </w:rPr>
        <w:t>航站楼出发厅内公用电话处应设置无障碍电话。</w:t>
      </w:r>
    </w:p>
    <w:p>
      <w:pPr>
        <w:pStyle w:val="5"/>
        <w:spacing w:before="6"/>
        <w:rPr>
          <w:sz w:val="15"/>
        </w:rPr>
      </w:pPr>
    </w:p>
    <w:p>
      <w:pPr>
        <w:pStyle w:val="12"/>
        <w:numPr>
          <w:ilvl w:val="2"/>
          <w:numId w:val="91"/>
        </w:numPr>
        <w:tabs>
          <w:tab w:val="left" w:pos="4824"/>
        </w:tabs>
        <w:spacing w:before="1" w:after="0" w:line="240" w:lineRule="auto"/>
        <w:ind w:left="4823" w:right="0" w:hanging="421"/>
        <w:jc w:val="left"/>
        <w:rPr>
          <w:rFonts w:hint="eastAsia" w:ascii="黑体" w:eastAsia="黑体"/>
          <w:sz w:val="21"/>
        </w:rPr>
      </w:pPr>
      <w:bookmarkStart w:id="528" w:name="_bookmark25"/>
      <w:bookmarkEnd w:id="528"/>
      <w:bookmarkStart w:id="529" w:name="8.4工业建筑"/>
      <w:bookmarkEnd w:id="529"/>
      <w:bookmarkStart w:id="530" w:name="_bookmark25"/>
      <w:bookmarkEnd w:id="530"/>
      <w:r>
        <w:rPr>
          <w:rFonts w:hint="eastAsia" w:ascii="黑体" w:eastAsia="黑体"/>
          <w:sz w:val="21"/>
        </w:rPr>
        <w:t>工业建筑</w:t>
      </w:r>
    </w:p>
    <w:p>
      <w:pPr>
        <w:pStyle w:val="5"/>
        <w:spacing w:before="6"/>
        <w:rPr>
          <w:rFonts w:ascii="黑体"/>
          <w:sz w:val="15"/>
        </w:rPr>
      </w:pPr>
    </w:p>
    <w:p>
      <w:pPr>
        <w:pStyle w:val="12"/>
        <w:numPr>
          <w:ilvl w:val="2"/>
          <w:numId w:val="121"/>
        </w:numPr>
        <w:tabs>
          <w:tab w:val="left" w:pos="1052"/>
          <w:tab w:val="left" w:pos="1053"/>
        </w:tabs>
        <w:spacing w:before="0" w:after="0" w:line="240" w:lineRule="auto"/>
        <w:ind w:left="1052" w:right="0" w:hanging="841"/>
        <w:jc w:val="left"/>
        <w:rPr>
          <w:sz w:val="21"/>
        </w:rPr>
      </w:pPr>
      <w:bookmarkStart w:id="531" w:name="8.4.1残障人士使用的厂房建筑、仓储建筑、物流建筑等工业建筑，应进行无障碍设计"/>
      <w:bookmarkEnd w:id="531"/>
      <w:bookmarkStart w:id="532" w:name="8.4.1残障人士使用的厂房建筑、仓储建筑、物流建筑等工业建筑，应进行无障碍设计"/>
      <w:bookmarkEnd w:id="532"/>
      <w:r>
        <w:rPr>
          <w:sz w:val="21"/>
        </w:rPr>
        <w:t>残障人士使用的厂房建筑、仓储建筑、物流建筑等工业建筑，应进行无障碍设计。</w:t>
      </w:r>
    </w:p>
    <w:p>
      <w:pPr>
        <w:pStyle w:val="5"/>
        <w:spacing w:before="7"/>
        <w:rPr>
          <w:sz w:val="15"/>
        </w:rPr>
      </w:pPr>
    </w:p>
    <w:p>
      <w:pPr>
        <w:pStyle w:val="12"/>
        <w:numPr>
          <w:ilvl w:val="2"/>
          <w:numId w:val="121"/>
        </w:numPr>
        <w:tabs>
          <w:tab w:val="left" w:pos="1052"/>
          <w:tab w:val="left" w:pos="1053"/>
        </w:tabs>
        <w:spacing w:before="0" w:after="0" w:line="240" w:lineRule="auto"/>
        <w:ind w:left="1052" w:right="0" w:hanging="841"/>
        <w:jc w:val="left"/>
        <w:rPr>
          <w:sz w:val="21"/>
        </w:rPr>
      </w:pPr>
      <w:bookmarkStart w:id="533" w:name="8.4.2工业建筑厂区的无障碍设计应符合下列规定："/>
      <w:bookmarkEnd w:id="533"/>
      <w:bookmarkStart w:id="534" w:name="8.4.2工业建筑厂区的无障碍设计应符合下列规定："/>
      <w:bookmarkEnd w:id="534"/>
      <w:r>
        <w:rPr>
          <w:sz w:val="21"/>
        </w:rPr>
        <w:t>工业建筑厂区的无障碍设计应符合下列规定：</w:t>
      </w:r>
    </w:p>
    <w:p>
      <w:pPr>
        <w:pStyle w:val="5"/>
        <w:spacing w:before="7"/>
        <w:rPr>
          <w:sz w:val="15"/>
        </w:rPr>
      </w:pPr>
    </w:p>
    <w:p>
      <w:pPr>
        <w:pStyle w:val="12"/>
        <w:numPr>
          <w:ilvl w:val="0"/>
          <w:numId w:val="122"/>
        </w:numPr>
        <w:tabs>
          <w:tab w:val="left" w:pos="1052"/>
          <w:tab w:val="left" w:pos="1053"/>
        </w:tabs>
        <w:spacing w:before="0" w:after="0" w:line="240" w:lineRule="auto"/>
        <w:ind w:left="1052" w:right="0" w:hanging="416"/>
        <w:jc w:val="left"/>
        <w:rPr>
          <w:sz w:val="21"/>
        </w:rPr>
      </w:pPr>
      <w:r>
        <w:rPr>
          <w:sz w:val="21"/>
        </w:rPr>
        <w:t>人行通道与无障碍通道地面应平整、防滑；</w:t>
      </w:r>
    </w:p>
    <w:p>
      <w:pPr>
        <w:pStyle w:val="5"/>
        <w:spacing w:before="6"/>
        <w:rPr>
          <w:sz w:val="15"/>
        </w:rPr>
      </w:pPr>
    </w:p>
    <w:p>
      <w:pPr>
        <w:pStyle w:val="12"/>
        <w:numPr>
          <w:ilvl w:val="0"/>
          <w:numId w:val="122"/>
        </w:numPr>
        <w:tabs>
          <w:tab w:val="left" w:pos="1052"/>
          <w:tab w:val="left" w:pos="1053"/>
        </w:tabs>
        <w:spacing w:before="1" w:after="0" w:line="240" w:lineRule="auto"/>
        <w:ind w:left="1052" w:right="0" w:hanging="416"/>
        <w:jc w:val="left"/>
        <w:rPr>
          <w:sz w:val="21"/>
        </w:rPr>
      </w:pPr>
      <w:r>
        <w:rPr>
          <w:sz w:val="21"/>
        </w:rPr>
        <w:t>无障碍机动车停车位数量宜依据残障职工比例设置；</w:t>
      </w:r>
    </w:p>
    <w:p>
      <w:pPr>
        <w:pStyle w:val="5"/>
        <w:spacing w:before="6"/>
        <w:rPr>
          <w:sz w:val="15"/>
        </w:rPr>
      </w:pPr>
    </w:p>
    <w:p>
      <w:pPr>
        <w:pStyle w:val="12"/>
        <w:numPr>
          <w:ilvl w:val="0"/>
          <w:numId w:val="122"/>
        </w:numPr>
        <w:tabs>
          <w:tab w:val="left" w:pos="1052"/>
          <w:tab w:val="left" w:pos="1053"/>
        </w:tabs>
        <w:spacing w:before="0" w:after="0" w:line="417" w:lineRule="auto"/>
        <w:ind w:left="212" w:right="312" w:firstLine="424"/>
        <w:jc w:val="left"/>
        <w:rPr>
          <w:sz w:val="21"/>
        </w:rPr>
      </w:pPr>
      <w:r>
        <w:rPr>
          <w:spacing w:val="-4"/>
          <w:sz w:val="21"/>
        </w:rPr>
        <w:t xml:space="preserve">生产车间与生活用房距离大于 </w:t>
      </w:r>
      <w:r>
        <w:rPr>
          <w:sz w:val="21"/>
        </w:rPr>
        <w:t>500</w:t>
      </w:r>
      <w:r>
        <w:rPr>
          <w:rFonts w:hint="eastAsia" w:ascii="仿宋" w:eastAsia="仿宋"/>
          <w:sz w:val="21"/>
        </w:rPr>
        <w:t>m</w:t>
      </w:r>
      <w:r>
        <w:rPr>
          <w:rFonts w:hint="eastAsia" w:ascii="仿宋" w:eastAsia="仿宋"/>
          <w:spacing w:val="-52"/>
          <w:sz w:val="21"/>
        </w:rPr>
        <w:t xml:space="preserve"> </w:t>
      </w:r>
      <w:r>
        <w:rPr>
          <w:sz w:val="21"/>
        </w:rPr>
        <w:t>时，宜设置休息座椅，且宜结合浓荫植物，设置绿化休憩一体化的遮阳蔽雨设施；</w:t>
      </w:r>
    </w:p>
    <w:p>
      <w:pPr>
        <w:pStyle w:val="12"/>
        <w:numPr>
          <w:ilvl w:val="0"/>
          <w:numId w:val="122"/>
        </w:numPr>
        <w:tabs>
          <w:tab w:val="left" w:pos="1052"/>
          <w:tab w:val="left" w:pos="1053"/>
        </w:tabs>
        <w:spacing w:before="0" w:after="0" w:line="269" w:lineRule="exact"/>
        <w:ind w:left="1052" w:right="0" w:hanging="416"/>
        <w:jc w:val="left"/>
        <w:rPr>
          <w:sz w:val="21"/>
        </w:rPr>
      </w:pPr>
      <w:r>
        <w:rPr>
          <w:sz w:val="21"/>
        </w:rPr>
        <w:t>宜设置无障碍设施位置图和标识设施。</w:t>
      </w:r>
    </w:p>
    <w:p>
      <w:pPr>
        <w:pStyle w:val="5"/>
        <w:spacing w:before="7"/>
        <w:rPr>
          <w:sz w:val="15"/>
        </w:rPr>
      </w:pPr>
    </w:p>
    <w:p>
      <w:pPr>
        <w:pStyle w:val="12"/>
        <w:numPr>
          <w:ilvl w:val="2"/>
          <w:numId w:val="121"/>
        </w:numPr>
        <w:tabs>
          <w:tab w:val="left" w:pos="1052"/>
          <w:tab w:val="left" w:pos="1053"/>
        </w:tabs>
        <w:spacing w:before="0" w:after="0" w:line="240" w:lineRule="auto"/>
        <w:ind w:left="1052" w:right="0" w:hanging="841"/>
        <w:jc w:val="left"/>
        <w:rPr>
          <w:sz w:val="21"/>
        </w:rPr>
      </w:pPr>
      <w:bookmarkStart w:id="535" w:name="8.4.3工业建筑单体的无障碍设计应符合下列规定："/>
      <w:bookmarkEnd w:id="535"/>
      <w:bookmarkStart w:id="536" w:name="8.4.3工业建筑单体的无障碍设计应符合下列规定："/>
      <w:bookmarkEnd w:id="536"/>
      <w:r>
        <w:rPr>
          <w:sz w:val="21"/>
        </w:rPr>
        <w:t>工业建筑单体的无障碍设计应符合下列规定：</w:t>
      </w:r>
    </w:p>
    <w:p>
      <w:pPr>
        <w:pStyle w:val="5"/>
        <w:spacing w:before="7"/>
        <w:rPr>
          <w:sz w:val="15"/>
        </w:rPr>
      </w:pPr>
    </w:p>
    <w:p>
      <w:pPr>
        <w:pStyle w:val="12"/>
        <w:numPr>
          <w:ilvl w:val="0"/>
          <w:numId w:val="123"/>
        </w:numPr>
        <w:tabs>
          <w:tab w:val="left" w:pos="1052"/>
          <w:tab w:val="left" w:pos="1053"/>
        </w:tabs>
        <w:spacing w:before="0" w:after="0" w:line="240" w:lineRule="auto"/>
        <w:ind w:left="1052" w:right="0" w:hanging="416"/>
        <w:jc w:val="left"/>
        <w:rPr>
          <w:sz w:val="21"/>
        </w:rPr>
      </w:pPr>
      <w:r>
        <w:rPr>
          <w:spacing w:val="-9"/>
          <w:sz w:val="21"/>
        </w:rPr>
        <w:t xml:space="preserve">应至少设置 </w:t>
      </w:r>
      <w:r>
        <w:rPr>
          <w:sz w:val="21"/>
        </w:rPr>
        <w:t>1</w:t>
      </w:r>
      <w:r>
        <w:rPr>
          <w:spacing w:val="-8"/>
          <w:sz w:val="21"/>
        </w:rPr>
        <w:t xml:space="preserve"> 处无障碍出入口，宜位于主要出入口处；</w:t>
      </w:r>
    </w:p>
    <w:p>
      <w:pPr>
        <w:pStyle w:val="5"/>
        <w:spacing w:before="6"/>
        <w:rPr>
          <w:sz w:val="15"/>
        </w:rPr>
      </w:pPr>
    </w:p>
    <w:p>
      <w:pPr>
        <w:pStyle w:val="12"/>
        <w:numPr>
          <w:ilvl w:val="0"/>
          <w:numId w:val="123"/>
        </w:numPr>
        <w:tabs>
          <w:tab w:val="left" w:pos="1052"/>
          <w:tab w:val="left" w:pos="1053"/>
        </w:tabs>
        <w:spacing w:before="1" w:after="0" w:line="240" w:lineRule="auto"/>
        <w:ind w:left="1052" w:right="0" w:hanging="416"/>
        <w:jc w:val="left"/>
        <w:rPr>
          <w:sz w:val="21"/>
        </w:rPr>
      </w:pPr>
      <w:r>
        <w:rPr>
          <w:sz w:val="21"/>
        </w:rPr>
        <w:t>残障人士通行的室内走道应为无障碍通道；</w:t>
      </w:r>
    </w:p>
    <w:p>
      <w:pPr>
        <w:pStyle w:val="5"/>
        <w:spacing w:before="6"/>
        <w:rPr>
          <w:sz w:val="15"/>
        </w:rPr>
      </w:pPr>
    </w:p>
    <w:p>
      <w:pPr>
        <w:pStyle w:val="12"/>
        <w:numPr>
          <w:ilvl w:val="0"/>
          <w:numId w:val="123"/>
        </w:numPr>
        <w:tabs>
          <w:tab w:val="left" w:pos="1052"/>
          <w:tab w:val="left" w:pos="1053"/>
        </w:tabs>
        <w:spacing w:before="0" w:after="0" w:line="240" w:lineRule="auto"/>
        <w:ind w:left="1052" w:right="0" w:hanging="416"/>
        <w:jc w:val="left"/>
        <w:rPr>
          <w:sz w:val="21"/>
        </w:rPr>
      </w:pPr>
      <w:r>
        <w:rPr>
          <w:sz w:val="21"/>
        </w:rPr>
        <w:t>主要楼梯宜为无障碍楼梯；</w:t>
      </w:r>
    </w:p>
    <w:p>
      <w:pPr>
        <w:pStyle w:val="5"/>
        <w:spacing w:before="7"/>
        <w:rPr>
          <w:sz w:val="15"/>
        </w:rPr>
      </w:pPr>
    </w:p>
    <w:p>
      <w:pPr>
        <w:pStyle w:val="12"/>
        <w:numPr>
          <w:ilvl w:val="0"/>
          <w:numId w:val="123"/>
        </w:numPr>
        <w:tabs>
          <w:tab w:val="left" w:pos="1052"/>
          <w:tab w:val="left" w:pos="1053"/>
        </w:tabs>
        <w:spacing w:before="0" w:after="0" w:line="417" w:lineRule="auto"/>
        <w:ind w:left="212" w:right="310" w:firstLine="424"/>
        <w:jc w:val="left"/>
        <w:rPr>
          <w:sz w:val="21"/>
        </w:rPr>
      </w:pPr>
      <w:r>
        <w:rPr>
          <w:spacing w:val="-3"/>
          <w:sz w:val="21"/>
        </w:rPr>
        <w:t xml:space="preserve">残障人士使用的生产操作区所在的楼层宜设置 </w:t>
      </w:r>
      <w:r>
        <w:rPr>
          <w:sz w:val="21"/>
        </w:rPr>
        <w:t>1</w:t>
      </w:r>
      <w:r>
        <w:rPr>
          <w:spacing w:val="-13"/>
          <w:sz w:val="21"/>
        </w:rPr>
        <w:t xml:space="preserve"> 处无障碍卫生间；无条件时，应至少设置 </w:t>
      </w:r>
      <w:r>
        <w:rPr>
          <w:sz w:val="21"/>
        </w:rPr>
        <w:t>1</w:t>
      </w:r>
      <w:r>
        <w:rPr>
          <w:spacing w:val="-19"/>
          <w:sz w:val="21"/>
        </w:rPr>
        <w:t xml:space="preserve"> 处符</w:t>
      </w:r>
      <w:r>
        <w:rPr>
          <w:spacing w:val="-25"/>
          <w:sz w:val="21"/>
        </w:rPr>
        <w:t xml:space="preserve">合本标准第 </w:t>
      </w:r>
      <w:r>
        <w:rPr>
          <w:sz w:val="21"/>
        </w:rPr>
        <w:t>4.2</w:t>
      </w:r>
      <w:r>
        <w:rPr>
          <w:spacing w:val="-8"/>
          <w:sz w:val="21"/>
        </w:rPr>
        <w:t xml:space="preserve"> 节有关规定的公共卫生间；</w:t>
      </w:r>
    </w:p>
    <w:p>
      <w:pPr>
        <w:pStyle w:val="12"/>
        <w:numPr>
          <w:ilvl w:val="0"/>
          <w:numId w:val="123"/>
        </w:numPr>
        <w:tabs>
          <w:tab w:val="left" w:pos="1052"/>
          <w:tab w:val="left" w:pos="1053"/>
        </w:tabs>
        <w:spacing w:before="0" w:after="0" w:line="269" w:lineRule="exact"/>
        <w:ind w:left="1052" w:right="0" w:hanging="416"/>
        <w:jc w:val="left"/>
        <w:rPr>
          <w:sz w:val="21"/>
        </w:rPr>
      </w:pPr>
      <w:r>
        <w:rPr>
          <w:sz w:val="21"/>
        </w:rPr>
        <w:t>生产操作区宜设置带有升降功能的无障碍工作台；</w:t>
      </w:r>
    </w:p>
    <w:p>
      <w:pPr>
        <w:pStyle w:val="5"/>
        <w:spacing w:before="7"/>
        <w:rPr>
          <w:sz w:val="15"/>
        </w:rPr>
      </w:pPr>
    </w:p>
    <w:p>
      <w:pPr>
        <w:pStyle w:val="12"/>
        <w:numPr>
          <w:ilvl w:val="0"/>
          <w:numId w:val="123"/>
        </w:numPr>
        <w:tabs>
          <w:tab w:val="left" w:pos="1052"/>
          <w:tab w:val="left" w:pos="1053"/>
        </w:tabs>
        <w:spacing w:before="0" w:after="0" w:line="240" w:lineRule="auto"/>
        <w:ind w:left="1052" w:right="0" w:hanging="416"/>
        <w:jc w:val="left"/>
        <w:rPr>
          <w:sz w:val="21"/>
        </w:rPr>
      </w:pPr>
      <w:r>
        <w:rPr>
          <w:spacing w:val="-4"/>
          <w:sz w:val="21"/>
        </w:rPr>
        <w:t xml:space="preserve">公共浴室及更衣室宜符合本标准第 </w:t>
      </w:r>
      <w:r>
        <w:rPr>
          <w:sz w:val="21"/>
        </w:rPr>
        <w:t>4.2</w:t>
      </w:r>
      <w:r>
        <w:rPr>
          <w:spacing w:val="-9"/>
          <w:sz w:val="21"/>
        </w:rPr>
        <w:t xml:space="preserve"> 中有关规定；</w:t>
      </w:r>
    </w:p>
    <w:p>
      <w:pPr>
        <w:pStyle w:val="5"/>
        <w:spacing w:before="6"/>
        <w:rPr>
          <w:sz w:val="15"/>
        </w:rPr>
      </w:pPr>
    </w:p>
    <w:p>
      <w:pPr>
        <w:pStyle w:val="12"/>
        <w:numPr>
          <w:ilvl w:val="0"/>
          <w:numId w:val="123"/>
        </w:numPr>
        <w:tabs>
          <w:tab w:val="left" w:pos="1052"/>
          <w:tab w:val="left" w:pos="1053"/>
        </w:tabs>
        <w:spacing w:before="1" w:after="0" w:line="240" w:lineRule="auto"/>
        <w:ind w:left="1052" w:right="0" w:hanging="416"/>
        <w:jc w:val="left"/>
        <w:rPr>
          <w:sz w:val="21"/>
        </w:rPr>
      </w:pPr>
      <w:r>
        <w:rPr>
          <w:sz w:val="21"/>
        </w:rPr>
        <w:t>工业建筑可按需设置无障碍信息设施。</w:t>
      </w:r>
    </w:p>
    <w:p>
      <w:pPr>
        <w:pStyle w:val="5"/>
        <w:spacing w:before="6"/>
        <w:rPr>
          <w:sz w:val="15"/>
        </w:rPr>
      </w:pPr>
    </w:p>
    <w:p>
      <w:pPr>
        <w:pStyle w:val="12"/>
        <w:numPr>
          <w:ilvl w:val="2"/>
          <w:numId w:val="91"/>
        </w:numPr>
        <w:tabs>
          <w:tab w:val="left" w:pos="4824"/>
        </w:tabs>
        <w:spacing w:before="0" w:after="0" w:line="240" w:lineRule="auto"/>
        <w:ind w:left="4823" w:right="0" w:hanging="421"/>
        <w:jc w:val="left"/>
        <w:rPr>
          <w:rFonts w:hint="eastAsia" w:ascii="黑体" w:eastAsia="黑体"/>
          <w:sz w:val="21"/>
        </w:rPr>
      </w:pPr>
      <w:bookmarkStart w:id="537" w:name="8.5其他建筑"/>
      <w:bookmarkEnd w:id="537"/>
      <w:bookmarkStart w:id="538" w:name="_bookmark26"/>
      <w:bookmarkEnd w:id="538"/>
      <w:bookmarkStart w:id="539" w:name="_bookmark26"/>
      <w:bookmarkEnd w:id="539"/>
      <w:r>
        <w:rPr>
          <w:rFonts w:hint="eastAsia" w:ascii="黑体" w:eastAsia="黑体"/>
          <w:sz w:val="21"/>
        </w:rPr>
        <w:t>其他建筑</w:t>
      </w:r>
    </w:p>
    <w:p>
      <w:pPr>
        <w:pStyle w:val="5"/>
        <w:spacing w:before="7"/>
        <w:rPr>
          <w:rFonts w:ascii="黑体"/>
          <w:sz w:val="15"/>
        </w:rPr>
      </w:pPr>
    </w:p>
    <w:p>
      <w:pPr>
        <w:pStyle w:val="12"/>
        <w:numPr>
          <w:ilvl w:val="0"/>
          <w:numId w:val="124"/>
        </w:numPr>
        <w:tabs>
          <w:tab w:val="left" w:pos="4272"/>
        </w:tabs>
        <w:spacing w:before="0" w:after="0" w:line="240" w:lineRule="auto"/>
        <w:ind w:left="4271" w:right="102" w:hanging="4272"/>
        <w:jc w:val="left"/>
        <w:rPr>
          <w:rFonts w:hint="eastAsia" w:ascii="黑体" w:eastAsia="黑体"/>
          <w:sz w:val="21"/>
        </w:rPr>
      </w:pPr>
      <w:bookmarkStart w:id="540" w:name="I历史文物保护建筑"/>
      <w:bookmarkEnd w:id="540"/>
      <w:bookmarkStart w:id="541" w:name="I历史文物保护建筑"/>
      <w:bookmarkEnd w:id="541"/>
      <w:r>
        <w:rPr>
          <w:rFonts w:hint="eastAsia" w:ascii="黑体" w:eastAsia="黑体"/>
          <w:sz w:val="21"/>
        </w:rPr>
        <w:t>历史文物保护建筑</w:t>
      </w:r>
    </w:p>
    <w:p>
      <w:pPr>
        <w:pStyle w:val="5"/>
        <w:spacing w:before="7"/>
        <w:rPr>
          <w:rFonts w:ascii="黑体"/>
          <w:sz w:val="15"/>
        </w:rPr>
      </w:pPr>
    </w:p>
    <w:p>
      <w:pPr>
        <w:pStyle w:val="12"/>
        <w:numPr>
          <w:ilvl w:val="2"/>
          <w:numId w:val="125"/>
        </w:numPr>
        <w:tabs>
          <w:tab w:val="left" w:pos="1052"/>
          <w:tab w:val="left" w:pos="1053"/>
        </w:tabs>
        <w:spacing w:before="0" w:after="0" w:line="417" w:lineRule="auto"/>
        <w:ind w:left="212" w:right="310" w:firstLine="0"/>
        <w:jc w:val="left"/>
        <w:rPr>
          <w:sz w:val="21"/>
        </w:rPr>
      </w:pPr>
      <w:bookmarkStart w:id="542" w:name="8.5.1开放参观的历史名园、开放参观的古建博物馆、使用中的庙宇、开放参观的近现"/>
      <w:bookmarkEnd w:id="542"/>
      <w:bookmarkStart w:id="543" w:name="8.5.1开放参观的历史名园、开放参观的古建博物馆、使用中的庙宇、开放参观的近现"/>
      <w:bookmarkEnd w:id="543"/>
      <w:r>
        <w:rPr>
          <w:spacing w:val="-3"/>
          <w:w w:val="95"/>
          <w:sz w:val="21"/>
        </w:rPr>
        <w:t xml:space="preserve">开放参观的历史名园、开放参观的古建博物馆、使用中的庙宇、开放参观的近现代重要史迹及纪   </w:t>
      </w:r>
      <w:r>
        <w:rPr>
          <w:spacing w:val="-3"/>
          <w:sz w:val="21"/>
        </w:rPr>
        <w:t>念性建筑、开放的复建古建筑等各类历史文物保护建筑，应进行无障碍设计。</w:t>
      </w:r>
    </w:p>
    <w:p>
      <w:pPr>
        <w:pStyle w:val="12"/>
        <w:numPr>
          <w:ilvl w:val="2"/>
          <w:numId w:val="125"/>
        </w:numPr>
        <w:tabs>
          <w:tab w:val="left" w:pos="1052"/>
          <w:tab w:val="left" w:pos="1053"/>
        </w:tabs>
        <w:spacing w:before="0" w:after="0" w:line="269" w:lineRule="exact"/>
        <w:ind w:left="1052" w:right="0" w:hanging="841"/>
        <w:jc w:val="left"/>
        <w:rPr>
          <w:sz w:val="21"/>
        </w:rPr>
      </w:pPr>
      <w:bookmarkStart w:id="544" w:name="8.5.2历史文物保护建筑的无障碍设计应符合下列规定："/>
      <w:bookmarkEnd w:id="544"/>
      <w:bookmarkStart w:id="545" w:name="8.5.2历史文物保护建筑的无障碍设计应符合下列规定："/>
      <w:bookmarkEnd w:id="545"/>
      <w:r>
        <w:rPr>
          <w:w w:val="95"/>
          <w:sz w:val="21"/>
        </w:rPr>
        <w:t>历史文物保护建筑的无障碍设计应符合下列规定：</w:t>
      </w:r>
    </w:p>
    <w:p>
      <w:pPr>
        <w:pStyle w:val="5"/>
        <w:spacing w:before="6"/>
        <w:rPr>
          <w:sz w:val="15"/>
        </w:rPr>
      </w:pPr>
    </w:p>
    <w:p>
      <w:pPr>
        <w:pStyle w:val="12"/>
        <w:numPr>
          <w:ilvl w:val="3"/>
          <w:numId w:val="125"/>
        </w:numPr>
        <w:tabs>
          <w:tab w:val="left" w:pos="1052"/>
          <w:tab w:val="left" w:pos="1053"/>
        </w:tabs>
        <w:spacing w:before="1" w:after="0" w:line="417" w:lineRule="auto"/>
        <w:ind w:left="212" w:right="315" w:firstLine="424"/>
        <w:jc w:val="left"/>
        <w:rPr>
          <w:sz w:val="21"/>
        </w:rPr>
      </w:pPr>
      <w:r>
        <w:rPr>
          <w:spacing w:val="-1"/>
          <w:w w:val="95"/>
          <w:sz w:val="21"/>
        </w:rPr>
        <w:t xml:space="preserve">对外开放的文物保护单位应根据实际情况设计无障碍游览路线；无障碍游览路线上的文物建筑宜   </w:t>
      </w:r>
      <w:r>
        <w:rPr>
          <w:spacing w:val="-1"/>
          <w:sz w:val="21"/>
        </w:rPr>
        <w:t>尽量满足游客参观需求。</w:t>
      </w:r>
    </w:p>
    <w:p>
      <w:pPr>
        <w:pStyle w:val="12"/>
        <w:numPr>
          <w:ilvl w:val="3"/>
          <w:numId w:val="125"/>
        </w:numPr>
        <w:tabs>
          <w:tab w:val="left" w:pos="1052"/>
          <w:tab w:val="left" w:pos="1053"/>
        </w:tabs>
        <w:spacing w:before="0" w:after="0" w:line="417" w:lineRule="auto"/>
        <w:ind w:left="212" w:right="310" w:firstLine="424"/>
        <w:jc w:val="left"/>
        <w:rPr>
          <w:sz w:val="21"/>
        </w:rPr>
      </w:pPr>
      <w:r>
        <w:rPr>
          <w:spacing w:val="-5"/>
          <w:sz w:val="21"/>
        </w:rPr>
        <w:t xml:space="preserve">无障碍游览路线上对游客开放的文物建筑、展厅、陈列室、视听室等，应至少设置 </w:t>
      </w:r>
      <w:r>
        <w:rPr>
          <w:sz w:val="21"/>
        </w:rPr>
        <w:t>1</w:t>
      </w:r>
      <w:r>
        <w:rPr>
          <w:spacing w:val="-10"/>
          <w:sz w:val="21"/>
        </w:rPr>
        <w:t xml:space="preserve"> 处无障碍出入口，其设置标准要以保护文物为前提，坡道、平台等可为可拆卸的活动设施；</w:t>
      </w:r>
    </w:p>
    <w:p>
      <w:pPr>
        <w:spacing w:after="0" w:line="417" w:lineRule="auto"/>
        <w:jc w:val="left"/>
        <w:rPr>
          <w:sz w:val="21"/>
        </w:rPr>
        <w:sectPr>
          <w:pgSz w:w="11910" w:h="16840"/>
          <w:pgMar w:top="1580" w:right="820" w:bottom="1280" w:left="920" w:header="0" w:footer="1015" w:gutter="0"/>
          <w:cols w:space="720" w:num="1"/>
        </w:sectPr>
      </w:pPr>
    </w:p>
    <w:p>
      <w:pPr>
        <w:pStyle w:val="12"/>
        <w:numPr>
          <w:ilvl w:val="3"/>
          <w:numId w:val="125"/>
        </w:numPr>
        <w:tabs>
          <w:tab w:val="left" w:pos="1053"/>
        </w:tabs>
        <w:spacing w:before="60" w:after="0" w:line="417" w:lineRule="auto"/>
        <w:ind w:left="212" w:right="312" w:firstLine="424"/>
        <w:jc w:val="both"/>
        <w:rPr>
          <w:sz w:val="21"/>
        </w:rPr>
      </w:pPr>
      <w:r>
        <w:rPr>
          <w:spacing w:val="-1"/>
          <w:w w:val="95"/>
          <w:sz w:val="21"/>
        </w:rPr>
        <w:t xml:space="preserve">开放的文物保护单位的对外接待用房的出入口宜为无障碍出入口；供公众使用的服务性用房的出   </w:t>
      </w:r>
      <w:r>
        <w:rPr>
          <w:spacing w:val="-8"/>
          <w:sz w:val="21"/>
        </w:rPr>
        <w:t xml:space="preserve">入口应至少设置 </w:t>
      </w:r>
      <w:r>
        <w:rPr>
          <w:sz w:val="21"/>
        </w:rPr>
        <w:t>1</w:t>
      </w:r>
      <w:r>
        <w:rPr>
          <w:spacing w:val="-8"/>
          <w:sz w:val="21"/>
        </w:rPr>
        <w:t xml:space="preserve"> 处无障碍出入口，且宜位于主要出入口处；</w:t>
      </w:r>
    </w:p>
    <w:p>
      <w:pPr>
        <w:pStyle w:val="12"/>
        <w:numPr>
          <w:ilvl w:val="3"/>
          <w:numId w:val="125"/>
        </w:numPr>
        <w:tabs>
          <w:tab w:val="left" w:pos="1053"/>
        </w:tabs>
        <w:spacing w:before="0" w:after="0" w:line="417" w:lineRule="auto"/>
        <w:ind w:left="212" w:right="315" w:firstLine="424"/>
        <w:jc w:val="both"/>
        <w:rPr>
          <w:sz w:val="21"/>
        </w:rPr>
      </w:pPr>
      <w:r>
        <w:rPr>
          <w:spacing w:val="-2"/>
          <w:sz w:val="21"/>
        </w:rPr>
        <w:t xml:space="preserve">无障碍游览路线上的游览通道路面应平整、防滑，纵坡不宜大于 </w:t>
      </w:r>
      <w:r>
        <w:rPr>
          <w:sz w:val="21"/>
        </w:rPr>
        <w:t>1：50，有台阶处应同时设置轮椅坡道，坡道、平台等可为可拆卸的活动设施；</w:t>
      </w:r>
    </w:p>
    <w:p>
      <w:pPr>
        <w:pStyle w:val="12"/>
        <w:numPr>
          <w:ilvl w:val="3"/>
          <w:numId w:val="125"/>
        </w:numPr>
        <w:tabs>
          <w:tab w:val="left" w:pos="1053"/>
        </w:tabs>
        <w:spacing w:before="0" w:after="0" w:line="269" w:lineRule="exact"/>
        <w:ind w:left="1052" w:right="0" w:hanging="416"/>
        <w:jc w:val="both"/>
        <w:rPr>
          <w:sz w:val="21"/>
        </w:rPr>
      </w:pPr>
      <w:r>
        <w:rPr>
          <w:sz w:val="21"/>
        </w:rPr>
        <w:t>开放的文物保护单位内可不设置盲道，当特别需要时可设置，且应与周围环境相协调；</w:t>
      </w:r>
    </w:p>
    <w:p>
      <w:pPr>
        <w:pStyle w:val="5"/>
        <w:spacing w:before="6"/>
        <w:rPr>
          <w:sz w:val="15"/>
        </w:rPr>
      </w:pPr>
    </w:p>
    <w:p>
      <w:pPr>
        <w:pStyle w:val="12"/>
        <w:numPr>
          <w:ilvl w:val="3"/>
          <w:numId w:val="125"/>
        </w:numPr>
        <w:tabs>
          <w:tab w:val="left" w:pos="1053"/>
        </w:tabs>
        <w:spacing w:before="0" w:after="0" w:line="417" w:lineRule="auto"/>
        <w:ind w:left="212" w:right="310" w:firstLine="424"/>
        <w:jc w:val="both"/>
        <w:rPr>
          <w:sz w:val="21"/>
        </w:rPr>
      </w:pPr>
      <w:r>
        <w:rPr>
          <w:spacing w:val="-3"/>
          <w:w w:val="95"/>
          <w:sz w:val="21"/>
        </w:rPr>
        <w:t xml:space="preserve">位于无障碍游览路线上的院落内的公共绿地及其通道、休息凉亭等设施的地面应平整、防滑，有   </w:t>
      </w:r>
      <w:r>
        <w:rPr>
          <w:spacing w:val="-5"/>
          <w:w w:val="95"/>
          <w:sz w:val="21"/>
        </w:rPr>
        <w:t xml:space="preserve">台阶处宜同时设置轮椅坡道，坡道、平台等可为可拆卸的活动设施；院落内的休息座椅旁宜设轮椅停留空   </w:t>
      </w:r>
      <w:r>
        <w:rPr>
          <w:spacing w:val="-5"/>
          <w:sz w:val="21"/>
        </w:rPr>
        <w:t>间；</w:t>
      </w:r>
    </w:p>
    <w:p>
      <w:pPr>
        <w:pStyle w:val="12"/>
        <w:numPr>
          <w:ilvl w:val="3"/>
          <w:numId w:val="125"/>
        </w:numPr>
        <w:tabs>
          <w:tab w:val="left" w:pos="1053"/>
        </w:tabs>
        <w:spacing w:before="0" w:after="0" w:line="269" w:lineRule="exact"/>
        <w:ind w:left="1052" w:right="0" w:hanging="416"/>
        <w:jc w:val="both"/>
        <w:rPr>
          <w:sz w:val="21"/>
        </w:rPr>
      </w:pPr>
      <w:r>
        <w:rPr>
          <w:spacing w:val="-3"/>
          <w:sz w:val="21"/>
        </w:rPr>
        <w:t xml:space="preserve">供公众使用的公共卫生间应至少设置 </w:t>
      </w:r>
      <w:r>
        <w:rPr>
          <w:sz w:val="21"/>
        </w:rPr>
        <w:t>1</w:t>
      </w:r>
      <w:r>
        <w:rPr>
          <w:spacing w:val="-13"/>
          <w:sz w:val="21"/>
        </w:rPr>
        <w:t xml:space="preserve"> 处符合本标准第 </w:t>
      </w:r>
      <w:r>
        <w:rPr>
          <w:sz w:val="21"/>
        </w:rPr>
        <w:t>4.2</w:t>
      </w:r>
      <w:r>
        <w:rPr>
          <w:spacing w:val="-9"/>
          <w:sz w:val="21"/>
        </w:rPr>
        <w:t xml:space="preserve"> 节有关规定；</w:t>
      </w:r>
    </w:p>
    <w:p>
      <w:pPr>
        <w:pStyle w:val="5"/>
        <w:spacing w:before="7"/>
        <w:rPr>
          <w:sz w:val="15"/>
        </w:rPr>
      </w:pPr>
    </w:p>
    <w:p>
      <w:pPr>
        <w:pStyle w:val="12"/>
        <w:numPr>
          <w:ilvl w:val="3"/>
          <w:numId w:val="125"/>
        </w:numPr>
        <w:tabs>
          <w:tab w:val="left" w:pos="1053"/>
        </w:tabs>
        <w:spacing w:before="0" w:after="0" w:line="417" w:lineRule="auto"/>
        <w:ind w:left="212" w:right="310" w:firstLine="424"/>
        <w:jc w:val="both"/>
        <w:rPr>
          <w:sz w:val="21"/>
        </w:rPr>
      </w:pPr>
      <w:r>
        <w:rPr>
          <w:spacing w:val="-4"/>
          <w:w w:val="95"/>
          <w:sz w:val="21"/>
        </w:rPr>
        <w:t xml:space="preserve">售票处、服务台、公用电话、饮水器等应设置低位服务设施；纪念品商店如有开放式柜台、收银   </w:t>
      </w:r>
      <w:r>
        <w:rPr>
          <w:spacing w:val="-4"/>
          <w:sz w:val="21"/>
        </w:rPr>
        <w:t>台，应配备低位柜台；</w:t>
      </w:r>
    </w:p>
    <w:p>
      <w:pPr>
        <w:pStyle w:val="12"/>
        <w:numPr>
          <w:ilvl w:val="3"/>
          <w:numId w:val="125"/>
        </w:numPr>
        <w:tabs>
          <w:tab w:val="left" w:pos="1053"/>
        </w:tabs>
        <w:spacing w:before="0" w:after="0" w:line="269" w:lineRule="exact"/>
        <w:ind w:left="1052" w:right="0" w:hanging="416"/>
        <w:jc w:val="both"/>
        <w:rPr>
          <w:sz w:val="21"/>
        </w:rPr>
      </w:pPr>
      <w:r>
        <w:rPr>
          <w:spacing w:val="-3"/>
          <w:sz w:val="21"/>
        </w:rPr>
        <w:t xml:space="preserve">设有演播电视等服务设施的，其观众区应至少设置 </w:t>
      </w:r>
      <w:r>
        <w:rPr>
          <w:sz w:val="21"/>
        </w:rPr>
        <w:t>1</w:t>
      </w:r>
      <w:r>
        <w:rPr>
          <w:spacing w:val="-10"/>
          <w:sz w:val="21"/>
        </w:rPr>
        <w:t xml:space="preserve"> 个轮椅席位；</w:t>
      </w:r>
    </w:p>
    <w:p>
      <w:pPr>
        <w:pStyle w:val="5"/>
        <w:spacing w:before="7"/>
        <w:rPr>
          <w:sz w:val="15"/>
        </w:rPr>
      </w:pPr>
    </w:p>
    <w:p>
      <w:pPr>
        <w:pStyle w:val="12"/>
        <w:numPr>
          <w:ilvl w:val="3"/>
          <w:numId w:val="125"/>
        </w:numPr>
        <w:tabs>
          <w:tab w:val="left" w:pos="1052"/>
          <w:tab w:val="left" w:pos="1053"/>
        </w:tabs>
        <w:spacing w:before="0" w:after="0" w:line="240" w:lineRule="auto"/>
        <w:ind w:left="1052" w:right="0" w:hanging="416"/>
        <w:jc w:val="left"/>
        <w:rPr>
          <w:sz w:val="21"/>
        </w:rPr>
      </w:pPr>
      <w:r>
        <w:rPr>
          <w:spacing w:val="-4"/>
          <w:sz w:val="21"/>
        </w:rPr>
        <w:t xml:space="preserve">建筑基地内设有停车场时，应至少设置 </w:t>
      </w:r>
      <w:r>
        <w:rPr>
          <w:sz w:val="21"/>
        </w:rPr>
        <w:t>1</w:t>
      </w:r>
      <w:r>
        <w:rPr>
          <w:spacing w:val="-8"/>
          <w:sz w:val="21"/>
        </w:rPr>
        <w:t xml:space="preserve"> 个无障碍机动车停车位；</w:t>
      </w:r>
    </w:p>
    <w:p>
      <w:pPr>
        <w:pStyle w:val="5"/>
        <w:spacing w:before="6"/>
        <w:rPr>
          <w:sz w:val="15"/>
        </w:rPr>
      </w:pPr>
    </w:p>
    <w:p>
      <w:pPr>
        <w:pStyle w:val="12"/>
        <w:numPr>
          <w:ilvl w:val="3"/>
          <w:numId w:val="125"/>
        </w:numPr>
        <w:tabs>
          <w:tab w:val="left" w:pos="1052"/>
          <w:tab w:val="left" w:pos="1053"/>
        </w:tabs>
        <w:spacing w:before="1" w:after="0" w:line="240" w:lineRule="auto"/>
        <w:ind w:left="1052" w:right="0" w:hanging="416"/>
        <w:jc w:val="left"/>
        <w:rPr>
          <w:sz w:val="21"/>
        </w:rPr>
      </w:pPr>
      <w:r>
        <w:rPr>
          <w:sz w:val="21"/>
        </w:rPr>
        <w:t>重要的展览性陈设，宜设置盲文铭牌。</w:t>
      </w:r>
    </w:p>
    <w:p>
      <w:pPr>
        <w:pStyle w:val="5"/>
        <w:spacing w:before="6"/>
        <w:rPr>
          <w:sz w:val="15"/>
        </w:rPr>
      </w:pPr>
    </w:p>
    <w:p>
      <w:pPr>
        <w:pStyle w:val="12"/>
        <w:numPr>
          <w:ilvl w:val="0"/>
          <w:numId w:val="124"/>
        </w:numPr>
        <w:tabs>
          <w:tab w:val="left" w:pos="4324"/>
        </w:tabs>
        <w:spacing w:before="0" w:after="0" w:line="240" w:lineRule="auto"/>
        <w:ind w:left="4324" w:right="99" w:hanging="4324"/>
        <w:jc w:val="left"/>
        <w:rPr>
          <w:rFonts w:hint="eastAsia" w:ascii="黑体" w:eastAsia="黑体"/>
          <w:sz w:val="21"/>
        </w:rPr>
      </w:pPr>
      <w:bookmarkStart w:id="546" w:name="II公共停车场（库）"/>
      <w:bookmarkEnd w:id="546"/>
      <w:bookmarkStart w:id="547" w:name="II公共停车场（库）"/>
      <w:bookmarkEnd w:id="547"/>
      <w:r>
        <w:rPr>
          <w:rFonts w:hint="eastAsia" w:ascii="黑体" w:eastAsia="黑体"/>
          <w:sz w:val="21"/>
        </w:rPr>
        <w:t>公共停车场（库）</w:t>
      </w:r>
    </w:p>
    <w:p>
      <w:pPr>
        <w:pStyle w:val="5"/>
        <w:spacing w:before="7"/>
        <w:rPr>
          <w:rFonts w:ascii="黑体"/>
          <w:sz w:val="15"/>
        </w:rPr>
      </w:pPr>
    </w:p>
    <w:p>
      <w:pPr>
        <w:pStyle w:val="12"/>
        <w:numPr>
          <w:ilvl w:val="2"/>
          <w:numId w:val="125"/>
        </w:numPr>
        <w:tabs>
          <w:tab w:val="left" w:pos="839"/>
          <w:tab w:val="left" w:pos="840"/>
        </w:tabs>
        <w:spacing w:before="0" w:after="0" w:line="240" w:lineRule="auto"/>
        <w:ind w:left="1052" w:right="2393" w:hanging="1053"/>
        <w:jc w:val="right"/>
        <w:rPr>
          <w:sz w:val="21"/>
        </w:rPr>
      </w:pPr>
      <w:bookmarkStart w:id="548" w:name="8.5.3公共停车场（库）应设置无障碍机动车停车位，其数量应符合下列规定："/>
      <w:bookmarkEnd w:id="548"/>
      <w:bookmarkStart w:id="549" w:name="8.5.3公共停车场（库）应设置无障碍机动车停车位，其数量应符合下列规定："/>
      <w:bookmarkEnd w:id="549"/>
      <w:r>
        <w:rPr>
          <w:w w:val="95"/>
          <w:sz w:val="21"/>
        </w:rPr>
        <w:t>公共停车场（库）应设置无障碍机动车停车位，其数量应符合下列规定：</w:t>
      </w:r>
    </w:p>
    <w:p>
      <w:pPr>
        <w:pStyle w:val="5"/>
        <w:spacing w:before="7"/>
        <w:rPr>
          <w:sz w:val="15"/>
        </w:rPr>
      </w:pPr>
    </w:p>
    <w:p>
      <w:pPr>
        <w:pStyle w:val="12"/>
        <w:numPr>
          <w:ilvl w:val="0"/>
          <w:numId w:val="126"/>
        </w:numPr>
        <w:tabs>
          <w:tab w:val="left" w:pos="415"/>
          <w:tab w:val="left" w:pos="416"/>
        </w:tabs>
        <w:spacing w:before="0" w:after="0" w:line="240" w:lineRule="auto"/>
        <w:ind w:left="1052" w:right="2338" w:hanging="1053"/>
        <w:jc w:val="right"/>
        <w:rPr>
          <w:sz w:val="21"/>
        </w:rPr>
      </w:pPr>
      <w:r>
        <w:rPr>
          <w:sz w:val="21"/>
        </w:rPr>
        <w:t>Ⅰ类公共停车场（库）</w:t>
      </w:r>
      <w:r>
        <w:rPr>
          <w:spacing w:val="-7"/>
          <w:sz w:val="21"/>
        </w:rPr>
        <w:t xml:space="preserve">应设置不少于停车数量 </w:t>
      </w:r>
      <w:r>
        <w:rPr>
          <w:sz w:val="21"/>
        </w:rPr>
        <w:t>2%的无障碍机动车停车位；</w:t>
      </w:r>
    </w:p>
    <w:p>
      <w:pPr>
        <w:pStyle w:val="5"/>
        <w:spacing w:before="6"/>
        <w:rPr>
          <w:sz w:val="15"/>
        </w:rPr>
      </w:pPr>
    </w:p>
    <w:p>
      <w:pPr>
        <w:pStyle w:val="12"/>
        <w:numPr>
          <w:ilvl w:val="0"/>
          <w:numId w:val="126"/>
        </w:numPr>
        <w:tabs>
          <w:tab w:val="left" w:pos="1052"/>
          <w:tab w:val="left" w:pos="1053"/>
        </w:tabs>
        <w:spacing w:before="1" w:after="0" w:line="240" w:lineRule="auto"/>
        <w:ind w:left="1052" w:right="0" w:hanging="416"/>
        <w:jc w:val="left"/>
        <w:rPr>
          <w:sz w:val="21"/>
        </w:rPr>
      </w:pPr>
      <w:r>
        <w:rPr>
          <w:sz w:val="21"/>
        </w:rPr>
        <w:t>Ⅱ类及Ⅲ类公共停车场（库）</w:t>
      </w:r>
      <w:r>
        <w:rPr>
          <w:spacing w:val="-5"/>
          <w:sz w:val="21"/>
        </w:rPr>
        <w:t xml:space="preserve">应设置不少于停车数量 </w:t>
      </w:r>
      <w:r>
        <w:rPr>
          <w:sz w:val="21"/>
        </w:rPr>
        <w:t>2</w:t>
      </w:r>
      <w:r>
        <w:rPr>
          <w:spacing w:val="-8"/>
          <w:sz w:val="21"/>
        </w:rPr>
        <w:t xml:space="preserve">%、且不少于 </w:t>
      </w:r>
      <w:r>
        <w:rPr>
          <w:sz w:val="21"/>
        </w:rPr>
        <w:t>2</w:t>
      </w:r>
      <w:r>
        <w:rPr>
          <w:spacing w:val="-8"/>
          <w:sz w:val="21"/>
        </w:rPr>
        <w:t xml:space="preserve"> 个无障碍机动车停车位；</w:t>
      </w:r>
    </w:p>
    <w:p>
      <w:pPr>
        <w:pStyle w:val="5"/>
        <w:spacing w:before="6"/>
        <w:rPr>
          <w:sz w:val="15"/>
        </w:rPr>
      </w:pPr>
    </w:p>
    <w:p>
      <w:pPr>
        <w:pStyle w:val="12"/>
        <w:numPr>
          <w:ilvl w:val="0"/>
          <w:numId w:val="126"/>
        </w:numPr>
        <w:tabs>
          <w:tab w:val="left" w:pos="1052"/>
          <w:tab w:val="left" w:pos="1053"/>
        </w:tabs>
        <w:spacing w:before="0" w:after="0" w:line="240" w:lineRule="auto"/>
        <w:ind w:left="1052" w:right="0" w:hanging="416"/>
        <w:jc w:val="left"/>
        <w:rPr>
          <w:sz w:val="21"/>
        </w:rPr>
      </w:pPr>
      <w:r>
        <w:rPr>
          <w:sz w:val="21"/>
        </w:rPr>
        <w:t>Ⅳ类公共停车场（库）</w:t>
      </w:r>
      <w:r>
        <w:rPr>
          <w:spacing w:val="-8"/>
          <w:sz w:val="21"/>
        </w:rPr>
        <w:t xml:space="preserve">应设置不少于 </w:t>
      </w:r>
      <w:r>
        <w:rPr>
          <w:sz w:val="21"/>
        </w:rPr>
        <w:t>1</w:t>
      </w:r>
      <w:r>
        <w:rPr>
          <w:spacing w:val="-8"/>
          <w:sz w:val="21"/>
        </w:rPr>
        <w:t xml:space="preserve"> 个无障碍机动车停车位；</w:t>
      </w:r>
    </w:p>
    <w:p>
      <w:pPr>
        <w:pStyle w:val="5"/>
        <w:spacing w:before="7"/>
        <w:rPr>
          <w:sz w:val="15"/>
        </w:rPr>
      </w:pPr>
    </w:p>
    <w:p>
      <w:pPr>
        <w:pStyle w:val="12"/>
        <w:numPr>
          <w:ilvl w:val="0"/>
          <w:numId w:val="126"/>
        </w:numPr>
        <w:tabs>
          <w:tab w:val="left" w:pos="1052"/>
          <w:tab w:val="left" w:pos="1053"/>
        </w:tabs>
        <w:spacing w:before="0" w:after="0" w:line="240" w:lineRule="auto"/>
        <w:ind w:left="1052" w:right="0" w:hanging="416"/>
        <w:jc w:val="left"/>
        <w:rPr>
          <w:sz w:val="21"/>
        </w:rPr>
      </w:pPr>
      <w:r>
        <w:rPr>
          <w:spacing w:val="-2"/>
          <w:sz w:val="21"/>
        </w:rPr>
        <w:t xml:space="preserve">配建充电设施的无障碍机动车停车位应按充电功能总停车位数的 </w:t>
      </w:r>
      <w:r>
        <w:rPr>
          <w:sz w:val="21"/>
        </w:rPr>
        <w:t>2</w:t>
      </w:r>
      <w:r>
        <w:rPr>
          <w:spacing w:val="-6"/>
          <w:sz w:val="21"/>
        </w:rPr>
        <w:t xml:space="preserve">%设置，且不少于 </w:t>
      </w:r>
      <w:r>
        <w:rPr>
          <w:sz w:val="21"/>
        </w:rPr>
        <w:t>1</w:t>
      </w:r>
      <w:r>
        <w:rPr>
          <w:spacing w:val="-18"/>
          <w:sz w:val="21"/>
        </w:rPr>
        <w:t xml:space="preserve"> 个。</w:t>
      </w:r>
    </w:p>
    <w:p>
      <w:pPr>
        <w:pStyle w:val="5"/>
        <w:spacing w:before="7"/>
        <w:rPr>
          <w:sz w:val="15"/>
        </w:rPr>
      </w:pPr>
    </w:p>
    <w:p>
      <w:pPr>
        <w:pStyle w:val="12"/>
        <w:numPr>
          <w:ilvl w:val="2"/>
          <w:numId w:val="125"/>
        </w:numPr>
        <w:tabs>
          <w:tab w:val="left" w:pos="1052"/>
          <w:tab w:val="left" w:pos="1053"/>
        </w:tabs>
        <w:spacing w:before="0" w:after="0" w:line="417" w:lineRule="auto"/>
        <w:ind w:left="212" w:right="312" w:firstLine="0"/>
        <w:jc w:val="left"/>
        <w:rPr>
          <w:sz w:val="21"/>
        </w:rPr>
      </w:pPr>
      <w:bookmarkStart w:id="550" w:name="8.5.4多层公共停车库的无障碍机动车停车位宜设在与公共交通道路同层的位置，或通"/>
      <w:bookmarkEnd w:id="550"/>
      <w:bookmarkStart w:id="551" w:name="8.5.4多层公共停车库的无障碍机动车停车位宜设在与公共交通道路同层的位置，或通"/>
      <w:bookmarkEnd w:id="551"/>
      <w:r>
        <w:rPr>
          <w:spacing w:val="-1"/>
          <w:w w:val="95"/>
          <w:sz w:val="21"/>
        </w:rPr>
        <w:t xml:space="preserve">多层公共停车库的无障碍机动车停车位宜设在与公共交通道路同层的位置，或通过无障碍设施衔   </w:t>
      </w:r>
      <w:r>
        <w:rPr>
          <w:spacing w:val="-1"/>
          <w:sz w:val="21"/>
        </w:rPr>
        <w:t>接通往地面层。</w:t>
      </w:r>
    </w:p>
    <w:p>
      <w:pPr>
        <w:pStyle w:val="12"/>
        <w:numPr>
          <w:ilvl w:val="2"/>
          <w:numId w:val="125"/>
        </w:numPr>
        <w:tabs>
          <w:tab w:val="left" w:pos="1052"/>
          <w:tab w:val="left" w:pos="1053"/>
        </w:tabs>
        <w:spacing w:before="0" w:after="0" w:line="269" w:lineRule="exact"/>
        <w:ind w:left="1052" w:right="0" w:hanging="841"/>
        <w:jc w:val="left"/>
        <w:rPr>
          <w:sz w:val="21"/>
        </w:rPr>
      </w:pPr>
      <w:bookmarkStart w:id="552" w:name="8.5.5公共停车场（库）的标识设施应符合下列规定："/>
      <w:bookmarkEnd w:id="552"/>
      <w:bookmarkStart w:id="553" w:name="8.5.5公共停车场（库）的标识设施应符合下列规定："/>
      <w:bookmarkEnd w:id="553"/>
      <w:r>
        <w:rPr>
          <w:sz w:val="21"/>
        </w:rPr>
        <w:t>公共停车场（库）的标识设施应符合下列规定：</w:t>
      </w:r>
    </w:p>
    <w:p>
      <w:pPr>
        <w:pStyle w:val="5"/>
        <w:spacing w:before="6"/>
        <w:rPr>
          <w:sz w:val="15"/>
        </w:rPr>
      </w:pPr>
    </w:p>
    <w:p>
      <w:pPr>
        <w:pStyle w:val="12"/>
        <w:numPr>
          <w:ilvl w:val="0"/>
          <w:numId w:val="127"/>
        </w:numPr>
        <w:tabs>
          <w:tab w:val="left" w:pos="1052"/>
          <w:tab w:val="left" w:pos="1053"/>
        </w:tabs>
        <w:spacing w:before="1" w:after="0" w:line="240" w:lineRule="auto"/>
        <w:ind w:left="1052" w:right="0" w:hanging="416"/>
        <w:jc w:val="left"/>
        <w:rPr>
          <w:sz w:val="21"/>
        </w:rPr>
      </w:pPr>
      <w:r>
        <w:rPr>
          <w:sz w:val="21"/>
        </w:rPr>
        <w:t>入口处应设置无障碍机动车停车位的位置及行进路线平面示意图；</w:t>
      </w:r>
    </w:p>
    <w:p>
      <w:pPr>
        <w:pStyle w:val="5"/>
        <w:spacing w:before="6"/>
        <w:rPr>
          <w:sz w:val="15"/>
        </w:rPr>
      </w:pPr>
    </w:p>
    <w:p>
      <w:pPr>
        <w:pStyle w:val="12"/>
        <w:numPr>
          <w:ilvl w:val="0"/>
          <w:numId w:val="127"/>
        </w:numPr>
        <w:tabs>
          <w:tab w:val="left" w:pos="1052"/>
          <w:tab w:val="left" w:pos="1053"/>
        </w:tabs>
        <w:spacing w:before="0" w:after="0" w:line="240" w:lineRule="auto"/>
        <w:ind w:left="1052" w:right="0" w:hanging="416"/>
        <w:jc w:val="left"/>
        <w:rPr>
          <w:sz w:val="21"/>
        </w:rPr>
      </w:pPr>
      <w:r>
        <w:rPr>
          <w:sz w:val="21"/>
        </w:rPr>
        <w:t>内部应设置指示无障碍机动车停车位方向的标识设施。</w:t>
      </w:r>
    </w:p>
    <w:p>
      <w:pPr>
        <w:pStyle w:val="5"/>
        <w:spacing w:before="7"/>
        <w:rPr>
          <w:sz w:val="15"/>
        </w:rPr>
      </w:pPr>
    </w:p>
    <w:p>
      <w:pPr>
        <w:pStyle w:val="12"/>
        <w:numPr>
          <w:ilvl w:val="0"/>
          <w:numId w:val="124"/>
        </w:numPr>
        <w:tabs>
          <w:tab w:val="left" w:pos="4060"/>
        </w:tabs>
        <w:spacing w:before="0" w:after="0" w:line="240" w:lineRule="auto"/>
        <w:ind w:left="4060" w:right="102" w:hanging="4060"/>
        <w:jc w:val="left"/>
        <w:rPr>
          <w:rFonts w:hint="eastAsia" w:ascii="黑体" w:eastAsia="黑体"/>
          <w:sz w:val="21"/>
        </w:rPr>
      </w:pPr>
      <w:bookmarkStart w:id="554" w:name="III汽车加油加气站、充电站"/>
      <w:bookmarkEnd w:id="554"/>
      <w:bookmarkStart w:id="555" w:name="III汽车加油加气站、充电站"/>
      <w:bookmarkEnd w:id="555"/>
      <w:r>
        <w:rPr>
          <w:rFonts w:hint="eastAsia" w:ascii="黑体" w:eastAsia="黑体"/>
          <w:sz w:val="21"/>
        </w:rPr>
        <w:t>汽车加油加气站、充电站</w:t>
      </w:r>
    </w:p>
    <w:p>
      <w:pPr>
        <w:pStyle w:val="5"/>
        <w:spacing w:before="7"/>
        <w:rPr>
          <w:rFonts w:ascii="黑体"/>
          <w:sz w:val="15"/>
        </w:rPr>
      </w:pPr>
    </w:p>
    <w:p>
      <w:pPr>
        <w:pStyle w:val="12"/>
        <w:numPr>
          <w:ilvl w:val="2"/>
          <w:numId w:val="125"/>
        </w:numPr>
        <w:tabs>
          <w:tab w:val="left" w:pos="1052"/>
          <w:tab w:val="left" w:pos="1053"/>
        </w:tabs>
        <w:spacing w:before="0" w:after="0" w:line="240" w:lineRule="auto"/>
        <w:ind w:left="1052" w:right="0" w:hanging="841"/>
        <w:jc w:val="left"/>
        <w:rPr>
          <w:sz w:val="21"/>
        </w:rPr>
      </w:pPr>
      <w:bookmarkStart w:id="556" w:name="8.5.6汽车加油加气站、充电站附属建筑的无障碍设计应符合下列规定： "/>
      <w:bookmarkEnd w:id="556"/>
      <w:bookmarkStart w:id="557" w:name="8.5.6汽车加油加气站、充电站附属建筑的无障碍设计应符合下列规定： "/>
      <w:bookmarkEnd w:id="557"/>
      <w:r>
        <w:rPr>
          <w:w w:val="95"/>
          <w:sz w:val="21"/>
        </w:rPr>
        <w:t>汽车加油加气站、充电站附属建筑的无障碍设计应符合下列规定：</w:t>
      </w:r>
    </w:p>
    <w:p>
      <w:pPr>
        <w:pStyle w:val="5"/>
        <w:spacing w:before="6"/>
        <w:rPr>
          <w:sz w:val="15"/>
        </w:rPr>
      </w:pPr>
    </w:p>
    <w:p>
      <w:pPr>
        <w:pStyle w:val="12"/>
        <w:numPr>
          <w:ilvl w:val="0"/>
          <w:numId w:val="128"/>
        </w:numPr>
        <w:tabs>
          <w:tab w:val="left" w:pos="1052"/>
          <w:tab w:val="left" w:pos="1053"/>
        </w:tabs>
        <w:spacing w:before="1" w:after="0" w:line="240" w:lineRule="auto"/>
        <w:ind w:left="1052" w:right="0" w:hanging="416"/>
        <w:jc w:val="left"/>
        <w:rPr>
          <w:sz w:val="21"/>
        </w:rPr>
      </w:pPr>
      <w:r>
        <w:rPr>
          <w:spacing w:val="-10"/>
          <w:sz w:val="21"/>
        </w:rPr>
        <w:t xml:space="preserve">应至少设置 </w:t>
      </w:r>
      <w:r>
        <w:rPr>
          <w:sz w:val="21"/>
        </w:rPr>
        <w:t>1</w:t>
      </w:r>
      <w:r>
        <w:rPr>
          <w:spacing w:val="-8"/>
          <w:sz w:val="21"/>
        </w:rPr>
        <w:t xml:space="preserve"> 处无障碍出入口，且宜位于主要出入口处；</w:t>
      </w:r>
    </w:p>
    <w:p>
      <w:pPr>
        <w:pStyle w:val="5"/>
        <w:spacing w:before="6"/>
        <w:rPr>
          <w:sz w:val="15"/>
        </w:rPr>
      </w:pPr>
    </w:p>
    <w:p>
      <w:pPr>
        <w:pStyle w:val="12"/>
        <w:numPr>
          <w:ilvl w:val="0"/>
          <w:numId w:val="128"/>
        </w:numPr>
        <w:tabs>
          <w:tab w:val="left" w:pos="1052"/>
          <w:tab w:val="left" w:pos="1053"/>
        </w:tabs>
        <w:spacing w:before="0" w:after="0" w:line="240" w:lineRule="auto"/>
        <w:ind w:left="1052" w:right="0" w:hanging="416"/>
        <w:jc w:val="left"/>
        <w:rPr>
          <w:sz w:val="21"/>
        </w:rPr>
      </w:pPr>
      <w:r>
        <w:rPr>
          <w:spacing w:val="-6"/>
          <w:sz w:val="21"/>
        </w:rPr>
        <w:t xml:space="preserve">宜设置符合本标准第 </w:t>
      </w:r>
      <w:r>
        <w:rPr>
          <w:sz w:val="21"/>
        </w:rPr>
        <w:t>8.5.8</w:t>
      </w:r>
      <w:r>
        <w:rPr>
          <w:spacing w:val="-8"/>
          <w:sz w:val="21"/>
        </w:rPr>
        <w:t xml:space="preserve"> 条有关规定的公共卫生间。</w:t>
      </w:r>
    </w:p>
    <w:p>
      <w:pPr>
        <w:spacing w:after="0" w:line="240" w:lineRule="auto"/>
        <w:jc w:val="left"/>
        <w:rPr>
          <w:sz w:val="21"/>
        </w:rPr>
        <w:sectPr>
          <w:pgSz w:w="11910" w:h="16840"/>
          <w:pgMar w:top="1580" w:right="820" w:bottom="1280" w:left="920" w:header="0" w:footer="1015" w:gutter="0"/>
          <w:cols w:space="720" w:num="1"/>
        </w:sectPr>
      </w:pPr>
    </w:p>
    <w:p>
      <w:pPr>
        <w:pStyle w:val="12"/>
        <w:numPr>
          <w:ilvl w:val="0"/>
          <w:numId w:val="124"/>
        </w:numPr>
        <w:tabs>
          <w:tab w:val="left" w:pos="4430"/>
        </w:tabs>
        <w:spacing w:before="60" w:after="0" w:line="240" w:lineRule="auto"/>
        <w:ind w:left="4429" w:right="97" w:hanging="4430"/>
        <w:jc w:val="left"/>
        <w:rPr>
          <w:rFonts w:hint="eastAsia" w:ascii="黑体" w:eastAsia="黑体"/>
          <w:sz w:val="21"/>
        </w:rPr>
      </w:pPr>
      <w:bookmarkStart w:id="558" w:name="IV城市公共卫生间"/>
      <w:bookmarkEnd w:id="558"/>
      <w:bookmarkStart w:id="559" w:name="IV城市公共卫生间"/>
      <w:bookmarkEnd w:id="559"/>
      <w:r>
        <w:rPr>
          <w:rFonts w:hint="eastAsia" w:ascii="黑体" w:eastAsia="黑体"/>
          <w:sz w:val="21"/>
        </w:rPr>
        <w:t>城市公共卫生间</w:t>
      </w:r>
    </w:p>
    <w:p>
      <w:pPr>
        <w:pStyle w:val="5"/>
        <w:spacing w:before="6"/>
        <w:rPr>
          <w:rFonts w:ascii="黑体"/>
          <w:sz w:val="15"/>
        </w:rPr>
      </w:pPr>
    </w:p>
    <w:p>
      <w:pPr>
        <w:pStyle w:val="12"/>
        <w:numPr>
          <w:ilvl w:val="2"/>
          <w:numId w:val="125"/>
        </w:numPr>
        <w:tabs>
          <w:tab w:val="left" w:pos="1052"/>
          <w:tab w:val="left" w:pos="1053"/>
        </w:tabs>
        <w:spacing w:before="1" w:after="0" w:line="240" w:lineRule="auto"/>
        <w:ind w:left="1052" w:right="0" w:hanging="841"/>
        <w:jc w:val="left"/>
        <w:rPr>
          <w:sz w:val="21"/>
        </w:rPr>
      </w:pPr>
      <w:bookmarkStart w:id="560" w:name="8.5.7独立式、附属式城市公共卫生间应进行无障碍设计。"/>
      <w:bookmarkEnd w:id="560"/>
      <w:bookmarkStart w:id="561" w:name="8.5.7独立式、附属式城市公共卫生间应进行无障碍设计。"/>
      <w:bookmarkEnd w:id="561"/>
      <w:r>
        <w:rPr>
          <w:sz w:val="21"/>
        </w:rPr>
        <w:t>独立式、附属式城市公共卫生间应进行无障碍设计。</w:t>
      </w:r>
    </w:p>
    <w:p>
      <w:pPr>
        <w:pStyle w:val="5"/>
        <w:spacing w:before="6"/>
        <w:rPr>
          <w:sz w:val="15"/>
        </w:rPr>
      </w:pPr>
    </w:p>
    <w:p>
      <w:pPr>
        <w:pStyle w:val="12"/>
        <w:numPr>
          <w:ilvl w:val="2"/>
          <w:numId w:val="125"/>
        </w:numPr>
        <w:tabs>
          <w:tab w:val="left" w:pos="1052"/>
          <w:tab w:val="left" w:pos="1053"/>
        </w:tabs>
        <w:spacing w:before="0" w:after="0" w:line="240" w:lineRule="auto"/>
        <w:ind w:left="1052" w:right="0" w:hanging="841"/>
        <w:jc w:val="left"/>
        <w:rPr>
          <w:sz w:val="21"/>
        </w:rPr>
      </w:pPr>
      <w:bookmarkStart w:id="562" w:name="8.5.8城市公共卫生间的无障碍设计应符合下列规定："/>
      <w:bookmarkEnd w:id="562"/>
      <w:bookmarkStart w:id="563" w:name="8.5.8城市公共卫生间的无障碍设计应符合下列规定："/>
      <w:bookmarkEnd w:id="563"/>
      <w:r>
        <w:rPr>
          <w:sz w:val="21"/>
        </w:rPr>
        <w:t>城市公共卫生间的无障碍设计应符合下列规定：</w:t>
      </w:r>
    </w:p>
    <w:p>
      <w:pPr>
        <w:pStyle w:val="5"/>
        <w:spacing w:before="7"/>
        <w:rPr>
          <w:sz w:val="15"/>
        </w:rPr>
      </w:pPr>
    </w:p>
    <w:p>
      <w:pPr>
        <w:pStyle w:val="12"/>
        <w:numPr>
          <w:ilvl w:val="0"/>
          <w:numId w:val="129"/>
        </w:numPr>
        <w:tabs>
          <w:tab w:val="left" w:pos="1053"/>
        </w:tabs>
        <w:spacing w:before="0" w:after="0" w:line="240" w:lineRule="auto"/>
        <w:ind w:left="1052" w:right="0" w:hanging="416"/>
        <w:jc w:val="both"/>
        <w:rPr>
          <w:sz w:val="21"/>
        </w:rPr>
      </w:pPr>
      <w:r>
        <w:rPr>
          <w:sz w:val="21"/>
        </w:rPr>
        <w:t>出入口应为无障碍出入口；</w:t>
      </w:r>
    </w:p>
    <w:p>
      <w:pPr>
        <w:pStyle w:val="5"/>
        <w:spacing w:before="7"/>
        <w:rPr>
          <w:sz w:val="15"/>
        </w:rPr>
      </w:pPr>
    </w:p>
    <w:p>
      <w:pPr>
        <w:pStyle w:val="12"/>
        <w:numPr>
          <w:ilvl w:val="0"/>
          <w:numId w:val="129"/>
        </w:numPr>
        <w:tabs>
          <w:tab w:val="left" w:pos="1053"/>
        </w:tabs>
        <w:spacing w:before="0" w:after="0" w:line="417" w:lineRule="auto"/>
        <w:ind w:left="212" w:right="310" w:firstLine="424"/>
        <w:jc w:val="both"/>
        <w:rPr>
          <w:sz w:val="21"/>
        </w:rPr>
      </w:pPr>
      <w:r>
        <w:rPr>
          <w:spacing w:val="-5"/>
          <w:sz w:val="21"/>
        </w:rPr>
        <w:t xml:space="preserve">女卫生间应至少设置 </w:t>
      </w:r>
      <w:r>
        <w:rPr>
          <w:sz w:val="21"/>
        </w:rPr>
        <w:t>1</w:t>
      </w:r>
      <w:r>
        <w:rPr>
          <w:spacing w:val="-8"/>
          <w:sz w:val="21"/>
        </w:rPr>
        <w:t xml:space="preserve"> 个无障碍厕位、</w:t>
      </w:r>
      <w:r>
        <w:rPr>
          <w:sz w:val="21"/>
        </w:rPr>
        <w:t>1</w:t>
      </w:r>
      <w:r>
        <w:rPr>
          <w:spacing w:val="-9"/>
          <w:sz w:val="21"/>
        </w:rPr>
        <w:t xml:space="preserve"> 个无障碍洗手</w:t>
      </w:r>
      <w:r>
        <w:rPr>
          <w:sz w:val="21"/>
        </w:rPr>
        <w:t>/</w:t>
      </w:r>
      <w:r>
        <w:rPr>
          <w:spacing w:val="-13"/>
          <w:sz w:val="21"/>
        </w:rPr>
        <w:t xml:space="preserve">面盆和 </w:t>
      </w:r>
      <w:r>
        <w:rPr>
          <w:sz w:val="21"/>
        </w:rPr>
        <w:t>1</w:t>
      </w:r>
      <w:r>
        <w:rPr>
          <w:spacing w:val="-9"/>
          <w:sz w:val="21"/>
        </w:rPr>
        <w:t xml:space="preserve"> 个儿童洗手</w:t>
      </w:r>
      <w:r>
        <w:rPr>
          <w:sz w:val="21"/>
        </w:rPr>
        <w:t>/面盆；男卫生间应</w:t>
      </w:r>
      <w:r>
        <w:rPr>
          <w:spacing w:val="-10"/>
          <w:sz w:val="21"/>
        </w:rPr>
        <w:t xml:space="preserve">至少设置 </w:t>
      </w:r>
      <w:r>
        <w:rPr>
          <w:sz w:val="21"/>
        </w:rPr>
        <w:t>1</w:t>
      </w:r>
      <w:r>
        <w:rPr>
          <w:spacing w:val="-6"/>
          <w:sz w:val="21"/>
        </w:rPr>
        <w:t xml:space="preserve"> 个无障碍厕位、</w:t>
      </w:r>
      <w:r>
        <w:rPr>
          <w:sz w:val="21"/>
        </w:rPr>
        <w:t>1</w:t>
      </w:r>
      <w:r>
        <w:rPr>
          <w:spacing w:val="-7"/>
          <w:sz w:val="21"/>
        </w:rPr>
        <w:t xml:space="preserve"> 个无障碍小便器、</w:t>
      </w:r>
      <w:r>
        <w:rPr>
          <w:sz w:val="21"/>
        </w:rPr>
        <w:t>1</w:t>
      </w:r>
      <w:r>
        <w:rPr>
          <w:spacing w:val="-7"/>
          <w:sz w:val="21"/>
        </w:rPr>
        <w:t xml:space="preserve"> 个无障碍洗手</w:t>
      </w:r>
      <w:r>
        <w:rPr>
          <w:spacing w:val="3"/>
          <w:sz w:val="21"/>
        </w:rPr>
        <w:t>/</w:t>
      </w:r>
      <w:r>
        <w:rPr>
          <w:spacing w:val="-12"/>
          <w:sz w:val="21"/>
        </w:rPr>
        <w:t xml:space="preserve">面盆和 </w:t>
      </w:r>
      <w:r>
        <w:rPr>
          <w:sz w:val="21"/>
        </w:rPr>
        <w:t>1</w:t>
      </w:r>
      <w:r>
        <w:rPr>
          <w:spacing w:val="-8"/>
          <w:sz w:val="21"/>
        </w:rPr>
        <w:t xml:space="preserve"> 个儿童洗手</w:t>
      </w:r>
      <w:r>
        <w:rPr>
          <w:sz w:val="21"/>
        </w:rPr>
        <w:t>/面盆；并应符合本</w:t>
      </w:r>
      <w:r>
        <w:rPr>
          <w:spacing w:val="-13"/>
          <w:sz w:val="21"/>
        </w:rPr>
        <w:t xml:space="preserve">标准第 </w:t>
      </w:r>
      <w:r>
        <w:rPr>
          <w:sz w:val="21"/>
        </w:rPr>
        <w:t>4.2</w:t>
      </w:r>
      <w:r>
        <w:rPr>
          <w:spacing w:val="-8"/>
          <w:sz w:val="21"/>
        </w:rPr>
        <w:t xml:space="preserve"> 节中公共卫生间的有关规定；</w:t>
      </w:r>
    </w:p>
    <w:p>
      <w:pPr>
        <w:pStyle w:val="12"/>
        <w:numPr>
          <w:ilvl w:val="0"/>
          <w:numId w:val="129"/>
        </w:numPr>
        <w:tabs>
          <w:tab w:val="left" w:pos="1053"/>
        </w:tabs>
        <w:spacing w:before="0" w:after="0" w:line="269" w:lineRule="exact"/>
        <w:ind w:left="1052" w:right="0" w:hanging="416"/>
        <w:jc w:val="both"/>
        <w:rPr>
          <w:sz w:val="21"/>
        </w:rPr>
      </w:pPr>
      <w:r>
        <w:rPr>
          <w:sz w:val="21"/>
        </w:rPr>
        <w:t>在两层公共卫生间中，无障碍厕位应设在地面层；</w:t>
      </w:r>
    </w:p>
    <w:p>
      <w:pPr>
        <w:pStyle w:val="5"/>
        <w:spacing w:before="6"/>
        <w:rPr>
          <w:sz w:val="15"/>
        </w:rPr>
      </w:pPr>
    </w:p>
    <w:p>
      <w:pPr>
        <w:pStyle w:val="12"/>
        <w:numPr>
          <w:ilvl w:val="0"/>
          <w:numId w:val="129"/>
        </w:numPr>
        <w:tabs>
          <w:tab w:val="left" w:pos="1053"/>
        </w:tabs>
        <w:spacing w:before="1" w:after="0" w:line="240" w:lineRule="auto"/>
        <w:ind w:left="1052" w:right="0" w:hanging="416"/>
        <w:jc w:val="both"/>
        <w:rPr>
          <w:sz w:val="21"/>
        </w:rPr>
      </w:pPr>
      <w:r>
        <w:rPr>
          <w:spacing w:val="-5"/>
          <w:sz w:val="21"/>
        </w:rPr>
        <w:t xml:space="preserve">宜在公共卫生间旁另设 </w:t>
      </w:r>
      <w:r>
        <w:rPr>
          <w:sz w:val="21"/>
        </w:rPr>
        <w:t>1</w:t>
      </w:r>
      <w:r>
        <w:rPr>
          <w:spacing w:val="-8"/>
          <w:sz w:val="21"/>
        </w:rPr>
        <w:t xml:space="preserve"> 处无障碍卫生间或第三卫生间；</w:t>
      </w:r>
    </w:p>
    <w:p>
      <w:pPr>
        <w:pStyle w:val="5"/>
        <w:spacing w:before="6"/>
        <w:rPr>
          <w:sz w:val="15"/>
        </w:rPr>
      </w:pPr>
    </w:p>
    <w:p>
      <w:pPr>
        <w:pStyle w:val="12"/>
        <w:numPr>
          <w:ilvl w:val="0"/>
          <w:numId w:val="129"/>
        </w:numPr>
        <w:tabs>
          <w:tab w:val="left" w:pos="1053"/>
        </w:tabs>
        <w:spacing w:before="0" w:after="0" w:line="240" w:lineRule="auto"/>
        <w:ind w:left="1052" w:right="0" w:hanging="416"/>
        <w:jc w:val="both"/>
        <w:rPr>
          <w:sz w:val="21"/>
        </w:rPr>
      </w:pPr>
      <w:r>
        <w:rPr>
          <w:sz w:val="21"/>
        </w:rPr>
        <w:t>卫生间内通道应方便乘轮椅者进出和回转；</w:t>
      </w:r>
    </w:p>
    <w:p>
      <w:pPr>
        <w:pStyle w:val="5"/>
        <w:spacing w:before="7"/>
        <w:rPr>
          <w:sz w:val="15"/>
        </w:rPr>
      </w:pPr>
    </w:p>
    <w:p>
      <w:pPr>
        <w:pStyle w:val="12"/>
        <w:numPr>
          <w:ilvl w:val="0"/>
          <w:numId w:val="129"/>
        </w:numPr>
        <w:tabs>
          <w:tab w:val="left" w:pos="1052"/>
          <w:tab w:val="left" w:pos="1053"/>
        </w:tabs>
        <w:spacing w:before="0" w:after="0" w:line="240" w:lineRule="auto"/>
        <w:ind w:left="1052" w:right="0" w:hanging="416"/>
        <w:jc w:val="left"/>
        <w:rPr>
          <w:sz w:val="21"/>
        </w:rPr>
      </w:pPr>
      <w:r>
        <w:rPr>
          <w:spacing w:val="-3"/>
          <w:sz w:val="21"/>
        </w:rPr>
        <w:t xml:space="preserve">门应方便开启，通行净宽度不应小于 </w:t>
      </w:r>
      <w:r>
        <w:rPr>
          <w:sz w:val="21"/>
        </w:rPr>
        <w:t>800mm</w:t>
      </w:r>
      <w:r>
        <w:rPr>
          <w:spacing w:val="-9"/>
          <w:sz w:val="21"/>
        </w:rPr>
        <w:t xml:space="preserve">，不宜小于 </w:t>
      </w:r>
      <w:r>
        <w:rPr>
          <w:sz w:val="21"/>
        </w:rPr>
        <w:t>900</w:t>
      </w:r>
      <w:r>
        <w:rPr>
          <w:rFonts w:hint="eastAsia" w:ascii="仿宋" w:eastAsia="仿宋"/>
          <w:sz w:val="21"/>
        </w:rPr>
        <w:t>mm</w:t>
      </w:r>
      <w:r>
        <w:rPr>
          <w:sz w:val="21"/>
        </w:rPr>
        <w:t>；</w:t>
      </w:r>
    </w:p>
    <w:p>
      <w:pPr>
        <w:pStyle w:val="5"/>
        <w:spacing w:before="7"/>
        <w:rPr>
          <w:sz w:val="15"/>
        </w:rPr>
      </w:pPr>
    </w:p>
    <w:p>
      <w:pPr>
        <w:pStyle w:val="12"/>
        <w:numPr>
          <w:ilvl w:val="0"/>
          <w:numId w:val="129"/>
        </w:numPr>
        <w:tabs>
          <w:tab w:val="left" w:pos="1052"/>
          <w:tab w:val="left" w:pos="1053"/>
        </w:tabs>
        <w:spacing w:before="0" w:after="0" w:line="240" w:lineRule="auto"/>
        <w:ind w:left="1052" w:right="0" w:hanging="416"/>
        <w:jc w:val="left"/>
        <w:rPr>
          <w:sz w:val="21"/>
        </w:rPr>
      </w:pPr>
      <w:r>
        <w:rPr>
          <w:sz w:val="21"/>
        </w:rPr>
        <w:t>地面应防滑。</w:t>
      </w:r>
    </w:p>
    <w:p>
      <w:pPr>
        <w:spacing w:after="0" w:line="240" w:lineRule="auto"/>
        <w:jc w:val="left"/>
        <w:rPr>
          <w:sz w:val="21"/>
        </w:rPr>
        <w:sectPr>
          <w:pgSz w:w="11910" w:h="16840"/>
          <w:pgMar w:top="1580" w:right="820" w:bottom="1280" w:left="920" w:header="0" w:footer="1015" w:gutter="0"/>
          <w:cols w:space="720" w:num="1"/>
        </w:sectPr>
      </w:pPr>
    </w:p>
    <w:p>
      <w:pPr>
        <w:pStyle w:val="2"/>
        <w:ind w:left="0" w:right="100" w:firstLine="0"/>
        <w:jc w:val="center"/>
      </w:pPr>
      <w:bookmarkStart w:id="564" w:name="_bookmark27"/>
      <w:bookmarkEnd w:id="564"/>
      <w:bookmarkStart w:id="565" w:name="附录A常用标识设施"/>
      <w:bookmarkEnd w:id="565"/>
      <w:r>
        <w:rPr>
          <w:spacing w:val="-27"/>
        </w:rPr>
        <w:t xml:space="preserve">附录 </w:t>
      </w:r>
      <w:r>
        <w:rPr>
          <w:rFonts w:hint="eastAsia" w:ascii="仿宋" w:eastAsia="仿宋"/>
        </w:rPr>
        <w:t>A</w:t>
      </w:r>
      <w:r>
        <w:rPr>
          <w:rFonts w:hint="eastAsia" w:ascii="仿宋" w:eastAsia="仿宋"/>
          <w:spacing w:val="-79"/>
        </w:rPr>
        <w:t xml:space="preserve"> </w:t>
      </w:r>
      <w:r>
        <w:t>常用标识设施</w:t>
      </w:r>
    </w:p>
    <w:p>
      <w:pPr>
        <w:pStyle w:val="5"/>
        <w:spacing w:before="4"/>
        <w:rPr>
          <w:b/>
          <w:sz w:val="8"/>
        </w:rPr>
      </w:pPr>
    </w:p>
    <w:tbl>
      <w:tblPr>
        <w:tblStyle w:val="9"/>
        <w:tblW w:w="0" w:type="auto"/>
        <w:tblInd w:w="29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11"/>
        <w:gridCol w:w="2412"/>
        <w:gridCol w:w="46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2411" w:type="dxa"/>
            <w:tcBorders>
              <w:bottom w:val="single" w:color="000000" w:sz="4" w:space="0"/>
              <w:right w:val="single" w:color="000000" w:sz="4" w:space="0"/>
            </w:tcBorders>
          </w:tcPr>
          <w:p>
            <w:pPr>
              <w:pStyle w:val="13"/>
              <w:spacing w:before="77"/>
              <w:ind w:left="182" w:right="173"/>
              <w:jc w:val="center"/>
              <w:rPr>
                <w:sz w:val="20"/>
              </w:rPr>
            </w:pPr>
            <w:r>
              <w:rPr>
                <w:sz w:val="20"/>
              </w:rPr>
              <w:t>设施名称</w:t>
            </w:r>
          </w:p>
        </w:tc>
        <w:tc>
          <w:tcPr>
            <w:tcW w:w="2412" w:type="dxa"/>
            <w:tcBorders>
              <w:left w:val="single" w:color="000000" w:sz="4" w:space="0"/>
              <w:bottom w:val="single" w:color="000000" w:sz="4" w:space="0"/>
              <w:right w:val="single" w:color="000000" w:sz="4" w:space="0"/>
            </w:tcBorders>
          </w:tcPr>
          <w:p>
            <w:pPr>
              <w:pStyle w:val="13"/>
              <w:spacing w:before="77"/>
              <w:ind w:left="809"/>
              <w:rPr>
                <w:sz w:val="20"/>
              </w:rPr>
            </w:pPr>
            <w:r>
              <w:rPr>
                <w:sz w:val="20"/>
              </w:rPr>
              <w:t>具体形式</w:t>
            </w:r>
          </w:p>
        </w:tc>
        <w:tc>
          <w:tcPr>
            <w:tcW w:w="4672" w:type="dxa"/>
            <w:tcBorders>
              <w:left w:val="single" w:color="000000" w:sz="4" w:space="0"/>
              <w:bottom w:val="single" w:color="000000" w:sz="4" w:space="0"/>
            </w:tcBorders>
          </w:tcPr>
          <w:p>
            <w:pPr>
              <w:pStyle w:val="13"/>
              <w:spacing w:before="77"/>
              <w:ind w:left="1241"/>
              <w:rPr>
                <w:sz w:val="20"/>
              </w:rPr>
            </w:pPr>
            <w:r>
              <w:rPr>
                <w:sz w:val="20"/>
              </w:rPr>
              <w:t>具体形式（带指示方向）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96" w:hRule="atLeast"/>
        </w:trPr>
        <w:tc>
          <w:tcPr>
            <w:tcW w:w="2411" w:type="dxa"/>
            <w:tcBorders>
              <w:top w:val="single" w:color="000000" w:sz="4" w:space="0"/>
              <w:bottom w:val="single" w:color="000000" w:sz="4" w:space="0"/>
              <w:right w:val="single" w:color="000000" w:sz="4" w:space="0"/>
            </w:tcBorders>
          </w:tcPr>
          <w:p>
            <w:pPr>
              <w:pStyle w:val="13"/>
              <w:rPr>
                <w:b/>
                <w:sz w:val="20"/>
              </w:rPr>
            </w:pPr>
          </w:p>
          <w:p>
            <w:pPr>
              <w:pStyle w:val="13"/>
              <w:rPr>
                <w:b/>
                <w:sz w:val="20"/>
              </w:rPr>
            </w:pPr>
          </w:p>
          <w:p>
            <w:pPr>
              <w:pStyle w:val="13"/>
              <w:rPr>
                <w:b/>
                <w:sz w:val="20"/>
              </w:rPr>
            </w:pPr>
          </w:p>
          <w:p>
            <w:pPr>
              <w:pStyle w:val="13"/>
              <w:spacing w:before="5"/>
              <w:rPr>
                <w:b/>
                <w:sz w:val="27"/>
              </w:rPr>
            </w:pPr>
          </w:p>
          <w:p>
            <w:pPr>
              <w:pStyle w:val="13"/>
              <w:ind w:left="182" w:right="170"/>
              <w:jc w:val="center"/>
              <w:rPr>
                <w:sz w:val="20"/>
              </w:rPr>
            </w:pPr>
            <w:r>
              <w:rPr>
                <w:sz w:val="20"/>
              </w:rPr>
              <w:t>无障碍设施</w:t>
            </w:r>
          </w:p>
        </w:tc>
        <w:tc>
          <w:tcPr>
            <w:tcW w:w="2412" w:type="dxa"/>
            <w:tcBorders>
              <w:top w:val="single" w:color="000000" w:sz="4" w:space="0"/>
              <w:left w:val="single" w:color="000000" w:sz="4" w:space="0"/>
              <w:bottom w:val="single" w:color="000000" w:sz="4" w:space="0"/>
              <w:right w:val="single" w:color="000000" w:sz="4" w:space="0"/>
            </w:tcBorders>
          </w:tcPr>
          <w:p>
            <w:pPr>
              <w:pStyle w:val="13"/>
              <w:spacing w:before="7"/>
              <w:rPr>
                <w:b/>
                <w:sz w:val="29"/>
              </w:rPr>
            </w:pPr>
          </w:p>
          <w:p>
            <w:pPr>
              <w:pStyle w:val="13"/>
              <w:ind w:left="341"/>
              <w:rPr>
                <w:sz w:val="20"/>
              </w:rPr>
            </w:pPr>
            <w:r>
              <w:rPr>
                <w:sz w:val="20"/>
              </w:rPr>
              <w:drawing>
                <wp:inline distT="0" distB="0" distL="0" distR="0">
                  <wp:extent cx="1101090" cy="111061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7" cstate="print"/>
                          <a:stretch>
                            <a:fillRect/>
                          </a:stretch>
                        </pic:blipFill>
                        <pic:spPr>
                          <a:xfrm>
                            <a:off x="0" y="0"/>
                            <a:ext cx="1101423" cy="1110615"/>
                          </a:xfrm>
                          <a:prstGeom prst="rect">
                            <a:avLst/>
                          </a:prstGeom>
                        </pic:spPr>
                      </pic:pic>
                    </a:graphicData>
                  </a:graphic>
                </wp:inline>
              </w:drawing>
            </w:r>
          </w:p>
        </w:tc>
        <w:tc>
          <w:tcPr>
            <w:tcW w:w="4672" w:type="dxa"/>
            <w:tcBorders>
              <w:top w:val="single" w:color="000000" w:sz="4" w:space="0"/>
              <w:left w:val="single" w:color="000000" w:sz="4" w:space="0"/>
              <w:bottom w:val="single" w:color="000000" w:sz="4" w:space="0"/>
            </w:tcBorders>
          </w:tcPr>
          <w:p>
            <w:pPr>
              <w:pStyle w:val="13"/>
              <w:spacing w:before="5"/>
              <w:rPr>
                <w:b/>
                <w:sz w:val="22"/>
              </w:rPr>
            </w:pPr>
          </w:p>
          <w:p>
            <w:pPr>
              <w:pStyle w:val="13"/>
              <w:ind w:left="1242"/>
              <w:rPr>
                <w:sz w:val="20"/>
              </w:rPr>
            </w:pPr>
            <w:r>
              <w:rPr>
                <w:sz w:val="20"/>
              </w:rPr>
              <w:drawing>
                <wp:inline distT="0" distB="0" distL="0" distR="0">
                  <wp:extent cx="1421765" cy="12319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28" cstate="print"/>
                          <a:stretch>
                            <a:fillRect/>
                          </a:stretch>
                        </pic:blipFill>
                        <pic:spPr>
                          <a:xfrm>
                            <a:off x="0" y="0"/>
                            <a:ext cx="1422073" cy="1232153"/>
                          </a:xfrm>
                          <a:prstGeom prst="rect">
                            <a:avLst/>
                          </a:prstGeom>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3" w:hRule="atLeast"/>
        </w:trPr>
        <w:tc>
          <w:tcPr>
            <w:tcW w:w="2411" w:type="dxa"/>
            <w:tcBorders>
              <w:top w:val="single" w:color="000000" w:sz="4" w:space="0"/>
              <w:bottom w:val="single" w:color="000000" w:sz="4" w:space="0"/>
              <w:right w:val="single" w:color="000000" w:sz="4" w:space="0"/>
            </w:tcBorders>
          </w:tcPr>
          <w:p>
            <w:pPr>
              <w:pStyle w:val="13"/>
              <w:rPr>
                <w:b/>
                <w:sz w:val="20"/>
              </w:rPr>
            </w:pPr>
          </w:p>
          <w:p>
            <w:pPr>
              <w:pStyle w:val="13"/>
              <w:rPr>
                <w:b/>
                <w:sz w:val="20"/>
              </w:rPr>
            </w:pPr>
          </w:p>
          <w:p>
            <w:pPr>
              <w:pStyle w:val="13"/>
              <w:rPr>
                <w:b/>
                <w:sz w:val="20"/>
              </w:rPr>
            </w:pPr>
          </w:p>
          <w:p>
            <w:pPr>
              <w:pStyle w:val="13"/>
              <w:spacing w:before="3"/>
              <w:rPr>
                <w:b/>
                <w:sz w:val="15"/>
              </w:rPr>
            </w:pPr>
          </w:p>
          <w:p>
            <w:pPr>
              <w:pStyle w:val="13"/>
              <w:ind w:left="182" w:right="170"/>
              <w:jc w:val="center"/>
              <w:rPr>
                <w:sz w:val="20"/>
              </w:rPr>
            </w:pPr>
            <w:r>
              <w:rPr>
                <w:sz w:val="20"/>
              </w:rPr>
              <w:t>无障碍机动车停车位</w:t>
            </w:r>
          </w:p>
        </w:tc>
        <w:tc>
          <w:tcPr>
            <w:tcW w:w="2412" w:type="dxa"/>
            <w:tcBorders>
              <w:top w:val="single" w:color="000000" w:sz="4" w:space="0"/>
              <w:left w:val="single" w:color="000000" w:sz="4" w:space="0"/>
              <w:bottom w:val="single" w:color="000000" w:sz="4" w:space="0"/>
              <w:right w:val="single" w:color="000000" w:sz="4" w:space="0"/>
            </w:tcBorders>
          </w:tcPr>
          <w:p>
            <w:pPr>
              <w:pStyle w:val="13"/>
              <w:spacing w:before="4"/>
              <w:rPr>
                <w:b/>
                <w:sz w:val="17"/>
              </w:rPr>
            </w:pPr>
          </w:p>
          <w:p>
            <w:pPr>
              <w:pStyle w:val="13"/>
              <w:ind w:left="341"/>
              <w:rPr>
                <w:sz w:val="20"/>
              </w:rPr>
            </w:pPr>
            <w:r>
              <w:rPr>
                <w:sz w:val="20"/>
              </w:rPr>
              <w:drawing>
                <wp:inline distT="0" distB="0" distL="0" distR="0">
                  <wp:extent cx="1101090" cy="110998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29" cstate="print"/>
                          <a:stretch>
                            <a:fillRect/>
                          </a:stretch>
                        </pic:blipFill>
                        <pic:spPr>
                          <a:xfrm>
                            <a:off x="0" y="0"/>
                            <a:ext cx="1101423" cy="1110614"/>
                          </a:xfrm>
                          <a:prstGeom prst="rect">
                            <a:avLst/>
                          </a:prstGeom>
                        </pic:spPr>
                      </pic:pic>
                    </a:graphicData>
                  </a:graphic>
                </wp:inline>
              </w:drawing>
            </w:r>
          </w:p>
        </w:tc>
        <w:tc>
          <w:tcPr>
            <w:tcW w:w="4672" w:type="dxa"/>
            <w:tcBorders>
              <w:top w:val="single" w:color="000000" w:sz="4" w:space="0"/>
              <w:left w:val="single" w:color="000000" w:sz="4" w:space="0"/>
              <w:bottom w:val="single" w:color="000000" w:sz="4" w:space="0"/>
            </w:tcBorders>
          </w:tcPr>
          <w:p>
            <w:pPr>
              <w:pStyle w:val="13"/>
              <w:rPr>
                <w:b/>
                <w:sz w:val="20"/>
              </w:rPr>
            </w:pPr>
          </w:p>
          <w:p>
            <w:pPr>
              <w:pStyle w:val="13"/>
              <w:spacing w:after="1"/>
              <w:rPr>
                <w:b/>
                <w:sz w:val="16"/>
              </w:rPr>
            </w:pPr>
          </w:p>
          <w:p>
            <w:pPr>
              <w:pStyle w:val="13"/>
              <w:ind w:left="744"/>
              <w:rPr>
                <w:sz w:val="20"/>
              </w:rPr>
            </w:pPr>
            <w:r>
              <w:rPr>
                <w:sz w:val="20"/>
              </w:rPr>
              <w:drawing>
                <wp:inline distT="0" distB="0" distL="0" distR="0">
                  <wp:extent cx="2003425" cy="79565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30" cstate="print"/>
                          <a:stretch>
                            <a:fillRect/>
                          </a:stretch>
                        </pic:blipFill>
                        <pic:spPr>
                          <a:xfrm>
                            <a:off x="0" y="0"/>
                            <a:ext cx="2003999" cy="796289"/>
                          </a:xfrm>
                          <a:prstGeom prst="rect">
                            <a:avLst/>
                          </a:prstGeom>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4" w:hRule="atLeast"/>
        </w:trPr>
        <w:tc>
          <w:tcPr>
            <w:tcW w:w="2411" w:type="dxa"/>
            <w:tcBorders>
              <w:top w:val="single" w:color="000000" w:sz="4" w:space="0"/>
              <w:bottom w:val="single" w:color="000000" w:sz="4" w:space="0"/>
              <w:right w:val="single" w:color="000000" w:sz="4" w:space="0"/>
            </w:tcBorders>
          </w:tcPr>
          <w:p>
            <w:pPr>
              <w:pStyle w:val="13"/>
              <w:rPr>
                <w:b/>
                <w:sz w:val="20"/>
              </w:rPr>
            </w:pPr>
          </w:p>
          <w:p>
            <w:pPr>
              <w:pStyle w:val="13"/>
              <w:rPr>
                <w:b/>
                <w:sz w:val="20"/>
              </w:rPr>
            </w:pPr>
          </w:p>
          <w:p>
            <w:pPr>
              <w:pStyle w:val="13"/>
              <w:rPr>
                <w:b/>
                <w:sz w:val="20"/>
              </w:rPr>
            </w:pPr>
          </w:p>
          <w:p>
            <w:pPr>
              <w:pStyle w:val="13"/>
              <w:spacing w:before="2"/>
              <w:rPr>
                <w:b/>
                <w:sz w:val="15"/>
              </w:rPr>
            </w:pPr>
          </w:p>
          <w:p>
            <w:pPr>
              <w:pStyle w:val="13"/>
              <w:ind w:left="182" w:right="170"/>
              <w:jc w:val="center"/>
              <w:rPr>
                <w:sz w:val="20"/>
              </w:rPr>
            </w:pPr>
            <w:r>
              <w:rPr>
                <w:sz w:val="20"/>
              </w:rPr>
              <w:t>无障碍通道</w:t>
            </w:r>
          </w:p>
        </w:tc>
        <w:tc>
          <w:tcPr>
            <w:tcW w:w="2412" w:type="dxa"/>
            <w:tcBorders>
              <w:top w:val="single" w:color="000000" w:sz="4" w:space="0"/>
              <w:left w:val="single" w:color="000000" w:sz="4" w:space="0"/>
              <w:bottom w:val="single" w:color="000000" w:sz="4" w:space="0"/>
              <w:right w:val="single" w:color="000000" w:sz="4" w:space="0"/>
            </w:tcBorders>
          </w:tcPr>
          <w:p>
            <w:pPr>
              <w:pStyle w:val="13"/>
              <w:spacing w:before="3" w:after="1"/>
              <w:rPr>
                <w:b/>
                <w:sz w:val="17"/>
              </w:rPr>
            </w:pPr>
          </w:p>
          <w:p>
            <w:pPr>
              <w:pStyle w:val="13"/>
              <w:ind w:left="341"/>
              <w:rPr>
                <w:sz w:val="20"/>
              </w:rPr>
            </w:pPr>
            <w:r>
              <w:rPr>
                <w:sz w:val="20"/>
              </w:rPr>
              <w:drawing>
                <wp:inline distT="0" distB="0" distL="0" distR="0">
                  <wp:extent cx="1101090" cy="110998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31" cstate="print"/>
                          <a:stretch>
                            <a:fillRect/>
                          </a:stretch>
                        </pic:blipFill>
                        <pic:spPr>
                          <a:xfrm>
                            <a:off x="0" y="0"/>
                            <a:ext cx="1101423" cy="1110614"/>
                          </a:xfrm>
                          <a:prstGeom prst="rect">
                            <a:avLst/>
                          </a:prstGeom>
                        </pic:spPr>
                      </pic:pic>
                    </a:graphicData>
                  </a:graphic>
                </wp:inline>
              </w:drawing>
            </w:r>
          </w:p>
        </w:tc>
        <w:tc>
          <w:tcPr>
            <w:tcW w:w="4672" w:type="dxa"/>
            <w:tcBorders>
              <w:top w:val="single" w:color="000000" w:sz="4" w:space="0"/>
              <w:left w:val="single" w:color="000000" w:sz="4" w:space="0"/>
              <w:bottom w:val="single" w:color="000000" w:sz="4" w:space="0"/>
            </w:tcBorders>
          </w:tcPr>
          <w:p>
            <w:pPr>
              <w:pStyle w:val="13"/>
              <w:rPr>
                <w:b/>
                <w:sz w:val="20"/>
              </w:rPr>
            </w:pPr>
          </w:p>
          <w:p>
            <w:pPr>
              <w:pStyle w:val="13"/>
              <w:rPr>
                <w:b/>
                <w:sz w:val="16"/>
              </w:rPr>
            </w:pPr>
          </w:p>
          <w:p>
            <w:pPr>
              <w:pStyle w:val="13"/>
              <w:ind w:left="776"/>
              <w:rPr>
                <w:sz w:val="20"/>
              </w:rPr>
            </w:pPr>
            <w:r>
              <w:rPr>
                <w:sz w:val="20"/>
              </w:rPr>
              <w:drawing>
                <wp:inline distT="0" distB="0" distL="0" distR="0">
                  <wp:extent cx="1968500" cy="79184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32" cstate="print"/>
                          <a:stretch>
                            <a:fillRect/>
                          </a:stretch>
                        </pic:blipFill>
                        <pic:spPr>
                          <a:xfrm>
                            <a:off x="0" y="0"/>
                            <a:ext cx="1968670" cy="792099"/>
                          </a:xfrm>
                          <a:prstGeom prst="rect">
                            <a:avLst/>
                          </a:prstGeom>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4" w:hRule="atLeast"/>
        </w:trPr>
        <w:tc>
          <w:tcPr>
            <w:tcW w:w="2411" w:type="dxa"/>
            <w:tcBorders>
              <w:top w:val="single" w:color="000000" w:sz="4" w:space="0"/>
              <w:bottom w:val="single" w:color="000000" w:sz="4" w:space="0"/>
              <w:right w:val="single" w:color="000000" w:sz="4" w:space="0"/>
            </w:tcBorders>
          </w:tcPr>
          <w:p>
            <w:pPr>
              <w:pStyle w:val="13"/>
              <w:rPr>
                <w:b/>
                <w:sz w:val="20"/>
              </w:rPr>
            </w:pPr>
          </w:p>
          <w:p>
            <w:pPr>
              <w:pStyle w:val="13"/>
              <w:rPr>
                <w:b/>
                <w:sz w:val="20"/>
              </w:rPr>
            </w:pPr>
          </w:p>
          <w:p>
            <w:pPr>
              <w:pStyle w:val="13"/>
              <w:rPr>
                <w:b/>
                <w:sz w:val="20"/>
              </w:rPr>
            </w:pPr>
          </w:p>
          <w:p>
            <w:pPr>
              <w:pStyle w:val="13"/>
              <w:spacing w:before="2"/>
              <w:rPr>
                <w:b/>
                <w:sz w:val="15"/>
              </w:rPr>
            </w:pPr>
          </w:p>
          <w:p>
            <w:pPr>
              <w:pStyle w:val="13"/>
              <w:ind w:left="182" w:right="173"/>
              <w:jc w:val="center"/>
              <w:rPr>
                <w:sz w:val="20"/>
              </w:rPr>
            </w:pPr>
            <w:r>
              <w:rPr>
                <w:sz w:val="20"/>
              </w:rPr>
              <w:t>轮椅坡道</w:t>
            </w:r>
          </w:p>
        </w:tc>
        <w:tc>
          <w:tcPr>
            <w:tcW w:w="2412" w:type="dxa"/>
            <w:tcBorders>
              <w:top w:val="single" w:color="000000" w:sz="4" w:space="0"/>
              <w:left w:val="single" w:color="000000" w:sz="4" w:space="0"/>
              <w:bottom w:val="single" w:color="000000" w:sz="4" w:space="0"/>
              <w:right w:val="single" w:color="000000" w:sz="4" w:space="0"/>
            </w:tcBorders>
          </w:tcPr>
          <w:p>
            <w:pPr>
              <w:pStyle w:val="13"/>
              <w:spacing w:before="3"/>
              <w:rPr>
                <w:b/>
                <w:sz w:val="17"/>
              </w:rPr>
            </w:pPr>
          </w:p>
          <w:p>
            <w:pPr>
              <w:pStyle w:val="13"/>
              <w:ind w:left="341"/>
              <w:rPr>
                <w:sz w:val="20"/>
              </w:rPr>
            </w:pPr>
            <w:r>
              <w:rPr>
                <w:sz w:val="20"/>
              </w:rPr>
              <w:drawing>
                <wp:inline distT="0" distB="0" distL="0" distR="0">
                  <wp:extent cx="1101090" cy="110998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33" cstate="print"/>
                          <a:stretch>
                            <a:fillRect/>
                          </a:stretch>
                        </pic:blipFill>
                        <pic:spPr>
                          <a:xfrm>
                            <a:off x="0" y="0"/>
                            <a:ext cx="1101423" cy="1110614"/>
                          </a:xfrm>
                          <a:prstGeom prst="rect">
                            <a:avLst/>
                          </a:prstGeom>
                        </pic:spPr>
                      </pic:pic>
                    </a:graphicData>
                  </a:graphic>
                </wp:inline>
              </w:drawing>
            </w:r>
          </w:p>
        </w:tc>
        <w:tc>
          <w:tcPr>
            <w:tcW w:w="4672" w:type="dxa"/>
            <w:tcBorders>
              <w:top w:val="single" w:color="000000" w:sz="4" w:space="0"/>
              <w:left w:val="single" w:color="000000" w:sz="4" w:space="0"/>
              <w:bottom w:val="single" w:color="000000" w:sz="4" w:space="0"/>
            </w:tcBorders>
          </w:tcPr>
          <w:p>
            <w:pPr>
              <w:pStyle w:val="13"/>
              <w:rPr>
                <w:b/>
                <w:sz w:val="20"/>
              </w:rPr>
            </w:pPr>
          </w:p>
          <w:p>
            <w:pPr>
              <w:pStyle w:val="13"/>
              <w:rPr>
                <w:b/>
                <w:sz w:val="16"/>
              </w:rPr>
            </w:pPr>
          </w:p>
          <w:p>
            <w:pPr>
              <w:pStyle w:val="13"/>
              <w:ind w:left="776"/>
              <w:rPr>
                <w:sz w:val="20"/>
              </w:rPr>
            </w:pPr>
            <w:r>
              <w:rPr>
                <w:sz w:val="20"/>
              </w:rPr>
              <w:drawing>
                <wp:inline distT="0" distB="0" distL="0" distR="0">
                  <wp:extent cx="1974850" cy="77089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34" cstate="print"/>
                          <a:stretch>
                            <a:fillRect/>
                          </a:stretch>
                        </pic:blipFill>
                        <pic:spPr>
                          <a:xfrm>
                            <a:off x="0" y="0"/>
                            <a:ext cx="1974902" cy="771144"/>
                          </a:xfrm>
                          <a:prstGeom prst="rect">
                            <a:avLst/>
                          </a:prstGeom>
                        </pic:spPr>
                      </pic:pic>
                    </a:graphicData>
                  </a:graphic>
                </wp:inline>
              </w:drawing>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82" w:hRule="atLeast"/>
        </w:trPr>
        <w:tc>
          <w:tcPr>
            <w:tcW w:w="2411" w:type="dxa"/>
            <w:tcBorders>
              <w:top w:val="single" w:color="000000" w:sz="4" w:space="0"/>
              <w:bottom w:val="single" w:color="000000" w:sz="4" w:space="0"/>
              <w:right w:val="single" w:color="000000" w:sz="4" w:space="0"/>
            </w:tcBorders>
          </w:tcPr>
          <w:p>
            <w:pPr>
              <w:pStyle w:val="13"/>
              <w:rPr>
                <w:b/>
                <w:sz w:val="20"/>
              </w:rPr>
            </w:pPr>
          </w:p>
          <w:p>
            <w:pPr>
              <w:pStyle w:val="13"/>
              <w:rPr>
                <w:b/>
                <w:sz w:val="20"/>
              </w:rPr>
            </w:pPr>
          </w:p>
          <w:p>
            <w:pPr>
              <w:pStyle w:val="13"/>
              <w:rPr>
                <w:b/>
                <w:sz w:val="20"/>
              </w:rPr>
            </w:pPr>
          </w:p>
          <w:p>
            <w:pPr>
              <w:pStyle w:val="13"/>
              <w:spacing w:before="4"/>
              <w:rPr>
                <w:b/>
                <w:sz w:val="15"/>
              </w:rPr>
            </w:pPr>
          </w:p>
          <w:p>
            <w:pPr>
              <w:pStyle w:val="13"/>
              <w:ind w:left="182" w:right="170"/>
              <w:jc w:val="center"/>
              <w:rPr>
                <w:sz w:val="20"/>
              </w:rPr>
            </w:pPr>
            <w:r>
              <w:rPr>
                <w:sz w:val="20"/>
              </w:rPr>
              <w:t>无障碍电梯</w:t>
            </w:r>
          </w:p>
        </w:tc>
        <w:tc>
          <w:tcPr>
            <w:tcW w:w="2412" w:type="dxa"/>
            <w:tcBorders>
              <w:top w:val="single" w:color="000000" w:sz="4" w:space="0"/>
              <w:left w:val="single" w:color="000000" w:sz="4" w:space="0"/>
              <w:bottom w:val="single" w:color="000000" w:sz="4" w:space="0"/>
              <w:right w:val="single" w:color="000000" w:sz="4" w:space="0"/>
            </w:tcBorders>
          </w:tcPr>
          <w:p>
            <w:pPr>
              <w:pStyle w:val="13"/>
              <w:spacing w:before="5"/>
              <w:rPr>
                <w:b/>
                <w:sz w:val="17"/>
              </w:rPr>
            </w:pPr>
          </w:p>
          <w:p>
            <w:pPr>
              <w:pStyle w:val="13"/>
              <w:ind w:left="341"/>
              <w:rPr>
                <w:sz w:val="20"/>
              </w:rPr>
            </w:pPr>
            <w:r>
              <w:rPr>
                <w:sz w:val="20"/>
              </w:rPr>
              <w:drawing>
                <wp:inline distT="0" distB="0" distL="0" distR="0">
                  <wp:extent cx="1101090" cy="110998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35" cstate="print"/>
                          <a:stretch>
                            <a:fillRect/>
                          </a:stretch>
                        </pic:blipFill>
                        <pic:spPr>
                          <a:xfrm>
                            <a:off x="0" y="0"/>
                            <a:ext cx="1101423" cy="1110614"/>
                          </a:xfrm>
                          <a:prstGeom prst="rect">
                            <a:avLst/>
                          </a:prstGeom>
                        </pic:spPr>
                      </pic:pic>
                    </a:graphicData>
                  </a:graphic>
                </wp:inline>
              </w:drawing>
            </w:r>
          </w:p>
        </w:tc>
        <w:tc>
          <w:tcPr>
            <w:tcW w:w="4672" w:type="dxa"/>
            <w:tcBorders>
              <w:top w:val="single" w:color="000000" w:sz="4" w:space="0"/>
              <w:left w:val="single" w:color="000000" w:sz="4" w:space="0"/>
              <w:bottom w:val="single" w:color="000000" w:sz="4" w:space="0"/>
            </w:tcBorders>
          </w:tcPr>
          <w:p>
            <w:pPr>
              <w:pStyle w:val="13"/>
              <w:rPr>
                <w:b/>
                <w:sz w:val="20"/>
              </w:rPr>
            </w:pPr>
          </w:p>
          <w:p>
            <w:pPr>
              <w:pStyle w:val="13"/>
              <w:spacing w:before="2"/>
              <w:rPr>
                <w:b/>
                <w:sz w:val="16"/>
              </w:rPr>
            </w:pPr>
          </w:p>
          <w:p>
            <w:pPr>
              <w:pStyle w:val="13"/>
              <w:ind w:left="776"/>
              <w:rPr>
                <w:sz w:val="20"/>
              </w:rPr>
            </w:pPr>
            <w:r>
              <w:rPr>
                <w:sz w:val="20"/>
              </w:rPr>
              <w:drawing>
                <wp:inline distT="0" distB="0" distL="0" distR="0">
                  <wp:extent cx="1974850" cy="79629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36" cstate="print"/>
                          <a:stretch>
                            <a:fillRect/>
                          </a:stretch>
                        </pic:blipFill>
                        <pic:spPr>
                          <a:xfrm>
                            <a:off x="0" y="0"/>
                            <a:ext cx="1974902" cy="796290"/>
                          </a:xfrm>
                          <a:prstGeom prst="rect">
                            <a:avLst/>
                          </a:prstGeom>
                        </pic:spPr>
                      </pic:pic>
                    </a:graphicData>
                  </a:graphic>
                </wp:inline>
              </w:drawing>
            </w:r>
          </w:p>
        </w:tc>
      </w:tr>
    </w:tbl>
    <w:p>
      <w:pPr>
        <w:spacing w:after="0"/>
        <w:rPr>
          <w:sz w:val="20"/>
        </w:rPr>
        <w:sectPr>
          <w:pgSz w:w="11910" w:h="16840"/>
          <w:pgMar w:top="1580" w:right="820" w:bottom="1280" w:left="920" w:header="0" w:footer="1015" w:gutter="0"/>
          <w:cols w:space="720" w:num="1"/>
        </w:sectPr>
      </w:pPr>
    </w:p>
    <w:tbl>
      <w:tblPr>
        <w:tblStyle w:val="9"/>
        <w:tblW w:w="0" w:type="auto"/>
        <w:tblInd w:w="2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1"/>
        <w:gridCol w:w="2412"/>
        <w:gridCol w:w="4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2411" w:type="dxa"/>
            <w:tcBorders>
              <w:left w:val="single" w:color="000000" w:sz="8" w:space="0"/>
            </w:tcBorders>
          </w:tcPr>
          <w:p>
            <w:pPr>
              <w:pStyle w:val="13"/>
              <w:rPr>
                <w:b/>
                <w:sz w:val="20"/>
              </w:rPr>
            </w:pPr>
          </w:p>
          <w:p>
            <w:pPr>
              <w:pStyle w:val="13"/>
              <w:rPr>
                <w:b/>
                <w:sz w:val="20"/>
              </w:rPr>
            </w:pPr>
          </w:p>
          <w:p>
            <w:pPr>
              <w:pStyle w:val="13"/>
              <w:rPr>
                <w:b/>
                <w:sz w:val="20"/>
              </w:rPr>
            </w:pPr>
          </w:p>
          <w:p>
            <w:pPr>
              <w:pStyle w:val="13"/>
              <w:spacing w:before="2"/>
              <w:rPr>
                <w:b/>
                <w:sz w:val="15"/>
              </w:rPr>
            </w:pPr>
          </w:p>
          <w:p>
            <w:pPr>
              <w:pStyle w:val="13"/>
              <w:ind w:left="182" w:right="173"/>
              <w:jc w:val="center"/>
              <w:rPr>
                <w:sz w:val="20"/>
              </w:rPr>
            </w:pPr>
            <w:r>
              <w:rPr>
                <w:sz w:val="20"/>
              </w:rPr>
              <w:t>升降平台</w:t>
            </w:r>
          </w:p>
        </w:tc>
        <w:tc>
          <w:tcPr>
            <w:tcW w:w="2412" w:type="dxa"/>
          </w:tcPr>
          <w:p>
            <w:pPr>
              <w:pStyle w:val="13"/>
              <w:spacing w:before="3"/>
              <w:rPr>
                <w:b/>
                <w:sz w:val="17"/>
              </w:rPr>
            </w:pPr>
          </w:p>
          <w:p>
            <w:pPr>
              <w:pStyle w:val="13"/>
              <w:ind w:left="341"/>
              <w:rPr>
                <w:sz w:val="20"/>
              </w:rPr>
            </w:pPr>
            <w:r>
              <w:rPr>
                <w:sz w:val="20"/>
              </w:rPr>
              <w:drawing>
                <wp:inline distT="0" distB="0" distL="0" distR="0">
                  <wp:extent cx="1101090" cy="111061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37" cstate="print"/>
                          <a:stretch>
                            <a:fillRect/>
                          </a:stretch>
                        </pic:blipFill>
                        <pic:spPr>
                          <a:xfrm>
                            <a:off x="0" y="0"/>
                            <a:ext cx="1101423" cy="1110615"/>
                          </a:xfrm>
                          <a:prstGeom prst="rect">
                            <a:avLst/>
                          </a:prstGeom>
                        </pic:spPr>
                      </pic:pic>
                    </a:graphicData>
                  </a:graphic>
                </wp:inline>
              </w:drawing>
            </w:r>
          </w:p>
        </w:tc>
        <w:tc>
          <w:tcPr>
            <w:tcW w:w="4672" w:type="dxa"/>
            <w:tcBorders>
              <w:right w:val="single" w:color="000000" w:sz="8" w:space="0"/>
            </w:tcBorders>
          </w:tcPr>
          <w:p>
            <w:pPr>
              <w:pStyle w:val="13"/>
              <w:rPr>
                <w:b/>
                <w:sz w:val="20"/>
              </w:rPr>
            </w:pPr>
          </w:p>
          <w:p>
            <w:pPr>
              <w:pStyle w:val="13"/>
              <w:rPr>
                <w:b/>
                <w:sz w:val="16"/>
              </w:rPr>
            </w:pPr>
          </w:p>
          <w:p>
            <w:pPr>
              <w:pStyle w:val="13"/>
              <w:ind w:left="770"/>
              <w:rPr>
                <w:sz w:val="20"/>
              </w:rPr>
            </w:pPr>
            <w:r>
              <w:rPr>
                <w:sz w:val="20"/>
              </w:rPr>
              <w:drawing>
                <wp:inline distT="0" distB="0" distL="0" distR="0">
                  <wp:extent cx="1968500" cy="79184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38" cstate="print"/>
                          <a:stretch>
                            <a:fillRect/>
                          </a:stretch>
                        </pic:blipFill>
                        <pic:spPr>
                          <a:xfrm>
                            <a:off x="0" y="0"/>
                            <a:ext cx="1968670" cy="79209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2411" w:type="dxa"/>
            <w:tcBorders>
              <w:left w:val="single" w:color="000000" w:sz="8" w:space="0"/>
            </w:tcBorders>
          </w:tcPr>
          <w:p>
            <w:pPr>
              <w:pStyle w:val="13"/>
              <w:rPr>
                <w:b/>
                <w:sz w:val="20"/>
              </w:rPr>
            </w:pPr>
          </w:p>
          <w:p>
            <w:pPr>
              <w:pStyle w:val="13"/>
              <w:rPr>
                <w:b/>
                <w:sz w:val="20"/>
              </w:rPr>
            </w:pPr>
          </w:p>
          <w:p>
            <w:pPr>
              <w:pStyle w:val="13"/>
              <w:rPr>
                <w:b/>
                <w:sz w:val="20"/>
              </w:rPr>
            </w:pPr>
          </w:p>
          <w:p>
            <w:pPr>
              <w:pStyle w:val="13"/>
              <w:spacing w:before="2"/>
              <w:rPr>
                <w:b/>
                <w:sz w:val="15"/>
              </w:rPr>
            </w:pPr>
          </w:p>
          <w:p>
            <w:pPr>
              <w:pStyle w:val="13"/>
              <w:ind w:left="182" w:right="170"/>
              <w:jc w:val="center"/>
              <w:rPr>
                <w:sz w:val="20"/>
              </w:rPr>
            </w:pPr>
            <w:r>
              <w:rPr>
                <w:sz w:val="20"/>
              </w:rPr>
              <w:t>无障碍卫生间</w:t>
            </w:r>
          </w:p>
        </w:tc>
        <w:tc>
          <w:tcPr>
            <w:tcW w:w="2412" w:type="dxa"/>
          </w:tcPr>
          <w:p>
            <w:pPr>
              <w:pStyle w:val="13"/>
              <w:spacing w:before="3"/>
              <w:rPr>
                <w:b/>
                <w:sz w:val="17"/>
              </w:rPr>
            </w:pPr>
          </w:p>
          <w:p>
            <w:pPr>
              <w:pStyle w:val="13"/>
              <w:ind w:left="341"/>
              <w:rPr>
                <w:sz w:val="20"/>
              </w:rPr>
            </w:pPr>
            <w:r>
              <w:rPr>
                <w:sz w:val="20"/>
              </w:rPr>
              <w:drawing>
                <wp:inline distT="0" distB="0" distL="0" distR="0">
                  <wp:extent cx="1101090" cy="111061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39" cstate="print"/>
                          <a:stretch>
                            <a:fillRect/>
                          </a:stretch>
                        </pic:blipFill>
                        <pic:spPr>
                          <a:xfrm>
                            <a:off x="0" y="0"/>
                            <a:ext cx="1101423" cy="1110615"/>
                          </a:xfrm>
                          <a:prstGeom prst="rect">
                            <a:avLst/>
                          </a:prstGeom>
                        </pic:spPr>
                      </pic:pic>
                    </a:graphicData>
                  </a:graphic>
                </wp:inline>
              </w:drawing>
            </w:r>
          </w:p>
        </w:tc>
        <w:tc>
          <w:tcPr>
            <w:tcW w:w="4672" w:type="dxa"/>
            <w:tcBorders>
              <w:right w:val="single" w:color="000000" w:sz="8" w:space="0"/>
            </w:tcBorders>
          </w:tcPr>
          <w:p>
            <w:pPr>
              <w:pStyle w:val="13"/>
              <w:rPr>
                <w:b/>
                <w:sz w:val="20"/>
              </w:rPr>
            </w:pPr>
          </w:p>
          <w:p>
            <w:pPr>
              <w:pStyle w:val="13"/>
              <w:spacing w:before="12"/>
              <w:rPr>
                <w:b/>
                <w:sz w:val="15"/>
              </w:rPr>
            </w:pPr>
          </w:p>
          <w:p>
            <w:pPr>
              <w:pStyle w:val="13"/>
              <w:ind w:left="776"/>
              <w:rPr>
                <w:sz w:val="20"/>
              </w:rPr>
            </w:pPr>
            <w:r>
              <w:rPr>
                <w:sz w:val="20"/>
              </w:rPr>
              <w:drawing>
                <wp:inline distT="0" distB="0" distL="0" distR="0">
                  <wp:extent cx="1974850" cy="79629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40" cstate="print"/>
                          <a:stretch>
                            <a:fillRect/>
                          </a:stretch>
                        </pic:blipFill>
                        <pic:spPr>
                          <a:xfrm>
                            <a:off x="0" y="0"/>
                            <a:ext cx="1974902" cy="79629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2411" w:type="dxa"/>
            <w:tcBorders>
              <w:left w:val="single" w:color="000000" w:sz="8" w:space="0"/>
            </w:tcBorders>
          </w:tcPr>
          <w:p>
            <w:pPr>
              <w:pStyle w:val="13"/>
              <w:rPr>
                <w:b/>
                <w:sz w:val="20"/>
              </w:rPr>
            </w:pPr>
          </w:p>
          <w:p>
            <w:pPr>
              <w:pStyle w:val="13"/>
              <w:rPr>
                <w:b/>
                <w:sz w:val="20"/>
              </w:rPr>
            </w:pPr>
          </w:p>
          <w:p>
            <w:pPr>
              <w:pStyle w:val="13"/>
              <w:rPr>
                <w:b/>
                <w:sz w:val="20"/>
              </w:rPr>
            </w:pPr>
          </w:p>
          <w:p>
            <w:pPr>
              <w:pStyle w:val="13"/>
              <w:spacing w:before="4"/>
              <w:rPr>
                <w:b/>
                <w:sz w:val="15"/>
              </w:rPr>
            </w:pPr>
          </w:p>
          <w:p>
            <w:pPr>
              <w:pStyle w:val="13"/>
              <w:ind w:left="182" w:right="170"/>
              <w:jc w:val="center"/>
              <w:rPr>
                <w:sz w:val="20"/>
              </w:rPr>
            </w:pPr>
            <w:r>
              <w:rPr>
                <w:sz w:val="20"/>
              </w:rPr>
              <w:t>第三卫生间</w:t>
            </w:r>
          </w:p>
        </w:tc>
        <w:tc>
          <w:tcPr>
            <w:tcW w:w="2412" w:type="dxa"/>
          </w:tcPr>
          <w:p>
            <w:pPr>
              <w:pStyle w:val="13"/>
              <w:spacing w:before="5"/>
              <w:rPr>
                <w:b/>
                <w:sz w:val="17"/>
              </w:rPr>
            </w:pPr>
          </w:p>
          <w:p>
            <w:pPr>
              <w:pStyle w:val="13"/>
              <w:ind w:left="341"/>
              <w:rPr>
                <w:sz w:val="20"/>
              </w:rPr>
            </w:pPr>
            <w:r>
              <w:rPr>
                <w:sz w:val="20"/>
              </w:rPr>
              <w:drawing>
                <wp:inline distT="0" distB="0" distL="0" distR="0">
                  <wp:extent cx="1101090" cy="110998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41" cstate="print"/>
                          <a:stretch>
                            <a:fillRect/>
                          </a:stretch>
                        </pic:blipFill>
                        <pic:spPr>
                          <a:xfrm>
                            <a:off x="0" y="0"/>
                            <a:ext cx="1101423" cy="1110614"/>
                          </a:xfrm>
                          <a:prstGeom prst="rect">
                            <a:avLst/>
                          </a:prstGeom>
                        </pic:spPr>
                      </pic:pic>
                    </a:graphicData>
                  </a:graphic>
                </wp:inline>
              </w:drawing>
            </w:r>
          </w:p>
        </w:tc>
        <w:tc>
          <w:tcPr>
            <w:tcW w:w="4672" w:type="dxa"/>
            <w:tcBorders>
              <w:right w:val="single" w:color="000000" w:sz="8" w:space="0"/>
            </w:tcBorders>
          </w:tcPr>
          <w:p>
            <w:pPr>
              <w:pStyle w:val="13"/>
              <w:rPr>
                <w:b/>
                <w:sz w:val="20"/>
              </w:rPr>
            </w:pPr>
          </w:p>
          <w:p>
            <w:pPr>
              <w:pStyle w:val="13"/>
              <w:spacing w:before="2"/>
              <w:rPr>
                <w:b/>
                <w:sz w:val="17"/>
              </w:rPr>
            </w:pPr>
          </w:p>
          <w:p>
            <w:pPr>
              <w:pStyle w:val="13"/>
              <w:ind w:left="776"/>
              <w:rPr>
                <w:sz w:val="20"/>
              </w:rPr>
            </w:pPr>
            <w:r>
              <w:rPr>
                <w:sz w:val="20"/>
              </w:rPr>
              <w:drawing>
                <wp:inline distT="0" distB="0" distL="0" distR="0">
                  <wp:extent cx="1964055" cy="78359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42" cstate="print"/>
                          <a:stretch>
                            <a:fillRect/>
                          </a:stretch>
                        </pic:blipFill>
                        <pic:spPr>
                          <a:xfrm>
                            <a:off x="0" y="0"/>
                            <a:ext cx="1964508" cy="783716"/>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2411" w:type="dxa"/>
            <w:tcBorders>
              <w:left w:val="single" w:color="000000" w:sz="8" w:space="0"/>
            </w:tcBorders>
          </w:tcPr>
          <w:p>
            <w:pPr>
              <w:pStyle w:val="13"/>
              <w:rPr>
                <w:b/>
                <w:sz w:val="20"/>
              </w:rPr>
            </w:pPr>
          </w:p>
          <w:p>
            <w:pPr>
              <w:pStyle w:val="13"/>
              <w:rPr>
                <w:b/>
                <w:sz w:val="20"/>
              </w:rPr>
            </w:pPr>
          </w:p>
          <w:p>
            <w:pPr>
              <w:pStyle w:val="13"/>
              <w:rPr>
                <w:b/>
                <w:sz w:val="20"/>
              </w:rPr>
            </w:pPr>
          </w:p>
          <w:p>
            <w:pPr>
              <w:pStyle w:val="13"/>
              <w:spacing w:before="3"/>
              <w:rPr>
                <w:b/>
                <w:sz w:val="15"/>
              </w:rPr>
            </w:pPr>
          </w:p>
          <w:p>
            <w:pPr>
              <w:pStyle w:val="13"/>
              <w:ind w:left="182" w:right="170"/>
              <w:jc w:val="center"/>
              <w:rPr>
                <w:sz w:val="20"/>
              </w:rPr>
            </w:pPr>
            <w:r>
              <w:rPr>
                <w:sz w:val="20"/>
              </w:rPr>
              <w:t>母婴室</w:t>
            </w:r>
          </w:p>
        </w:tc>
        <w:tc>
          <w:tcPr>
            <w:tcW w:w="2412" w:type="dxa"/>
          </w:tcPr>
          <w:p>
            <w:pPr>
              <w:pStyle w:val="13"/>
              <w:spacing w:before="4" w:after="1"/>
              <w:rPr>
                <w:b/>
                <w:sz w:val="17"/>
              </w:rPr>
            </w:pPr>
          </w:p>
          <w:p>
            <w:pPr>
              <w:pStyle w:val="13"/>
              <w:ind w:left="341"/>
              <w:rPr>
                <w:sz w:val="20"/>
              </w:rPr>
            </w:pPr>
            <w:r>
              <w:rPr>
                <w:sz w:val="20"/>
              </w:rPr>
              <w:drawing>
                <wp:inline distT="0" distB="0" distL="0" distR="0">
                  <wp:extent cx="1101090" cy="1109980"/>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43" cstate="print"/>
                          <a:stretch>
                            <a:fillRect/>
                          </a:stretch>
                        </pic:blipFill>
                        <pic:spPr>
                          <a:xfrm>
                            <a:off x="0" y="0"/>
                            <a:ext cx="1101423" cy="1110614"/>
                          </a:xfrm>
                          <a:prstGeom prst="rect">
                            <a:avLst/>
                          </a:prstGeom>
                        </pic:spPr>
                      </pic:pic>
                    </a:graphicData>
                  </a:graphic>
                </wp:inline>
              </w:drawing>
            </w:r>
          </w:p>
        </w:tc>
        <w:tc>
          <w:tcPr>
            <w:tcW w:w="4672" w:type="dxa"/>
            <w:tcBorders>
              <w:right w:val="single" w:color="000000" w:sz="8" w:space="0"/>
            </w:tcBorders>
          </w:tcPr>
          <w:p>
            <w:pPr>
              <w:pStyle w:val="13"/>
              <w:rPr>
                <w:b/>
                <w:sz w:val="20"/>
              </w:rPr>
            </w:pPr>
          </w:p>
          <w:p>
            <w:pPr>
              <w:pStyle w:val="13"/>
              <w:spacing w:before="1"/>
              <w:rPr>
                <w:b/>
                <w:sz w:val="16"/>
              </w:rPr>
            </w:pPr>
          </w:p>
          <w:p>
            <w:pPr>
              <w:pStyle w:val="13"/>
              <w:ind w:left="763"/>
              <w:rPr>
                <w:sz w:val="20"/>
              </w:rPr>
            </w:pPr>
            <w:r>
              <w:rPr>
                <w:sz w:val="20"/>
              </w:rPr>
              <w:drawing>
                <wp:inline distT="0" distB="0" distL="0" distR="0">
                  <wp:extent cx="1995805" cy="791845"/>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44" cstate="print"/>
                          <a:stretch>
                            <a:fillRect/>
                          </a:stretch>
                        </pic:blipFill>
                        <pic:spPr>
                          <a:xfrm>
                            <a:off x="0" y="0"/>
                            <a:ext cx="1995822" cy="79209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2411" w:type="dxa"/>
            <w:tcBorders>
              <w:left w:val="single" w:color="000000" w:sz="8" w:space="0"/>
            </w:tcBorders>
          </w:tcPr>
          <w:p>
            <w:pPr>
              <w:pStyle w:val="13"/>
              <w:rPr>
                <w:b/>
                <w:sz w:val="20"/>
              </w:rPr>
            </w:pPr>
          </w:p>
          <w:p>
            <w:pPr>
              <w:pStyle w:val="13"/>
              <w:rPr>
                <w:b/>
                <w:sz w:val="20"/>
              </w:rPr>
            </w:pPr>
          </w:p>
          <w:p>
            <w:pPr>
              <w:pStyle w:val="13"/>
              <w:rPr>
                <w:b/>
                <w:sz w:val="20"/>
              </w:rPr>
            </w:pPr>
          </w:p>
          <w:p>
            <w:pPr>
              <w:pStyle w:val="13"/>
              <w:spacing w:before="3"/>
              <w:rPr>
                <w:b/>
                <w:sz w:val="15"/>
              </w:rPr>
            </w:pPr>
          </w:p>
          <w:p>
            <w:pPr>
              <w:pStyle w:val="13"/>
              <w:ind w:left="182" w:right="170"/>
              <w:jc w:val="center"/>
              <w:rPr>
                <w:sz w:val="20"/>
              </w:rPr>
            </w:pPr>
            <w:r>
              <w:rPr>
                <w:sz w:val="20"/>
              </w:rPr>
              <w:t>无障碍淋浴间</w:t>
            </w:r>
          </w:p>
        </w:tc>
        <w:tc>
          <w:tcPr>
            <w:tcW w:w="2412" w:type="dxa"/>
          </w:tcPr>
          <w:p>
            <w:pPr>
              <w:pStyle w:val="13"/>
              <w:spacing w:before="4"/>
              <w:rPr>
                <w:b/>
                <w:sz w:val="17"/>
              </w:rPr>
            </w:pPr>
          </w:p>
          <w:p>
            <w:pPr>
              <w:pStyle w:val="13"/>
              <w:ind w:left="341"/>
              <w:rPr>
                <w:sz w:val="20"/>
              </w:rPr>
            </w:pPr>
            <w:r>
              <w:rPr>
                <w:sz w:val="20"/>
              </w:rPr>
              <w:drawing>
                <wp:inline distT="0" distB="0" distL="0" distR="0">
                  <wp:extent cx="1101090" cy="110998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45" cstate="print"/>
                          <a:stretch>
                            <a:fillRect/>
                          </a:stretch>
                        </pic:blipFill>
                        <pic:spPr>
                          <a:xfrm>
                            <a:off x="0" y="0"/>
                            <a:ext cx="1101423" cy="1110614"/>
                          </a:xfrm>
                          <a:prstGeom prst="rect">
                            <a:avLst/>
                          </a:prstGeom>
                        </pic:spPr>
                      </pic:pic>
                    </a:graphicData>
                  </a:graphic>
                </wp:inline>
              </w:drawing>
            </w:r>
          </w:p>
        </w:tc>
        <w:tc>
          <w:tcPr>
            <w:tcW w:w="4672" w:type="dxa"/>
            <w:tcBorders>
              <w:right w:val="single" w:color="000000" w:sz="8" w:space="0"/>
            </w:tcBorders>
          </w:tcPr>
          <w:p>
            <w:pPr>
              <w:pStyle w:val="13"/>
              <w:rPr>
                <w:b/>
                <w:sz w:val="20"/>
              </w:rPr>
            </w:pPr>
          </w:p>
          <w:p>
            <w:pPr>
              <w:pStyle w:val="13"/>
              <w:spacing w:before="1"/>
              <w:rPr>
                <w:b/>
                <w:sz w:val="16"/>
              </w:rPr>
            </w:pPr>
          </w:p>
          <w:p>
            <w:pPr>
              <w:pStyle w:val="13"/>
              <w:ind w:left="776"/>
              <w:rPr>
                <w:sz w:val="20"/>
              </w:rPr>
            </w:pPr>
            <w:r>
              <w:rPr>
                <w:sz w:val="20"/>
              </w:rPr>
              <w:drawing>
                <wp:inline distT="0" distB="0" distL="0" distR="0">
                  <wp:extent cx="1974850" cy="795655"/>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46" cstate="print"/>
                          <a:stretch>
                            <a:fillRect/>
                          </a:stretch>
                        </pic:blipFill>
                        <pic:spPr>
                          <a:xfrm>
                            <a:off x="0" y="0"/>
                            <a:ext cx="1974902" cy="79628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1" w:hRule="atLeast"/>
        </w:trPr>
        <w:tc>
          <w:tcPr>
            <w:tcW w:w="2411" w:type="dxa"/>
            <w:tcBorders>
              <w:left w:val="single" w:color="000000" w:sz="8" w:space="0"/>
            </w:tcBorders>
          </w:tcPr>
          <w:p>
            <w:pPr>
              <w:pStyle w:val="13"/>
              <w:rPr>
                <w:b/>
                <w:sz w:val="20"/>
              </w:rPr>
            </w:pPr>
          </w:p>
          <w:p>
            <w:pPr>
              <w:pStyle w:val="13"/>
              <w:rPr>
                <w:b/>
                <w:sz w:val="20"/>
              </w:rPr>
            </w:pPr>
          </w:p>
          <w:p>
            <w:pPr>
              <w:pStyle w:val="13"/>
              <w:rPr>
                <w:b/>
                <w:sz w:val="20"/>
              </w:rPr>
            </w:pPr>
          </w:p>
          <w:p>
            <w:pPr>
              <w:pStyle w:val="13"/>
              <w:spacing w:before="2"/>
              <w:rPr>
                <w:b/>
                <w:sz w:val="15"/>
              </w:rPr>
            </w:pPr>
          </w:p>
          <w:p>
            <w:pPr>
              <w:pStyle w:val="13"/>
              <w:spacing w:before="1"/>
              <w:ind w:left="182" w:right="170"/>
              <w:jc w:val="center"/>
              <w:rPr>
                <w:sz w:val="20"/>
              </w:rPr>
            </w:pPr>
            <w:r>
              <w:rPr>
                <w:sz w:val="20"/>
              </w:rPr>
              <w:t>无障碍客房</w:t>
            </w:r>
          </w:p>
        </w:tc>
        <w:tc>
          <w:tcPr>
            <w:tcW w:w="2412" w:type="dxa"/>
          </w:tcPr>
          <w:p>
            <w:pPr>
              <w:pStyle w:val="13"/>
              <w:spacing w:before="4"/>
              <w:rPr>
                <w:b/>
                <w:sz w:val="17"/>
              </w:rPr>
            </w:pPr>
          </w:p>
          <w:p>
            <w:pPr>
              <w:pStyle w:val="13"/>
              <w:ind w:left="341"/>
              <w:rPr>
                <w:sz w:val="20"/>
              </w:rPr>
            </w:pPr>
            <w:r>
              <w:rPr>
                <w:sz w:val="20"/>
              </w:rPr>
              <w:drawing>
                <wp:inline distT="0" distB="0" distL="0" distR="0">
                  <wp:extent cx="1101090" cy="1110615"/>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47" cstate="print"/>
                          <a:stretch>
                            <a:fillRect/>
                          </a:stretch>
                        </pic:blipFill>
                        <pic:spPr>
                          <a:xfrm>
                            <a:off x="0" y="0"/>
                            <a:ext cx="1101423" cy="1110615"/>
                          </a:xfrm>
                          <a:prstGeom prst="rect">
                            <a:avLst/>
                          </a:prstGeom>
                        </pic:spPr>
                      </pic:pic>
                    </a:graphicData>
                  </a:graphic>
                </wp:inline>
              </w:drawing>
            </w:r>
          </w:p>
        </w:tc>
        <w:tc>
          <w:tcPr>
            <w:tcW w:w="4672" w:type="dxa"/>
            <w:tcBorders>
              <w:right w:val="single" w:color="000000" w:sz="8" w:space="0"/>
            </w:tcBorders>
          </w:tcPr>
          <w:p>
            <w:pPr>
              <w:pStyle w:val="13"/>
              <w:rPr>
                <w:b/>
                <w:sz w:val="20"/>
              </w:rPr>
            </w:pPr>
          </w:p>
          <w:p>
            <w:pPr>
              <w:pStyle w:val="13"/>
              <w:rPr>
                <w:b/>
                <w:sz w:val="16"/>
              </w:rPr>
            </w:pPr>
          </w:p>
          <w:p>
            <w:pPr>
              <w:pStyle w:val="13"/>
              <w:ind w:left="776"/>
              <w:rPr>
                <w:sz w:val="20"/>
              </w:rPr>
            </w:pPr>
            <w:r>
              <w:rPr>
                <w:sz w:val="20"/>
              </w:rPr>
              <w:drawing>
                <wp:inline distT="0" distB="0" distL="0" distR="0">
                  <wp:extent cx="1974850" cy="770890"/>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48" cstate="print"/>
                          <a:stretch>
                            <a:fillRect/>
                          </a:stretch>
                        </pic:blipFill>
                        <pic:spPr>
                          <a:xfrm>
                            <a:off x="0" y="0"/>
                            <a:ext cx="1974902" cy="771144"/>
                          </a:xfrm>
                          <a:prstGeom prst="rect">
                            <a:avLst/>
                          </a:prstGeom>
                        </pic:spPr>
                      </pic:pic>
                    </a:graphicData>
                  </a:graphic>
                </wp:inline>
              </w:drawing>
            </w:r>
          </w:p>
        </w:tc>
      </w:tr>
    </w:tbl>
    <w:p>
      <w:pPr>
        <w:spacing w:after="0"/>
        <w:rPr>
          <w:sz w:val="20"/>
        </w:rPr>
        <w:sectPr>
          <w:pgSz w:w="11910" w:h="16840"/>
          <w:pgMar w:top="1540" w:right="820" w:bottom="1200" w:left="920" w:header="0" w:footer="1015" w:gutter="0"/>
          <w:cols w:space="720" w:num="1"/>
        </w:sectPr>
      </w:pPr>
    </w:p>
    <w:tbl>
      <w:tblPr>
        <w:tblStyle w:val="9"/>
        <w:tblW w:w="0" w:type="auto"/>
        <w:tblInd w:w="2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1"/>
        <w:gridCol w:w="2412"/>
        <w:gridCol w:w="4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2411" w:type="dxa"/>
            <w:tcBorders>
              <w:left w:val="single" w:color="000000" w:sz="8" w:space="0"/>
            </w:tcBorders>
          </w:tcPr>
          <w:p>
            <w:pPr>
              <w:pStyle w:val="13"/>
              <w:rPr>
                <w:b/>
                <w:sz w:val="20"/>
              </w:rPr>
            </w:pPr>
          </w:p>
          <w:p>
            <w:pPr>
              <w:pStyle w:val="13"/>
              <w:rPr>
                <w:b/>
                <w:sz w:val="20"/>
              </w:rPr>
            </w:pPr>
          </w:p>
          <w:p>
            <w:pPr>
              <w:pStyle w:val="13"/>
              <w:rPr>
                <w:b/>
                <w:sz w:val="20"/>
              </w:rPr>
            </w:pPr>
          </w:p>
          <w:p>
            <w:pPr>
              <w:pStyle w:val="13"/>
              <w:spacing w:before="2"/>
              <w:rPr>
                <w:b/>
                <w:sz w:val="15"/>
              </w:rPr>
            </w:pPr>
          </w:p>
          <w:p>
            <w:pPr>
              <w:pStyle w:val="13"/>
              <w:ind w:left="182" w:right="170"/>
              <w:jc w:val="center"/>
              <w:rPr>
                <w:sz w:val="20"/>
              </w:rPr>
            </w:pPr>
            <w:r>
              <w:rPr>
                <w:sz w:val="20"/>
              </w:rPr>
              <w:t>低位服务台</w:t>
            </w:r>
          </w:p>
        </w:tc>
        <w:tc>
          <w:tcPr>
            <w:tcW w:w="2412" w:type="dxa"/>
          </w:tcPr>
          <w:p>
            <w:pPr>
              <w:pStyle w:val="13"/>
              <w:spacing w:before="3"/>
              <w:rPr>
                <w:b/>
                <w:sz w:val="17"/>
              </w:rPr>
            </w:pPr>
          </w:p>
          <w:p>
            <w:pPr>
              <w:pStyle w:val="13"/>
              <w:ind w:left="341"/>
              <w:rPr>
                <w:sz w:val="20"/>
              </w:rPr>
            </w:pPr>
            <w:r>
              <w:rPr>
                <w:sz w:val="20"/>
              </w:rPr>
              <w:drawing>
                <wp:inline distT="0" distB="0" distL="0" distR="0">
                  <wp:extent cx="1101090" cy="1110615"/>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49" cstate="print"/>
                          <a:stretch>
                            <a:fillRect/>
                          </a:stretch>
                        </pic:blipFill>
                        <pic:spPr>
                          <a:xfrm>
                            <a:off x="0" y="0"/>
                            <a:ext cx="1101423" cy="1110615"/>
                          </a:xfrm>
                          <a:prstGeom prst="rect">
                            <a:avLst/>
                          </a:prstGeom>
                        </pic:spPr>
                      </pic:pic>
                    </a:graphicData>
                  </a:graphic>
                </wp:inline>
              </w:drawing>
            </w:r>
          </w:p>
        </w:tc>
        <w:tc>
          <w:tcPr>
            <w:tcW w:w="4672" w:type="dxa"/>
            <w:tcBorders>
              <w:right w:val="single" w:color="000000" w:sz="8" w:space="0"/>
            </w:tcBorders>
          </w:tcPr>
          <w:p>
            <w:pPr>
              <w:pStyle w:val="13"/>
              <w:rPr>
                <w:b/>
                <w:sz w:val="20"/>
              </w:rPr>
            </w:pPr>
          </w:p>
          <w:p>
            <w:pPr>
              <w:pStyle w:val="13"/>
              <w:rPr>
                <w:b/>
                <w:sz w:val="16"/>
              </w:rPr>
            </w:pPr>
          </w:p>
          <w:p>
            <w:pPr>
              <w:pStyle w:val="13"/>
              <w:ind w:left="763"/>
              <w:rPr>
                <w:sz w:val="20"/>
              </w:rPr>
            </w:pPr>
            <w:r>
              <w:rPr>
                <w:sz w:val="20"/>
              </w:rPr>
              <w:drawing>
                <wp:inline distT="0" distB="0" distL="0" distR="0">
                  <wp:extent cx="1986915" cy="796290"/>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50" cstate="print"/>
                          <a:stretch>
                            <a:fillRect/>
                          </a:stretch>
                        </pic:blipFill>
                        <pic:spPr>
                          <a:xfrm>
                            <a:off x="0" y="0"/>
                            <a:ext cx="1987454" cy="79629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2411" w:type="dxa"/>
            <w:tcBorders>
              <w:left w:val="single" w:color="000000" w:sz="8" w:space="0"/>
            </w:tcBorders>
          </w:tcPr>
          <w:p>
            <w:pPr>
              <w:pStyle w:val="13"/>
              <w:rPr>
                <w:b/>
                <w:sz w:val="20"/>
              </w:rPr>
            </w:pPr>
          </w:p>
          <w:p>
            <w:pPr>
              <w:pStyle w:val="13"/>
              <w:rPr>
                <w:b/>
                <w:sz w:val="20"/>
              </w:rPr>
            </w:pPr>
          </w:p>
          <w:p>
            <w:pPr>
              <w:pStyle w:val="13"/>
              <w:rPr>
                <w:b/>
                <w:sz w:val="20"/>
              </w:rPr>
            </w:pPr>
          </w:p>
          <w:p>
            <w:pPr>
              <w:pStyle w:val="13"/>
              <w:spacing w:before="2"/>
              <w:rPr>
                <w:b/>
                <w:sz w:val="15"/>
              </w:rPr>
            </w:pPr>
          </w:p>
          <w:p>
            <w:pPr>
              <w:pStyle w:val="13"/>
              <w:ind w:left="182" w:right="170"/>
              <w:jc w:val="center"/>
              <w:rPr>
                <w:sz w:val="20"/>
              </w:rPr>
            </w:pPr>
            <w:r>
              <w:rPr>
                <w:sz w:val="20"/>
              </w:rPr>
              <w:t>无障碍电话</w:t>
            </w:r>
          </w:p>
        </w:tc>
        <w:tc>
          <w:tcPr>
            <w:tcW w:w="2412" w:type="dxa"/>
          </w:tcPr>
          <w:p>
            <w:pPr>
              <w:pStyle w:val="13"/>
              <w:spacing w:before="3"/>
              <w:rPr>
                <w:b/>
                <w:sz w:val="17"/>
              </w:rPr>
            </w:pPr>
          </w:p>
          <w:p>
            <w:pPr>
              <w:pStyle w:val="13"/>
              <w:ind w:left="341"/>
              <w:rPr>
                <w:sz w:val="20"/>
              </w:rPr>
            </w:pPr>
            <w:r>
              <w:rPr>
                <w:sz w:val="20"/>
              </w:rPr>
              <w:drawing>
                <wp:inline distT="0" distB="0" distL="0" distR="0">
                  <wp:extent cx="1101090" cy="1110615"/>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51" cstate="print"/>
                          <a:stretch>
                            <a:fillRect/>
                          </a:stretch>
                        </pic:blipFill>
                        <pic:spPr>
                          <a:xfrm>
                            <a:off x="0" y="0"/>
                            <a:ext cx="1101423" cy="1110615"/>
                          </a:xfrm>
                          <a:prstGeom prst="rect">
                            <a:avLst/>
                          </a:prstGeom>
                        </pic:spPr>
                      </pic:pic>
                    </a:graphicData>
                  </a:graphic>
                </wp:inline>
              </w:drawing>
            </w:r>
          </w:p>
        </w:tc>
        <w:tc>
          <w:tcPr>
            <w:tcW w:w="4672" w:type="dxa"/>
            <w:tcBorders>
              <w:right w:val="single" w:color="000000" w:sz="8" w:space="0"/>
            </w:tcBorders>
          </w:tcPr>
          <w:p>
            <w:pPr>
              <w:pStyle w:val="13"/>
              <w:rPr>
                <w:b/>
                <w:sz w:val="20"/>
              </w:rPr>
            </w:pPr>
          </w:p>
          <w:p>
            <w:pPr>
              <w:pStyle w:val="13"/>
              <w:spacing w:before="12"/>
              <w:rPr>
                <w:b/>
                <w:sz w:val="15"/>
              </w:rPr>
            </w:pPr>
          </w:p>
          <w:p>
            <w:pPr>
              <w:pStyle w:val="13"/>
              <w:ind w:left="796"/>
              <w:rPr>
                <w:sz w:val="20"/>
              </w:rPr>
            </w:pPr>
            <w:r>
              <w:rPr>
                <w:sz w:val="20"/>
              </w:rPr>
              <w:drawing>
                <wp:inline distT="0" distB="0" distL="0" distR="0">
                  <wp:extent cx="1970405" cy="770890"/>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pic:cNvPicPr>
                            <a:picLocks noChangeAspect="1"/>
                          </pic:cNvPicPr>
                        </pic:nvPicPr>
                        <pic:blipFill>
                          <a:blip r:embed="rId52" cstate="print"/>
                          <a:stretch>
                            <a:fillRect/>
                          </a:stretch>
                        </pic:blipFill>
                        <pic:spPr>
                          <a:xfrm>
                            <a:off x="0" y="0"/>
                            <a:ext cx="1970976" cy="77114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2411" w:type="dxa"/>
            <w:tcBorders>
              <w:left w:val="single" w:color="000000" w:sz="8" w:space="0"/>
            </w:tcBorders>
          </w:tcPr>
          <w:p>
            <w:pPr>
              <w:pStyle w:val="13"/>
              <w:rPr>
                <w:b/>
                <w:sz w:val="20"/>
              </w:rPr>
            </w:pPr>
          </w:p>
          <w:p>
            <w:pPr>
              <w:pStyle w:val="13"/>
              <w:rPr>
                <w:b/>
                <w:sz w:val="20"/>
              </w:rPr>
            </w:pPr>
          </w:p>
          <w:p>
            <w:pPr>
              <w:pStyle w:val="13"/>
              <w:rPr>
                <w:b/>
                <w:sz w:val="20"/>
              </w:rPr>
            </w:pPr>
          </w:p>
          <w:p>
            <w:pPr>
              <w:pStyle w:val="13"/>
              <w:spacing w:before="4"/>
              <w:rPr>
                <w:b/>
                <w:sz w:val="15"/>
              </w:rPr>
            </w:pPr>
          </w:p>
          <w:p>
            <w:pPr>
              <w:pStyle w:val="13"/>
              <w:ind w:left="182" w:right="170"/>
              <w:jc w:val="center"/>
              <w:rPr>
                <w:sz w:val="20"/>
              </w:rPr>
            </w:pPr>
            <w:r>
              <w:rPr>
                <w:sz w:val="20"/>
              </w:rPr>
              <w:t>视力障碍使用设施</w:t>
            </w:r>
          </w:p>
        </w:tc>
        <w:tc>
          <w:tcPr>
            <w:tcW w:w="2412" w:type="dxa"/>
          </w:tcPr>
          <w:p>
            <w:pPr>
              <w:pStyle w:val="13"/>
              <w:spacing w:before="5"/>
              <w:rPr>
                <w:b/>
                <w:sz w:val="17"/>
              </w:rPr>
            </w:pPr>
          </w:p>
          <w:p>
            <w:pPr>
              <w:pStyle w:val="13"/>
              <w:ind w:left="341"/>
              <w:rPr>
                <w:sz w:val="20"/>
              </w:rPr>
            </w:pPr>
            <w:r>
              <w:rPr>
                <w:sz w:val="20"/>
              </w:rPr>
              <w:drawing>
                <wp:inline distT="0" distB="0" distL="0" distR="0">
                  <wp:extent cx="1101090" cy="1109980"/>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a:picLocks noChangeAspect="1"/>
                          </pic:cNvPicPr>
                        </pic:nvPicPr>
                        <pic:blipFill>
                          <a:blip r:embed="rId53" cstate="print"/>
                          <a:stretch>
                            <a:fillRect/>
                          </a:stretch>
                        </pic:blipFill>
                        <pic:spPr>
                          <a:xfrm>
                            <a:off x="0" y="0"/>
                            <a:ext cx="1101423" cy="1110614"/>
                          </a:xfrm>
                          <a:prstGeom prst="rect">
                            <a:avLst/>
                          </a:prstGeom>
                        </pic:spPr>
                      </pic:pic>
                    </a:graphicData>
                  </a:graphic>
                </wp:inline>
              </w:drawing>
            </w:r>
          </w:p>
        </w:tc>
        <w:tc>
          <w:tcPr>
            <w:tcW w:w="4672" w:type="dxa"/>
            <w:tcBorders>
              <w:right w:val="single" w:color="000000" w:sz="8" w:space="0"/>
            </w:tcBorders>
          </w:tcPr>
          <w:p>
            <w:pPr>
              <w:pStyle w:val="13"/>
              <w:rPr>
                <w:b/>
                <w:sz w:val="20"/>
              </w:rPr>
            </w:pPr>
          </w:p>
          <w:p>
            <w:pPr>
              <w:pStyle w:val="13"/>
              <w:spacing w:before="1" w:after="1"/>
              <w:rPr>
                <w:b/>
                <w:sz w:val="16"/>
              </w:rPr>
            </w:pPr>
          </w:p>
          <w:p>
            <w:pPr>
              <w:pStyle w:val="13"/>
              <w:ind w:left="796"/>
              <w:rPr>
                <w:sz w:val="20"/>
              </w:rPr>
            </w:pPr>
            <w:r>
              <w:rPr>
                <w:sz w:val="20"/>
              </w:rPr>
              <w:drawing>
                <wp:inline distT="0" distB="0" distL="0" distR="0">
                  <wp:extent cx="1935480" cy="791845"/>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54" cstate="print"/>
                          <a:stretch>
                            <a:fillRect/>
                          </a:stretch>
                        </pic:blipFill>
                        <pic:spPr>
                          <a:xfrm>
                            <a:off x="0" y="0"/>
                            <a:ext cx="1935679" cy="79209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2411" w:type="dxa"/>
            <w:tcBorders>
              <w:left w:val="single" w:color="000000" w:sz="8" w:space="0"/>
            </w:tcBorders>
          </w:tcPr>
          <w:p>
            <w:pPr>
              <w:pStyle w:val="13"/>
              <w:rPr>
                <w:b/>
                <w:sz w:val="20"/>
              </w:rPr>
            </w:pPr>
          </w:p>
          <w:p>
            <w:pPr>
              <w:pStyle w:val="13"/>
              <w:rPr>
                <w:b/>
                <w:sz w:val="20"/>
              </w:rPr>
            </w:pPr>
          </w:p>
          <w:p>
            <w:pPr>
              <w:pStyle w:val="13"/>
              <w:rPr>
                <w:b/>
                <w:sz w:val="20"/>
              </w:rPr>
            </w:pPr>
          </w:p>
          <w:p>
            <w:pPr>
              <w:pStyle w:val="13"/>
              <w:spacing w:before="3"/>
              <w:rPr>
                <w:b/>
                <w:sz w:val="15"/>
              </w:rPr>
            </w:pPr>
          </w:p>
          <w:p>
            <w:pPr>
              <w:pStyle w:val="13"/>
              <w:ind w:left="182" w:right="170"/>
              <w:jc w:val="center"/>
              <w:rPr>
                <w:sz w:val="20"/>
              </w:rPr>
            </w:pPr>
            <w:r>
              <w:rPr>
                <w:sz w:val="20"/>
              </w:rPr>
              <w:t>听力障碍使用设施</w:t>
            </w:r>
          </w:p>
        </w:tc>
        <w:tc>
          <w:tcPr>
            <w:tcW w:w="2412" w:type="dxa"/>
          </w:tcPr>
          <w:p>
            <w:pPr>
              <w:pStyle w:val="13"/>
              <w:spacing w:before="4" w:after="1"/>
              <w:rPr>
                <w:b/>
                <w:sz w:val="17"/>
              </w:rPr>
            </w:pPr>
          </w:p>
          <w:p>
            <w:pPr>
              <w:pStyle w:val="13"/>
              <w:ind w:left="341"/>
              <w:rPr>
                <w:sz w:val="20"/>
              </w:rPr>
            </w:pPr>
            <w:r>
              <w:rPr>
                <w:sz w:val="20"/>
              </w:rPr>
              <w:drawing>
                <wp:inline distT="0" distB="0" distL="0" distR="0">
                  <wp:extent cx="1101090" cy="1109980"/>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pic:cNvPicPr>
                            <a:picLocks noChangeAspect="1"/>
                          </pic:cNvPicPr>
                        </pic:nvPicPr>
                        <pic:blipFill>
                          <a:blip r:embed="rId55" cstate="print"/>
                          <a:stretch>
                            <a:fillRect/>
                          </a:stretch>
                        </pic:blipFill>
                        <pic:spPr>
                          <a:xfrm>
                            <a:off x="0" y="0"/>
                            <a:ext cx="1101423" cy="1110614"/>
                          </a:xfrm>
                          <a:prstGeom prst="rect">
                            <a:avLst/>
                          </a:prstGeom>
                        </pic:spPr>
                      </pic:pic>
                    </a:graphicData>
                  </a:graphic>
                </wp:inline>
              </w:drawing>
            </w:r>
          </w:p>
        </w:tc>
        <w:tc>
          <w:tcPr>
            <w:tcW w:w="4672" w:type="dxa"/>
            <w:tcBorders>
              <w:right w:val="single" w:color="000000" w:sz="8" w:space="0"/>
            </w:tcBorders>
          </w:tcPr>
          <w:p>
            <w:pPr>
              <w:pStyle w:val="13"/>
              <w:rPr>
                <w:b/>
                <w:sz w:val="20"/>
              </w:rPr>
            </w:pPr>
          </w:p>
          <w:p>
            <w:pPr>
              <w:pStyle w:val="13"/>
              <w:spacing w:before="1"/>
              <w:rPr>
                <w:b/>
                <w:sz w:val="16"/>
              </w:rPr>
            </w:pPr>
          </w:p>
          <w:p>
            <w:pPr>
              <w:pStyle w:val="13"/>
              <w:ind w:left="796"/>
              <w:rPr>
                <w:sz w:val="20"/>
              </w:rPr>
            </w:pPr>
            <w:r>
              <w:rPr>
                <w:sz w:val="20"/>
              </w:rPr>
              <w:drawing>
                <wp:inline distT="0" distB="0" distL="0" distR="0">
                  <wp:extent cx="1950085" cy="783590"/>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1"/>
                          </pic:cNvPicPr>
                        </pic:nvPicPr>
                        <pic:blipFill>
                          <a:blip r:embed="rId56" cstate="print"/>
                          <a:stretch>
                            <a:fillRect/>
                          </a:stretch>
                        </pic:blipFill>
                        <pic:spPr>
                          <a:xfrm>
                            <a:off x="0" y="0"/>
                            <a:ext cx="1950097" cy="783716"/>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2411" w:type="dxa"/>
            <w:tcBorders>
              <w:left w:val="single" w:color="000000" w:sz="8" w:space="0"/>
            </w:tcBorders>
          </w:tcPr>
          <w:p>
            <w:pPr>
              <w:pStyle w:val="13"/>
              <w:rPr>
                <w:b/>
                <w:sz w:val="20"/>
              </w:rPr>
            </w:pPr>
          </w:p>
          <w:p>
            <w:pPr>
              <w:pStyle w:val="13"/>
              <w:rPr>
                <w:b/>
                <w:sz w:val="20"/>
              </w:rPr>
            </w:pPr>
          </w:p>
          <w:p>
            <w:pPr>
              <w:pStyle w:val="13"/>
              <w:rPr>
                <w:b/>
                <w:sz w:val="20"/>
              </w:rPr>
            </w:pPr>
          </w:p>
          <w:p>
            <w:pPr>
              <w:pStyle w:val="13"/>
              <w:spacing w:before="3"/>
              <w:rPr>
                <w:b/>
                <w:sz w:val="15"/>
              </w:rPr>
            </w:pPr>
          </w:p>
          <w:p>
            <w:pPr>
              <w:pStyle w:val="13"/>
              <w:ind w:left="182" w:right="173"/>
              <w:jc w:val="center"/>
              <w:rPr>
                <w:sz w:val="20"/>
              </w:rPr>
            </w:pPr>
            <w:r>
              <w:rPr>
                <w:sz w:val="20"/>
              </w:rPr>
              <w:t>导盲犬使用设施</w:t>
            </w:r>
          </w:p>
        </w:tc>
        <w:tc>
          <w:tcPr>
            <w:tcW w:w="2412" w:type="dxa"/>
          </w:tcPr>
          <w:p>
            <w:pPr>
              <w:pStyle w:val="13"/>
              <w:spacing w:before="4"/>
              <w:rPr>
                <w:b/>
                <w:sz w:val="17"/>
              </w:rPr>
            </w:pPr>
          </w:p>
          <w:p>
            <w:pPr>
              <w:pStyle w:val="13"/>
              <w:ind w:left="341"/>
              <w:rPr>
                <w:sz w:val="20"/>
              </w:rPr>
            </w:pPr>
            <w:r>
              <w:rPr>
                <w:sz w:val="20"/>
              </w:rPr>
              <w:drawing>
                <wp:inline distT="0" distB="0" distL="0" distR="0">
                  <wp:extent cx="1101090" cy="1109980"/>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pic:cNvPicPr>
                            <a:picLocks noChangeAspect="1"/>
                          </pic:cNvPicPr>
                        </pic:nvPicPr>
                        <pic:blipFill>
                          <a:blip r:embed="rId57" cstate="print"/>
                          <a:stretch>
                            <a:fillRect/>
                          </a:stretch>
                        </pic:blipFill>
                        <pic:spPr>
                          <a:xfrm>
                            <a:off x="0" y="0"/>
                            <a:ext cx="1101423" cy="1110614"/>
                          </a:xfrm>
                          <a:prstGeom prst="rect">
                            <a:avLst/>
                          </a:prstGeom>
                        </pic:spPr>
                      </pic:pic>
                    </a:graphicData>
                  </a:graphic>
                </wp:inline>
              </w:drawing>
            </w:r>
          </w:p>
        </w:tc>
        <w:tc>
          <w:tcPr>
            <w:tcW w:w="4672" w:type="dxa"/>
            <w:tcBorders>
              <w:right w:val="single" w:color="000000" w:sz="8" w:space="0"/>
            </w:tcBorders>
          </w:tcPr>
          <w:p>
            <w:pPr>
              <w:pStyle w:val="13"/>
              <w:rPr>
                <w:b/>
                <w:sz w:val="20"/>
              </w:rPr>
            </w:pPr>
          </w:p>
          <w:p>
            <w:pPr>
              <w:pStyle w:val="13"/>
              <w:spacing w:before="1"/>
              <w:rPr>
                <w:b/>
                <w:sz w:val="16"/>
              </w:rPr>
            </w:pPr>
          </w:p>
          <w:p>
            <w:pPr>
              <w:pStyle w:val="13"/>
              <w:ind w:left="796"/>
              <w:rPr>
                <w:sz w:val="20"/>
              </w:rPr>
            </w:pPr>
            <w:r>
              <w:rPr>
                <w:sz w:val="20"/>
              </w:rPr>
              <w:drawing>
                <wp:inline distT="0" distB="0" distL="0" distR="0">
                  <wp:extent cx="1950085" cy="791845"/>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jpeg"/>
                          <pic:cNvPicPr>
                            <a:picLocks noChangeAspect="1"/>
                          </pic:cNvPicPr>
                        </pic:nvPicPr>
                        <pic:blipFill>
                          <a:blip r:embed="rId58" cstate="print"/>
                          <a:stretch>
                            <a:fillRect/>
                          </a:stretch>
                        </pic:blipFill>
                        <pic:spPr>
                          <a:xfrm>
                            <a:off x="0" y="0"/>
                            <a:ext cx="1950097" cy="79209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5" w:hRule="atLeast"/>
        </w:trPr>
        <w:tc>
          <w:tcPr>
            <w:tcW w:w="2411" w:type="dxa"/>
            <w:tcBorders>
              <w:left w:val="single" w:color="000000" w:sz="8" w:space="0"/>
            </w:tcBorders>
          </w:tcPr>
          <w:p>
            <w:pPr>
              <w:pStyle w:val="13"/>
              <w:rPr>
                <w:b/>
                <w:sz w:val="20"/>
              </w:rPr>
            </w:pPr>
          </w:p>
          <w:p>
            <w:pPr>
              <w:pStyle w:val="13"/>
              <w:rPr>
                <w:b/>
                <w:sz w:val="20"/>
              </w:rPr>
            </w:pPr>
          </w:p>
          <w:p>
            <w:pPr>
              <w:pStyle w:val="13"/>
              <w:rPr>
                <w:b/>
                <w:sz w:val="20"/>
              </w:rPr>
            </w:pPr>
          </w:p>
          <w:p>
            <w:pPr>
              <w:pStyle w:val="13"/>
              <w:rPr>
                <w:b/>
                <w:sz w:val="20"/>
              </w:rPr>
            </w:pPr>
          </w:p>
          <w:p>
            <w:pPr>
              <w:pStyle w:val="13"/>
              <w:spacing w:before="7"/>
              <w:rPr>
                <w:b/>
                <w:sz w:val="19"/>
              </w:rPr>
            </w:pPr>
          </w:p>
          <w:p>
            <w:pPr>
              <w:pStyle w:val="13"/>
              <w:ind w:left="182" w:right="173"/>
              <w:jc w:val="center"/>
              <w:rPr>
                <w:sz w:val="20"/>
              </w:rPr>
            </w:pPr>
            <w:r>
              <w:rPr>
                <w:sz w:val="20"/>
              </w:rPr>
              <w:t>肢体障碍者使用的设施</w:t>
            </w:r>
          </w:p>
        </w:tc>
        <w:tc>
          <w:tcPr>
            <w:tcW w:w="2412" w:type="dxa"/>
          </w:tcPr>
          <w:p>
            <w:pPr>
              <w:pStyle w:val="13"/>
              <w:rPr>
                <w:b/>
                <w:sz w:val="20"/>
              </w:rPr>
            </w:pPr>
          </w:p>
          <w:p>
            <w:pPr>
              <w:pStyle w:val="13"/>
              <w:spacing w:before="9"/>
              <w:rPr>
                <w:b/>
                <w:sz w:val="15"/>
              </w:rPr>
            </w:pPr>
          </w:p>
          <w:p>
            <w:pPr>
              <w:pStyle w:val="13"/>
              <w:ind w:left="266"/>
              <w:rPr>
                <w:sz w:val="20"/>
              </w:rPr>
            </w:pPr>
            <w:r>
              <w:rPr>
                <w:sz w:val="20"/>
              </w:rPr>
              <w:drawing>
                <wp:inline distT="0" distB="0" distL="0" distR="0">
                  <wp:extent cx="1139825" cy="1173480"/>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pic:cNvPicPr>
                            <a:picLocks noChangeAspect="1"/>
                          </pic:cNvPicPr>
                        </pic:nvPicPr>
                        <pic:blipFill>
                          <a:blip r:embed="rId59" cstate="print"/>
                          <a:stretch>
                            <a:fillRect/>
                          </a:stretch>
                        </pic:blipFill>
                        <pic:spPr>
                          <a:xfrm>
                            <a:off x="0" y="0"/>
                            <a:ext cx="1140359" cy="1173480"/>
                          </a:xfrm>
                          <a:prstGeom prst="rect">
                            <a:avLst/>
                          </a:prstGeom>
                        </pic:spPr>
                      </pic:pic>
                    </a:graphicData>
                  </a:graphic>
                </wp:inline>
              </w:drawing>
            </w:r>
          </w:p>
        </w:tc>
        <w:tc>
          <w:tcPr>
            <w:tcW w:w="4672" w:type="dxa"/>
            <w:tcBorders>
              <w:right w:val="single" w:color="000000" w:sz="8" w:space="0"/>
            </w:tcBorders>
          </w:tcPr>
          <w:p>
            <w:pPr>
              <w:pStyle w:val="13"/>
              <w:rPr>
                <w:b/>
                <w:sz w:val="20"/>
              </w:rPr>
            </w:pPr>
          </w:p>
          <w:p>
            <w:pPr>
              <w:pStyle w:val="13"/>
              <w:rPr>
                <w:b/>
                <w:sz w:val="20"/>
              </w:rPr>
            </w:pPr>
          </w:p>
          <w:p>
            <w:pPr>
              <w:pStyle w:val="13"/>
              <w:spacing w:before="4" w:after="1"/>
              <w:rPr>
                <w:b/>
                <w:sz w:val="20"/>
              </w:rPr>
            </w:pPr>
          </w:p>
          <w:p>
            <w:pPr>
              <w:pStyle w:val="13"/>
              <w:ind w:left="787"/>
              <w:rPr>
                <w:sz w:val="20"/>
              </w:rPr>
            </w:pPr>
            <w:r>
              <w:rPr>
                <w:sz w:val="20"/>
              </w:rPr>
              <w:drawing>
                <wp:inline distT="0" distB="0" distL="0" distR="0">
                  <wp:extent cx="1971040" cy="770890"/>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jpeg"/>
                          <pic:cNvPicPr>
                            <a:picLocks noChangeAspect="1"/>
                          </pic:cNvPicPr>
                        </pic:nvPicPr>
                        <pic:blipFill>
                          <a:blip r:embed="rId60" cstate="print"/>
                          <a:stretch>
                            <a:fillRect/>
                          </a:stretch>
                        </pic:blipFill>
                        <pic:spPr>
                          <a:xfrm>
                            <a:off x="0" y="0"/>
                            <a:ext cx="1971236" cy="771144"/>
                          </a:xfrm>
                          <a:prstGeom prst="rect">
                            <a:avLst/>
                          </a:prstGeom>
                        </pic:spPr>
                      </pic:pic>
                    </a:graphicData>
                  </a:graphic>
                </wp:inline>
              </w:drawing>
            </w:r>
          </w:p>
        </w:tc>
      </w:tr>
    </w:tbl>
    <w:p>
      <w:pPr>
        <w:spacing w:after="0"/>
        <w:rPr>
          <w:sz w:val="20"/>
        </w:rPr>
        <w:sectPr>
          <w:footerReference r:id="rId10" w:type="default"/>
          <w:pgSz w:w="11910" w:h="16840"/>
          <w:pgMar w:top="1540" w:right="820" w:bottom="1200" w:left="920" w:header="0" w:footer="1015" w:gutter="0"/>
          <w:pgNumType w:start="50"/>
          <w:cols w:space="720" w:num="1"/>
        </w:sectPr>
      </w:pPr>
    </w:p>
    <w:tbl>
      <w:tblPr>
        <w:tblStyle w:val="9"/>
        <w:tblW w:w="0" w:type="auto"/>
        <w:tblInd w:w="2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1"/>
        <w:gridCol w:w="2412"/>
        <w:gridCol w:w="4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6" w:hRule="atLeast"/>
        </w:trPr>
        <w:tc>
          <w:tcPr>
            <w:tcW w:w="2411" w:type="dxa"/>
            <w:tcBorders>
              <w:left w:val="single" w:color="000000" w:sz="8" w:space="0"/>
            </w:tcBorders>
          </w:tcPr>
          <w:p>
            <w:pPr>
              <w:pStyle w:val="13"/>
              <w:rPr>
                <w:b/>
                <w:sz w:val="20"/>
              </w:rPr>
            </w:pPr>
          </w:p>
          <w:p>
            <w:pPr>
              <w:pStyle w:val="13"/>
              <w:rPr>
                <w:b/>
                <w:sz w:val="20"/>
              </w:rPr>
            </w:pPr>
          </w:p>
          <w:p>
            <w:pPr>
              <w:pStyle w:val="13"/>
              <w:rPr>
                <w:b/>
                <w:sz w:val="20"/>
              </w:rPr>
            </w:pPr>
          </w:p>
          <w:p>
            <w:pPr>
              <w:pStyle w:val="13"/>
              <w:spacing w:before="4"/>
              <w:rPr>
                <w:b/>
                <w:sz w:val="27"/>
              </w:rPr>
            </w:pPr>
          </w:p>
          <w:p>
            <w:pPr>
              <w:pStyle w:val="13"/>
              <w:ind w:left="182" w:right="173"/>
              <w:jc w:val="center"/>
              <w:rPr>
                <w:sz w:val="20"/>
              </w:rPr>
            </w:pPr>
            <w:r>
              <w:rPr>
                <w:sz w:val="20"/>
              </w:rPr>
              <w:t>人行横道</w:t>
            </w:r>
          </w:p>
        </w:tc>
        <w:tc>
          <w:tcPr>
            <w:tcW w:w="2412" w:type="dxa"/>
          </w:tcPr>
          <w:p>
            <w:pPr>
              <w:pStyle w:val="13"/>
              <w:rPr>
                <w:rFonts w:ascii="Times New Roman"/>
                <w:sz w:val="18"/>
              </w:rPr>
            </w:pPr>
          </w:p>
        </w:tc>
        <w:tc>
          <w:tcPr>
            <w:tcW w:w="4672" w:type="dxa"/>
            <w:tcBorders>
              <w:right w:val="single" w:color="000000" w:sz="8" w:space="0"/>
            </w:tcBorders>
          </w:tcPr>
          <w:p>
            <w:pPr>
              <w:pStyle w:val="13"/>
              <w:spacing w:before="4"/>
              <w:rPr>
                <w:b/>
                <w:sz w:val="22"/>
              </w:rPr>
            </w:pPr>
          </w:p>
          <w:p>
            <w:pPr>
              <w:pStyle w:val="13"/>
              <w:ind w:left="1262"/>
              <w:rPr>
                <w:sz w:val="20"/>
              </w:rPr>
            </w:pPr>
            <w:r>
              <w:rPr>
                <w:sz w:val="20"/>
              </w:rPr>
              <w:drawing>
                <wp:inline distT="0" distB="0" distL="0" distR="0">
                  <wp:extent cx="1405255" cy="1231900"/>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jpeg"/>
                          <pic:cNvPicPr>
                            <a:picLocks noChangeAspect="1"/>
                          </pic:cNvPicPr>
                        </pic:nvPicPr>
                        <pic:blipFill>
                          <a:blip r:embed="rId61" cstate="print"/>
                          <a:stretch>
                            <a:fillRect/>
                          </a:stretch>
                        </pic:blipFill>
                        <pic:spPr>
                          <a:xfrm>
                            <a:off x="0" y="0"/>
                            <a:ext cx="1405415" cy="123215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6" w:hRule="atLeast"/>
        </w:trPr>
        <w:tc>
          <w:tcPr>
            <w:tcW w:w="2411" w:type="dxa"/>
            <w:tcBorders>
              <w:left w:val="single" w:color="000000" w:sz="8" w:space="0"/>
            </w:tcBorders>
          </w:tcPr>
          <w:p>
            <w:pPr>
              <w:pStyle w:val="13"/>
              <w:rPr>
                <w:b/>
                <w:sz w:val="20"/>
              </w:rPr>
            </w:pPr>
          </w:p>
          <w:p>
            <w:pPr>
              <w:pStyle w:val="13"/>
              <w:rPr>
                <w:b/>
                <w:sz w:val="20"/>
              </w:rPr>
            </w:pPr>
          </w:p>
          <w:p>
            <w:pPr>
              <w:pStyle w:val="13"/>
              <w:rPr>
                <w:b/>
                <w:sz w:val="20"/>
              </w:rPr>
            </w:pPr>
          </w:p>
          <w:p>
            <w:pPr>
              <w:pStyle w:val="13"/>
              <w:spacing w:before="4"/>
              <w:rPr>
                <w:b/>
                <w:sz w:val="27"/>
              </w:rPr>
            </w:pPr>
          </w:p>
          <w:p>
            <w:pPr>
              <w:pStyle w:val="13"/>
              <w:ind w:left="182" w:right="173"/>
              <w:jc w:val="center"/>
              <w:rPr>
                <w:sz w:val="20"/>
              </w:rPr>
            </w:pPr>
            <w:r>
              <w:rPr>
                <w:sz w:val="20"/>
              </w:rPr>
              <w:t>人行地道</w:t>
            </w:r>
          </w:p>
        </w:tc>
        <w:tc>
          <w:tcPr>
            <w:tcW w:w="2412" w:type="dxa"/>
          </w:tcPr>
          <w:p>
            <w:pPr>
              <w:pStyle w:val="13"/>
              <w:rPr>
                <w:rFonts w:ascii="Times New Roman"/>
                <w:sz w:val="18"/>
              </w:rPr>
            </w:pPr>
          </w:p>
        </w:tc>
        <w:tc>
          <w:tcPr>
            <w:tcW w:w="4672" w:type="dxa"/>
            <w:tcBorders>
              <w:right w:val="single" w:color="000000" w:sz="8" w:space="0"/>
            </w:tcBorders>
          </w:tcPr>
          <w:p>
            <w:pPr>
              <w:pStyle w:val="13"/>
              <w:spacing w:before="4"/>
              <w:rPr>
                <w:b/>
                <w:sz w:val="22"/>
              </w:rPr>
            </w:pPr>
          </w:p>
          <w:p>
            <w:pPr>
              <w:pStyle w:val="13"/>
              <w:ind w:left="1262"/>
              <w:rPr>
                <w:sz w:val="20"/>
              </w:rPr>
            </w:pPr>
            <w:r>
              <w:rPr>
                <w:sz w:val="20"/>
              </w:rPr>
              <w:drawing>
                <wp:inline distT="0" distB="0" distL="0" distR="0">
                  <wp:extent cx="1371600" cy="1231900"/>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7.jpeg"/>
                          <pic:cNvPicPr>
                            <a:picLocks noChangeAspect="1"/>
                          </pic:cNvPicPr>
                        </pic:nvPicPr>
                        <pic:blipFill>
                          <a:blip r:embed="rId62" cstate="print"/>
                          <a:stretch>
                            <a:fillRect/>
                          </a:stretch>
                        </pic:blipFill>
                        <pic:spPr>
                          <a:xfrm>
                            <a:off x="0" y="0"/>
                            <a:ext cx="1371953" cy="123215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2411" w:type="dxa"/>
            <w:tcBorders>
              <w:left w:val="single" w:color="000000" w:sz="8" w:space="0"/>
            </w:tcBorders>
          </w:tcPr>
          <w:p>
            <w:pPr>
              <w:pStyle w:val="13"/>
              <w:rPr>
                <w:b/>
                <w:sz w:val="20"/>
              </w:rPr>
            </w:pPr>
          </w:p>
          <w:p>
            <w:pPr>
              <w:pStyle w:val="13"/>
              <w:rPr>
                <w:b/>
                <w:sz w:val="20"/>
              </w:rPr>
            </w:pPr>
          </w:p>
          <w:p>
            <w:pPr>
              <w:pStyle w:val="13"/>
              <w:rPr>
                <w:b/>
                <w:sz w:val="20"/>
              </w:rPr>
            </w:pPr>
          </w:p>
          <w:p>
            <w:pPr>
              <w:pStyle w:val="13"/>
              <w:spacing w:before="6"/>
              <w:rPr>
                <w:b/>
                <w:sz w:val="27"/>
              </w:rPr>
            </w:pPr>
          </w:p>
          <w:p>
            <w:pPr>
              <w:pStyle w:val="13"/>
              <w:ind w:left="182" w:right="173"/>
              <w:jc w:val="center"/>
              <w:rPr>
                <w:sz w:val="20"/>
              </w:rPr>
            </w:pPr>
            <w:r>
              <w:rPr>
                <w:sz w:val="20"/>
              </w:rPr>
              <w:t>人行天桥</w:t>
            </w:r>
          </w:p>
        </w:tc>
        <w:tc>
          <w:tcPr>
            <w:tcW w:w="2412" w:type="dxa"/>
          </w:tcPr>
          <w:p>
            <w:pPr>
              <w:pStyle w:val="13"/>
              <w:rPr>
                <w:rFonts w:ascii="Times New Roman"/>
                <w:sz w:val="18"/>
              </w:rPr>
            </w:pPr>
          </w:p>
        </w:tc>
        <w:tc>
          <w:tcPr>
            <w:tcW w:w="4672" w:type="dxa"/>
            <w:tcBorders>
              <w:right w:val="single" w:color="000000" w:sz="8" w:space="0"/>
            </w:tcBorders>
          </w:tcPr>
          <w:p>
            <w:pPr>
              <w:pStyle w:val="13"/>
              <w:spacing w:before="3"/>
              <w:rPr>
                <w:b/>
                <w:sz w:val="22"/>
              </w:rPr>
            </w:pPr>
          </w:p>
          <w:p>
            <w:pPr>
              <w:pStyle w:val="13"/>
              <w:ind w:left="1262"/>
              <w:rPr>
                <w:sz w:val="20"/>
              </w:rPr>
            </w:pPr>
            <w:r>
              <w:rPr>
                <w:sz w:val="20"/>
              </w:rPr>
              <w:drawing>
                <wp:inline distT="0" distB="0" distL="0" distR="0">
                  <wp:extent cx="1400175" cy="1227455"/>
                  <wp:effectExtent l="0" t="0" r="0" b="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8.jpeg"/>
                          <pic:cNvPicPr>
                            <a:picLocks noChangeAspect="1"/>
                          </pic:cNvPicPr>
                        </pic:nvPicPr>
                        <pic:blipFill>
                          <a:blip r:embed="rId63" cstate="print"/>
                          <a:stretch>
                            <a:fillRect/>
                          </a:stretch>
                        </pic:blipFill>
                        <pic:spPr>
                          <a:xfrm>
                            <a:off x="0" y="0"/>
                            <a:ext cx="1400635" cy="1227963"/>
                          </a:xfrm>
                          <a:prstGeom prst="rect">
                            <a:avLst/>
                          </a:prstGeom>
                        </pic:spPr>
                      </pic:pic>
                    </a:graphicData>
                  </a:graphic>
                </wp:inline>
              </w:drawing>
            </w:r>
          </w:p>
        </w:tc>
      </w:tr>
    </w:tbl>
    <w:p>
      <w:pPr>
        <w:spacing w:after="0"/>
        <w:rPr>
          <w:sz w:val="20"/>
        </w:rPr>
        <w:sectPr>
          <w:pgSz w:w="11910" w:h="16840"/>
          <w:pgMar w:top="1540" w:right="820" w:bottom="1200" w:left="920" w:header="0" w:footer="1015" w:gutter="0"/>
          <w:cols w:space="720" w:num="1"/>
        </w:sectPr>
      </w:pPr>
    </w:p>
    <w:p>
      <w:pPr>
        <w:pStyle w:val="2"/>
        <w:ind w:left="0" w:right="100" w:firstLine="0"/>
        <w:jc w:val="center"/>
      </w:pPr>
      <w:bookmarkStart w:id="566" w:name="本标准用词说明"/>
      <w:bookmarkEnd w:id="566"/>
      <w:bookmarkStart w:id="567" w:name="_bookmark28"/>
      <w:bookmarkEnd w:id="567"/>
      <w:bookmarkStart w:id="568" w:name="引用标准名录"/>
      <w:bookmarkEnd w:id="568"/>
      <w:r>
        <w:t>本标准用词说明</w:t>
      </w:r>
    </w:p>
    <w:p>
      <w:pPr>
        <w:pStyle w:val="12"/>
        <w:numPr>
          <w:ilvl w:val="0"/>
          <w:numId w:val="130"/>
        </w:numPr>
        <w:tabs>
          <w:tab w:val="left" w:pos="632"/>
          <w:tab w:val="left" w:pos="633"/>
        </w:tabs>
        <w:spacing w:before="206" w:after="0" w:line="417" w:lineRule="auto"/>
        <w:ind w:left="212" w:right="2393" w:firstLine="0"/>
        <w:jc w:val="left"/>
        <w:rPr>
          <w:sz w:val="21"/>
        </w:rPr>
      </w:pPr>
      <w:r>
        <w:rPr>
          <w:w w:val="95"/>
          <w:sz w:val="21"/>
        </w:rPr>
        <w:t xml:space="preserve">为便于在执行本标准条文时区别对待，对要求严格程度不同的用词说明如下：  </w:t>
      </w:r>
      <w:r>
        <w:rPr>
          <w:sz w:val="21"/>
        </w:rPr>
        <w:t>1)表示很严格，非这样做不可的：正面词采用“必须”，反面词采用“严禁”；</w:t>
      </w:r>
    </w:p>
    <w:p>
      <w:pPr>
        <w:pStyle w:val="12"/>
        <w:numPr>
          <w:ilvl w:val="0"/>
          <w:numId w:val="131"/>
        </w:numPr>
        <w:tabs>
          <w:tab w:val="left" w:pos="424"/>
        </w:tabs>
        <w:spacing w:before="0" w:after="0" w:line="269" w:lineRule="exact"/>
        <w:ind w:left="424" w:right="0" w:hanging="212"/>
        <w:jc w:val="left"/>
        <w:rPr>
          <w:sz w:val="21"/>
        </w:rPr>
      </w:pPr>
      <w:r>
        <w:rPr>
          <w:w w:val="95"/>
          <w:sz w:val="21"/>
        </w:rPr>
        <w:t>表示严格，在正常情况下均应这样做的：正面词采用“应”，反面词采用“不应”或“不得”；</w:t>
      </w:r>
    </w:p>
    <w:p>
      <w:pPr>
        <w:pStyle w:val="5"/>
        <w:spacing w:before="6"/>
        <w:rPr>
          <w:sz w:val="15"/>
        </w:rPr>
      </w:pPr>
    </w:p>
    <w:p>
      <w:pPr>
        <w:pStyle w:val="12"/>
        <w:numPr>
          <w:ilvl w:val="0"/>
          <w:numId w:val="131"/>
        </w:numPr>
        <w:tabs>
          <w:tab w:val="left" w:pos="424"/>
        </w:tabs>
        <w:spacing w:before="1" w:after="0" w:line="240" w:lineRule="auto"/>
        <w:ind w:left="424" w:right="0" w:hanging="212"/>
        <w:jc w:val="left"/>
        <w:rPr>
          <w:sz w:val="21"/>
        </w:rPr>
      </w:pPr>
      <w:r>
        <w:rPr>
          <w:w w:val="95"/>
          <w:sz w:val="21"/>
        </w:rPr>
        <w:t>表示允许稍有选择，在条件许可时首先应这样做的：正面词采用“宜”，反面词采用“不宜”；</w:t>
      </w:r>
    </w:p>
    <w:p>
      <w:pPr>
        <w:pStyle w:val="5"/>
        <w:spacing w:before="6"/>
        <w:rPr>
          <w:sz w:val="15"/>
        </w:rPr>
      </w:pPr>
    </w:p>
    <w:p>
      <w:pPr>
        <w:pStyle w:val="12"/>
        <w:numPr>
          <w:ilvl w:val="0"/>
          <w:numId w:val="131"/>
        </w:numPr>
        <w:tabs>
          <w:tab w:val="left" w:pos="424"/>
        </w:tabs>
        <w:spacing w:before="0" w:after="0" w:line="240" w:lineRule="auto"/>
        <w:ind w:left="424" w:right="0" w:hanging="212"/>
        <w:jc w:val="left"/>
        <w:rPr>
          <w:sz w:val="21"/>
        </w:rPr>
      </w:pPr>
      <w:r>
        <w:rPr>
          <w:sz w:val="21"/>
        </w:rPr>
        <w:t>表示有选择，在一定条件下可以这样做的，采用“可”。</w:t>
      </w:r>
    </w:p>
    <w:p>
      <w:pPr>
        <w:pStyle w:val="5"/>
        <w:spacing w:before="7"/>
        <w:rPr>
          <w:sz w:val="15"/>
        </w:rPr>
      </w:pPr>
    </w:p>
    <w:p>
      <w:pPr>
        <w:pStyle w:val="12"/>
        <w:numPr>
          <w:ilvl w:val="0"/>
          <w:numId w:val="130"/>
        </w:numPr>
        <w:tabs>
          <w:tab w:val="left" w:pos="632"/>
          <w:tab w:val="left" w:pos="633"/>
        </w:tabs>
        <w:spacing w:before="0" w:after="0" w:line="240" w:lineRule="auto"/>
        <w:ind w:left="632" w:right="0" w:hanging="421"/>
        <w:jc w:val="left"/>
        <w:rPr>
          <w:sz w:val="21"/>
        </w:rPr>
      </w:pPr>
      <w:r>
        <w:rPr>
          <w:sz w:val="21"/>
        </w:rPr>
        <w:t>条文中指明应按其他有关标准执行的写法为：“应符合……的规定”或“应按……执行”。</w:t>
      </w:r>
    </w:p>
    <w:p>
      <w:pPr>
        <w:spacing w:after="0" w:line="240" w:lineRule="auto"/>
        <w:jc w:val="left"/>
        <w:rPr>
          <w:sz w:val="21"/>
        </w:rPr>
        <w:sectPr>
          <w:pgSz w:w="11910" w:h="16840"/>
          <w:pgMar w:top="1580" w:right="820" w:bottom="1200" w:left="920" w:header="0" w:footer="1015" w:gutter="0"/>
          <w:cols w:space="720" w:num="1"/>
        </w:sectPr>
      </w:pPr>
    </w:p>
    <w:p>
      <w:pPr>
        <w:pStyle w:val="2"/>
        <w:ind w:left="0" w:right="100" w:firstLine="0"/>
        <w:jc w:val="center"/>
      </w:pPr>
      <w:bookmarkStart w:id="569" w:name="_bookmark29"/>
      <w:bookmarkEnd w:id="569"/>
      <w:r>
        <w:t>引用标准名录</w:t>
      </w:r>
    </w:p>
    <w:p>
      <w:pPr>
        <w:pStyle w:val="5"/>
        <w:spacing w:before="8"/>
        <w:rPr>
          <w:b/>
          <w:sz w:val="10"/>
        </w:rPr>
      </w:pPr>
    </w:p>
    <w:p>
      <w:pPr>
        <w:pStyle w:val="12"/>
        <w:numPr>
          <w:ilvl w:val="0"/>
          <w:numId w:val="132"/>
        </w:numPr>
        <w:tabs>
          <w:tab w:val="left" w:pos="632"/>
          <w:tab w:val="left" w:pos="633"/>
        </w:tabs>
        <w:spacing w:before="70" w:after="0" w:line="240" w:lineRule="auto"/>
        <w:ind w:left="632" w:right="0" w:hanging="421"/>
        <w:jc w:val="left"/>
        <w:rPr>
          <w:sz w:val="21"/>
        </w:rPr>
      </w:pPr>
      <w:r>
        <w:rPr>
          <w:sz w:val="21"/>
        </w:rPr>
        <w:t>《无障碍设计规范》</w:t>
      </w:r>
      <w:r>
        <w:rPr>
          <w:rFonts w:hint="eastAsia" w:ascii="仿宋" w:eastAsia="仿宋"/>
          <w:sz w:val="21"/>
        </w:rPr>
        <w:t>GB</w:t>
      </w:r>
      <w:r>
        <w:rPr>
          <w:rFonts w:hint="eastAsia" w:ascii="仿宋" w:eastAsia="仿宋"/>
          <w:spacing w:val="-2"/>
          <w:sz w:val="21"/>
        </w:rPr>
        <w:t xml:space="preserve"> </w:t>
      </w:r>
      <w:r>
        <w:rPr>
          <w:sz w:val="21"/>
        </w:rPr>
        <w:t>50763</w:t>
      </w:r>
    </w:p>
    <w:p>
      <w:pPr>
        <w:pStyle w:val="5"/>
        <w:spacing w:before="6"/>
        <w:rPr>
          <w:sz w:val="15"/>
        </w:rPr>
      </w:pPr>
    </w:p>
    <w:p>
      <w:pPr>
        <w:pStyle w:val="12"/>
        <w:numPr>
          <w:ilvl w:val="0"/>
          <w:numId w:val="132"/>
        </w:numPr>
        <w:tabs>
          <w:tab w:val="left" w:pos="632"/>
          <w:tab w:val="left" w:pos="633"/>
        </w:tabs>
        <w:spacing w:before="1" w:after="0" w:line="240" w:lineRule="auto"/>
        <w:ind w:left="632" w:right="0" w:hanging="421"/>
        <w:jc w:val="left"/>
        <w:rPr>
          <w:sz w:val="21"/>
        </w:rPr>
      </w:pPr>
      <w:r>
        <w:rPr>
          <w:w w:val="95"/>
          <w:sz w:val="21"/>
        </w:rPr>
        <w:t>《无障碍通用规范》（送审稿）</w:t>
      </w:r>
    </w:p>
    <w:p>
      <w:pPr>
        <w:pStyle w:val="5"/>
        <w:spacing w:before="6"/>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《建筑设计防火规范》</w:t>
      </w:r>
      <w:r>
        <w:rPr>
          <w:rFonts w:hint="eastAsia" w:ascii="仿宋" w:eastAsia="仿宋"/>
          <w:sz w:val="21"/>
        </w:rPr>
        <w:t>GB</w:t>
      </w:r>
      <w:r>
        <w:rPr>
          <w:rFonts w:hint="eastAsia" w:ascii="仿宋" w:eastAsia="仿宋"/>
          <w:spacing w:val="-6"/>
          <w:sz w:val="21"/>
        </w:rPr>
        <w:t xml:space="preserve"> </w:t>
      </w:r>
      <w:r>
        <w:rPr>
          <w:sz w:val="21"/>
        </w:rPr>
        <w:t>50016</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《建筑照明设计标准》</w:t>
      </w:r>
      <w:r>
        <w:rPr>
          <w:rFonts w:hint="eastAsia" w:ascii="仿宋" w:eastAsia="仿宋"/>
          <w:sz w:val="21"/>
        </w:rPr>
        <w:t>GB</w:t>
      </w:r>
      <w:r>
        <w:rPr>
          <w:rFonts w:hint="eastAsia" w:ascii="仿宋" w:eastAsia="仿宋"/>
          <w:spacing w:val="-6"/>
          <w:sz w:val="21"/>
        </w:rPr>
        <w:t xml:space="preserve"> </w:t>
      </w:r>
      <w:r>
        <w:rPr>
          <w:sz w:val="21"/>
        </w:rPr>
        <w:t>50034</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《住宅设计规范》</w:t>
      </w:r>
      <w:r>
        <w:rPr>
          <w:rFonts w:hint="eastAsia" w:ascii="仿宋" w:eastAsia="仿宋"/>
          <w:sz w:val="21"/>
        </w:rPr>
        <w:t xml:space="preserve">GB </w:t>
      </w:r>
      <w:r>
        <w:rPr>
          <w:sz w:val="21"/>
        </w:rPr>
        <w:t>50096</w:t>
      </w:r>
    </w:p>
    <w:p>
      <w:pPr>
        <w:pStyle w:val="5"/>
        <w:spacing w:before="6"/>
        <w:rPr>
          <w:sz w:val="15"/>
        </w:rPr>
      </w:pPr>
    </w:p>
    <w:p>
      <w:pPr>
        <w:pStyle w:val="12"/>
        <w:numPr>
          <w:ilvl w:val="0"/>
          <w:numId w:val="132"/>
        </w:numPr>
        <w:tabs>
          <w:tab w:val="left" w:pos="632"/>
          <w:tab w:val="left" w:pos="633"/>
        </w:tabs>
        <w:spacing w:before="1" w:after="0" w:line="240" w:lineRule="auto"/>
        <w:ind w:left="632" w:right="0" w:hanging="421"/>
        <w:jc w:val="left"/>
        <w:rPr>
          <w:sz w:val="21"/>
        </w:rPr>
      </w:pPr>
      <w:r>
        <w:rPr>
          <w:sz w:val="21"/>
        </w:rPr>
        <w:t>《火灾自动报警系统设计规范》</w:t>
      </w:r>
      <w:r>
        <w:rPr>
          <w:rFonts w:hint="eastAsia" w:ascii="仿宋" w:eastAsia="仿宋"/>
          <w:sz w:val="21"/>
        </w:rPr>
        <w:t xml:space="preserve">GB </w:t>
      </w:r>
      <w:r>
        <w:rPr>
          <w:sz w:val="21"/>
        </w:rPr>
        <w:t>50116</w:t>
      </w:r>
    </w:p>
    <w:p>
      <w:pPr>
        <w:pStyle w:val="5"/>
        <w:spacing w:before="6"/>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《地铁设计规范》</w:t>
      </w:r>
      <w:r>
        <w:rPr>
          <w:rFonts w:hint="eastAsia" w:ascii="仿宋" w:eastAsia="仿宋"/>
          <w:sz w:val="21"/>
        </w:rPr>
        <w:t xml:space="preserve">GB </w:t>
      </w:r>
      <w:r>
        <w:rPr>
          <w:sz w:val="21"/>
        </w:rPr>
        <w:t>50157</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《城市居住区规划设计标准》</w:t>
      </w:r>
      <w:r>
        <w:rPr>
          <w:rFonts w:hint="eastAsia" w:ascii="仿宋" w:eastAsia="仿宋"/>
          <w:sz w:val="21"/>
        </w:rPr>
        <w:t>GB</w:t>
      </w:r>
      <w:r>
        <w:rPr>
          <w:rFonts w:hint="eastAsia" w:ascii="仿宋" w:eastAsia="仿宋"/>
          <w:spacing w:val="-2"/>
          <w:sz w:val="21"/>
        </w:rPr>
        <w:t xml:space="preserve"> </w:t>
      </w:r>
      <w:r>
        <w:rPr>
          <w:sz w:val="21"/>
        </w:rPr>
        <w:t>50180</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《民用建筑设计统一标准》</w:t>
      </w:r>
      <w:r>
        <w:rPr>
          <w:rFonts w:hint="eastAsia" w:ascii="仿宋" w:eastAsia="仿宋"/>
          <w:sz w:val="21"/>
        </w:rPr>
        <w:t xml:space="preserve">GB </w:t>
      </w:r>
      <w:r>
        <w:rPr>
          <w:sz w:val="21"/>
        </w:rPr>
        <w:t>50352</w:t>
      </w:r>
    </w:p>
    <w:p>
      <w:pPr>
        <w:pStyle w:val="5"/>
        <w:spacing w:before="6"/>
        <w:rPr>
          <w:sz w:val="15"/>
        </w:rPr>
      </w:pPr>
    </w:p>
    <w:p>
      <w:pPr>
        <w:pStyle w:val="12"/>
        <w:numPr>
          <w:ilvl w:val="0"/>
          <w:numId w:val="132"/>
        </w:numPr>
        <w:tabs>
          <w:tab w:val="left" w:pos="632"/>
          <w:tab w:val="left" w:pos="633"/>
        </w:tabs>
        <w:spacing w:before="1" w:after="0" w:line="240" w:lineRule="auto"/>
        <w:ind w:left="632" w:right="0" w:hanging="421"/>
        <w:jc w:val="left"/>
        <w:rPr>
          <w:sz w:val="21"/>
        </w:rPr>
      </w:pPr>
      <w:r>
        <w:rPr>
          <w:sz w:val="21"/>
        </w:rPr>
        <w:t>《城市绿地设计规范》</w:t>
      </w:r>
      <w:r>
        <w:rPr>
          <w:rFonts w:hint="eastAsia" w:ascii="仿宋" w:eastAsia="仿宋"/>
          <w:sz w:val="21"/>
        </w:rPr>
        <w:t xml:space="preserve">GB </w:t>
      </w:r>
      <w:r>
        <w:rPr>
          <w:sz w:val="21"/>
        </w:rPr>
        <w:t>50420</w:t>
      </w:r>
    </w:p>
    <w:p>
      <w:pPr>
        <w:pStyle w:val="5"/>
        <w:spacing w:before="6"/>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《无障碍设施施工验收及维护规范》</w:t>
      </w:r>
      <w:r>
        <w:rPr>
          <w:rFonts w:hint="eastAsia" w:ascii="仿宋" w:eastAsia="仿宋"/>
          <w:sz w:val="21"/>
        </w:rPr>
        <w:t xml:space="preserve">GB </w:t>
      </w:r>
      <w:r>
        <w:rPr>
          <w:sz w:val="21"/>
        </w:rPr>
        <w:t>50642</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《综合医院建筑设计规范》</w:t>
      </w:r>
      <w:r>
        <w:rPr>
          <w:rFonts w:hint="eastAsia" w:ascii="仿宋" w:eastAsia="仿宋"/>
          <w:sz w:val="21"/>
        </w:rPr>
        <w:t xml:space="preserve">GB </w:t>
      </w:r>
      <w:r>
        <w:rPr>
          <w:sz w:val="21"/>
        </w:rPr>
        <w:t>51039</w:t>
      </w:r>
    </w:p>
    <w:p>
      <w:pPr>
        <w:pStyle w:val="5"/>
        <w:spacing w:before="7"/>
        <w:rPr>
          <w:sz w:val="15"/>
        </w:rPr>
      </w:pPr>
    </w:p>
    <w:p>
      <w:pPr>
        <w:pStyle w:val="12"/>
        <w:numPr>
          <w:ilvl w:val="0"/>
          <w:numId w:val="132"/>
        </w:numPr>
        <w:tabs>
          <w:tab w:val="left" w:pos="632"/>
          <w:tab w:val="left" w:pos="633"/>
          <w:tab w:val="left" w:pos="5883"/>
        </w:tabs>
        <w:spacing w:before="0" w:after="0" w:line="240" w:lineRule="auto"/>
        <w:ind w:left="632" w:right="0" w:hanging="421"/>
        <w:jc w:val="left"/>
        <w:rPr>
          <w:sz w:val="21"/>
        </w:rPr>
      </w:pPr>
      <w:r>
        <w:rPr>
          <w:sz w:val="21"/>
        </w:rPr>
        <w:t>《公共信息图形符号第</w:t>
      </w:r>
      <w:r>
        <w:rPr>
          <w:spacing w:val="-56"/>
          <w:sz w:val="21"/>
        </w:rPr>
        <w:t xml:space="preserve"> </w:t>
      </w:r>
      <w:r>
        <w:rPr>
          <w:sz w:val="21"/>
        </w:rPr>
        <w:t>9</w:t>
      </w:r>
      <w:r>
        <w:rPr>
          <w:spacing w:val="-54"/>
          <w:sz w:val="21"/>
        </w:rPr>
        <w:t xml:space="preserve"> </w:t>
      </w:r>
      <w:r>
        <w:rPr>
          <w:sz w:val="21"/>
        </w:rPr>
        <w:t>部分：无障碍设施符号》</w:t>
      </w:r>
      <w:r>
        <w:rPr>
          <w:rFonts w:hint="eastAsia" w:ascii="仿宋" w:eastAsia="仿宋"/>
          <w:sz w:val="21"/>
        </w:rPr>
        <w:t>GB</w:t>
      </w:r>
      <w:r>
        <w:rPr>
          <w:sz w:val="21"/>
        </w:rPr>
        <w:t>/</w:t>
      </w:r>
      <w:r>
        <w:rPr>
          <w:rFonts w:hint="eastAsia" w:ascii="仿宋" w:eastAsia="仿宋"/>
          <w:sz w:val="21"/>
        </w:rPr>
        <w:t>T</w:t>
      </w:r>
      <w:r>
        <w:rPr>
          <w:rFonts w:hint="eastAsia" w:ascii="仿宋" w:eastAsia="仿宋"/>
          <w:sz w:val="21"/>
        </w:rPr>
        <w:tab/>
      </w:r>
      <w:r>
        <w:rPr>
          <w:sz w:val="21"/>
        </w:rPr>
        <w:t>10001.9</w:t>
      </w:r>
    </w:p>
    <w:p>
      <w:pPr>
        <w:pStyle w:val="5"/>
        <w:spacing w:before="6"/>
        <w:rPr>
          <w:sz w:val="15"/>
        </w:rPr>
      </w:pPr>
    </w:p>
    <w:p>
      <w:pPr>
        <w:pStyle w:val="12"/>
        <w:numPr>
          <w:ilvl w:val="0"/>
          <w:numId w:val="132"/>
        </w:numPr>
        <w:tabs>
          <w:tab w:val="left" w:pos="632"/>
          <w:tab w:val="left" w:pos="633"/>
        </w:tabs>
        <w:spacing w:before="1" w:after="0" w:line="240" w:lineRule="auto"/>
        <w:ind w:left="632" w:right="0" w:hanging="421"/>
        <w:jc w:val="left"/>
        <w:rPr>
          <w:sz w:val="21"/>
        </w:rPr>
      </w:pPr>
      <w:r>
        <w:rPr>
          <w:sz w:val="21"/>
        </w:rPr>
        <w:t>《中国盲文》</w:t>
      </w:r>
      <w:r>
        <w:rPr>
          <w:rFonts w:hint="eastAsia" w:ascii="仿宋" w:eastAsia="仿宋"/>
          <w:sz w:val="21"/>
        </w:rPr>
        <w:t>GB/T</w:t>
      </w:r>
      <w:r>
        <w:rPr>
          <w:rFonts w:hint="eastAsia" w:ascii="仿宋" w:eastAsia="仿宋"/>
          <w:spacing w:val="-2"/>
          <w:sz w:val="21"/>
        </w:rPr>
        <w:t xml:space="preserve"> </w:t>
      </w:r>
      <w:r>
        <w:rPr>
          <w:sz w:val="21"/>
        </w:rPr>
        <w:t>15720</w:t>
      </w:r>
    </w:p>
    <w:p>
      <w:pPr>
        <w:pStyle w:val="5"/>
        <w:spacing w:before="6"/>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pacing w:val="-7"/>
          <w:sz w:val="21"/>
        </w:rPr>
        <w:t xml:space="preserve">《信息无障碍第 </w:t>
      </w:r>
      <w:r>
        <w:rPr>
          <w:sz w:val="21"/>
        </w:rPr>
        <w:t>2</w:t>
      </w:r>
      <w:r>
        <w:rPr>
          <w:spacing w:val="-8"/>
          <w:sz w:val="21"/>
        </w:rPr>
        <w:t xml:space="preserve"> 部分：通信终端设备无障碍设计原则》</w:t>
      </w:r>
      <w:r>
        <w:rPr>
          <w:rFonts w:hint="eastAsia" w:ascii="仿宋" w:eastAsia="仿宋"/>
          <w:sz w:val="21"/>
        </w:rPr>
        <w:t xml:space="preserve">GB/T </w:t>
      </w:r>
      <w:r>
        <w:rPr>
          <w:sz w:val="21"/>
        </w:rPr>
        <w:t>32632.2</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《城市公共自行车交通服务规范》</w:t>
      </w:r>
      <w:r>
        <w:rPr>
          <w:rFonts w:hint="eastAsia" w:ascii="仿宋" w:eastAsia="仿宋"/>
          <w:sz w:val="21"/>
        </w:rPr>
        <w:t xml:space="preserve">GB/T </w:t>
      </w:r>
      <w:r>
        <w:rPr>
          <w:sz w:val="21"/>
        </w:rPr>
        <w:t>32842</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《公共建筑标识系统技术规范》</w:t>
      </w:r>
      <w:r>
        <w:rPr>
          <w:rFonts w:hint="eastAsia" w:ascii="仿宋" w:eastAsia="仿宋"/>
          <w:sz w:val="21"/>
        </w:rPr>
        <w:t>GB/T</w:t>
      </w:r>
      <w:r>
        <w:rPr>
          <w:rFonts w:hint="eastAsia" w:ascii="仿宋" w:eastAsia="仿宋"/>
          <w:spacing w:val="-2"/>
          <w:sz w:val="21"/>
        </w:rPr>
        <w:t xml:space="preserve"> </w:t>
      </w:r>
      <w:r>
        <w:rPr>
          <w:sz w:val="21"/>
        </w:rPr>
        <w:t>51223</w:t>
      </w:r>
    </w:p>
    <w:p>
      <w:pPr>
        <w:pStyle w:val="5"/>
        <w:spacing w:before="6"/>
        <w:rPr>
          <w:sz w:val="15"/>
        </w:rPr>
      </w:pPr>
    </w:p>
    <w:p>
      <w:pPr>
        <w:pStyle w:val="12"/>
        <w:numPr>
          <w:ilvl w:val="0"/>
          <w:numId w:val="132"/>
        </w:numPr>
        <w:tabs>
          <w:tab w:val="left" w:pos="632"/>
          <w:tab w:val="left" w:pos="633"/>
        </w:tabs>
        <w:spacing w:before="1" w:after="0" w:line="240" w:lineRule="auto"/>
        <w:ind w:left="632" w:right="0" w:hanging="421"/>
        <w:jc w:val="left"/>
        <w:rPr>
          <w:sz w:val="21"/>
        </w:rPr>
      </w:pPr>
      <w:r>
        <w:rPr>
          <w:sz w:val="21"/>
        </w:rPr>
        <w:t>《无障碍设计图集》12</w:t>
      </w:r>
      <w:r>
        <w:rPr>
          <w:rFonts w:hint="eastAsia" w:ascii="仿宋" w:eastAsia="仿宋"/>
          <w:sz w:val="21"/>
        </w:rPr>
        <w:t>J</w:t>
      </w:r>
      <w:r>
        <w:rPr>
          <w:sz w:val="21"/>
        </w:rPr>
        <w:t>926</w:t>
      </w:r>
    </w:p>
    <w:p>
      <w:pPr>
        <w:pStyle w:val="5"/>
        <w:spacing w:before="6"/>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《城市公共厕所设计标准》</w:t>
      </w:r>
      <w:r>
        <w:rPr>
          <w:rFonts w:hint="eastAsia" w:ascii="仿宋" w:eastAsia="仿宋"/>
          <w:sz w:val="21"/>
        </w:rPr>
        <w:t>CJJ</w:t>
      </w:r>
      <w:r>
        <w:rPr>
          <w:rFonts w:hint="eastAsia" w:ascii="仿宋" w:eastAsia="仿宋"/>
          <w:spacing w:val="-7"/>
          <w:sz w:val="21"/>
        </w:rPr>
        <w:t xml:space="preserve"> </w:t>
      </w:r>
      <w:r>
        <w:rPr>
          <w:sz w:val="21"/>
        </w:rPr>
        <w:t>14</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《城市道路工程设计规范》</w:t>
      </w:r>
      <w:r>
        <w:rPr>
          <w:rFonts w:hint="eastAsia" w:ascii="仿宋" w:eastAsia="仿宋"/>
          <w:sz w:val="21"/>
        </w:rPr>
        <w:t>CJJ</w:t>
      </w:r>
      <w:r>
        <w:rPr>
          <w:rFonts w:hint="eastAsia" w:ascii="仿宋" w:eastAsia="仿宋"/>
          <w:spacing w:val="-7"/>
          <w:sz w:val="21"/>
        </w:rPr>
        <w:t xml:space="preserve"> </w:t>
      </w:r>
      <w:r>
        <w:rPr>
          <w:sz w:val="21"/>
        </w:rPr>
        <w:t>37</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《城市绿地分类标准》</w:t>
      </w:r>
      <w:r>
        <w:rPr>
          <w:rFonts w:hint="eastAsia" w:ascii="仿宋" w:eastAsia="仿宋"/>
          <w:sz w:val="21"/>
        </w:rPr>
        <w:t xml:space="preserve">CJJ/T </w:t>
      </w:r>
      <w:r>
        <w:rPr>
          <w:sz w:val="21"/>
        </w:rPr>
        <w:t>85</w:t>
      </w:r>
    </w:p>
    <w:p>
      <w:pPr>
        <w:pStyle w:val="5"/>
        <w:spacing w:before="6"/>
        <w:rPr>
          <w:sz w:val="15"/>
        </w:rPr>
      </w:pPr>
    </w:p>
    <w:p>
      <w:pPr>
        <w:pStyle w:val="12"/>
        <w:numPr>
          <w:ilvl w:val="0"/>
          <w:numId w:val="132"/>
        </w:numPr>
        <w:tabs>
          <w:tab w:val="left" w:pos="632"/>
          <w:tab w:val="left" w:pos="633"/>
        </w:tabs>
        <w:spacing w:before="1" w:after="0" w:line="240" w:lineRule="auto"/>
        <w:ind w:left="632" w:right="0" w:hanging="421"/>
        <w:jc w:val="left"/>
        <w:rPr>
          <w:sz w:val="21"/>
        </w:rPr>
      </w:pPr>
      <w:r>
        <w:rPr>
          <w:sz w:val="21"/>
        </w:rPr>
        <w:t>《特殊教育学校建筑设计规范》</w:t>
      </w:r>
      <w:r>
        <w:rPr>
          <w:rFonts w:hint="eastAsia" w:ascii="仿宋" w:eastAsia="仿宋"/>
          <w:sz w:val="21"/>
        </w:rPr>
        <w:t>JGJ</w:t>
      </w:r>
      <w:r>
        <w:rPr>
          <w:rFonts w:hint="eastAsia" w:ascii="仿宋" w:eastAsia="仿宋"/>
          <w:spacing w:val="-2"/>
          <w:sz w:val="21"/>
        </w:rPr>
        <w:t xml:space="preserve"> </w:t>
      </w:r>
      <w:r>
        <w:rPr>
          <w:sz w:val="21"/>
        </w:rPr>
        <w:t>76</w:t>
      </w:r>
    </w:p>
    <w:p>
      <w:pPr>
        <w:pStyle w:val="5"/>
        <w:spacing w:before="6"/>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《老年人建筑设计规范》</w:t>
      </w:r>
      <w:r>
        <w:rPr>
          <w:rFonts w:hint="eastAsia" w:ascii="仿宋" w:eastAsia="仿宋"/>
          <w:sz w:val="21"/>
        </w:rPr>
        <w:t>JGJ</w:t>
      </w:r>
      <w:r>
        <w:rPr>
          <w:rFonts w:hint="eastAsia" w:ascii="仿宋" w:eastAsia="仿宋"/>
          <w:spacing w:val="-2"/>
          <w:sz w:val="21"/>
        </w:rPr>
        <w:t xml:space="preserve"> </w:t>
      </w:r>
      <w:r>
        <w:rPr>
          <w:sz w:val="21"/>
        </w:rPr>
        <w:t>122</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《老年人照料设施建筑设计标准》</w:t>
      </w:r>
      <w:r>
        <w:rPr>
          <w:rFonts w:hint="eastAsia" w:ascii="仿宋" w:eastAsia="仿宋"/>
          <w:sz w:val="21"/>
        </w:rPr>
        <w:t>JGJ</w:t>
      </w:r>
      <w:r>
        <w:rPr>
          <w:rFonts w:hint="eastAsia" w:ascii="仿宋" w:eastAsia="仿宋"/>
          <w:spacing w:val="-6"/>
          <w:sz w:val="21"/>
        </w:rPr>
        <w:t xml:space="preserve"> </w:t>
      </w:r>
      <w:r>
        <w:rPr>
          <w:sz w:val="21"/>
        </w:rPr>
        <w:t>450</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《建筑地面工程防滑技术规程》</w:t>
      </w:r>
      <w:r>
        <w:rPr>
          <w:rFonts w:hint="eastAsia" w:ascii="仿宋" w:eastAsia="仿宋"/>
          <w:sz w:val="21"/>
        </w:rPr>
        <w:t>JGJ/T</w:t>
      </w:r>
      <w:r>
        <w:rPr>
          <w:rFonts w:hint="eastAsia" w:ascii="仿宋" w:eastAsia="仿宋"/>
          <w:spacing w:val="-7"/>
          <w:sz w:val="21"/>
        </w:rPr>
        <w:t xml:space="preserve"> </w:t>
      </w:r>
      <w:r>
        <w:rPr>
          <w:sz w:val="21"/>
        </w:rPr>
        <w:t>331</w:t>
      </w:r>
    </w:p>
    <w:p>
      <w:pPr>
        <w:pStyle w:val="5"/>
        <w:spacing w:before="6"/>
        <w:rPr>
          <w:sz w:val="15"/>
        </w:rPr>
      </w:pPr>
    </w:p>
    <w:p>
      <w:pPr>
        <w:pStyle w:val="12"/>
        <w:numPr>
          <w:ilvl w:val="0"/>
          <w:numId w:val="132"/>
        </w:numPr>
        <w:tabs>
          <w:tab w:val="left" w:pos="632"/>
          <w:tab w:val="left" w:pos="633"/>
        </w:tabs>
        <w:spacing w:before="1" w:after="0" w:line="240" w:lineRule="auto"/>
        <w:ind w:left="632" w:right="0" w:hanging="421"/>
        <w:jc w:val="left"/>
        <w:rPr>
          <w:sz w:val="21"/>
        </w:rPr>
      </w:pPr>
      <w:r>
        <w:rPr>
          <w:sz w:val="21"/>
        </w:rPr>
        <w:t>《交通客运站建筑设计规范》</w:t>
      </w:r>
      <w:r>
        <w:rPr>
          <w:rFonts w:hint="eastAsia" w:ascii="仿宋" w:eastAsia="仿宋"/>
          <w:sz w:val="21"/>
        </w:rPr>
        <w:t>JGJ/T</w:t>
      </w:r>
      <w:r>
        <w:rPr>
          <w:rFonts w:hint="eastAsia" w:ascii="仿宋" w:eastAsia="仿宋"/>
          <w:spacing w:val="-2"/>
          <w:sz w:val="21"/>
        </w:rPr>
        <w:t xml:space="preserve"> </w:t>
      </w:r>
      <w:r>
        <w:rPr>
          <w:sz w:val="21"/>
        </w:rPr>
        <w:t>60</w:t>
      </w:r>
    </w:p>
    <w:p>
      <w:pPr>
        <w:pStyle w:val="5"/>
        <w:spacing w:before="6"/>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《铁路旅客车站设计规范》TB 10100</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《民用机场旅客航站区无障碍设施设备配置》</w:t>
      </w:r>
      <w:r>
        <w:rPr>
          <w:rFonts w:hint="eastAsia" w:ascii="仿宋" w:eastAsia="仿宋"/>
          <w:sz w:val="21"/>
        </w:rPr>
        <w:t>MH-T</w:t>
      </w:r>
      <w:r>
        <w:rPr>
          <w:rFonts w:hint="eastAsia" w:ascii="仿宋" w:eastAsia="仿宋"/>
          <w:spacing w:val="-2"/>
          <w:sz w:val="21"/>
        </w:rPr>
        <w:t xml:space="preserve"> </w:t>
      </w:r>
      <w:r>
        <w:rPr>
          <w:sz w:val="21"/>
        </w:rPr>
        <w:t>5107</w:t>
      </w:r>
    </w:p>
    <w:p>
      <w:pPr>
        <w:spacing w:after="0" w:line="240" w:lineRule="auto"/>
        <w:jc w:val="left"/>
        <w:rPr>
          <w:sz w:val="21"/>
        </w:rPr>
        <w:sectPr>
          <w:pgSz w:w="11910" w:h="16840"/>
          <w:pgMar w:top="1580" w:right="820" w:bottom="1280" w:left="920" w:header="0" w:footer="1015" w:gutter="0"/>
          <w:cols w:space="720" w:num="1"/>
        </w:sectPr>
      </w:pPr>
    </w:p>
    <w:p>
      <w:pPr>
        <w:pStyle w:val="12"/>
        <w:numPr>
          <w:ilvl w:val="0"/>
          <w:numId w:val="132"/>
        </w:numPr>
        <w:tabs>
          <w:tab w:val="left" w:pos="632"/>
          <w:tab w:val="left" w:pos="633"/>
        </w:tabs>
        <w:spacing w:before="60" w:after="0" w:line="240" w:lineRule="auto"/>
        <w:ind w:left="632" w:right="0" w:hanging="421"/>
        <w:jc w:val="left"/>
        <w:rPr>
          <w:sz w:val="21"/>
        </w:rPr>
      </w:pPr>
      <w:r>
        <w:rPr>
          <w:spacing w:val="-3"/>
          <w:sz w:val="21"/>
        </w:rPr>
        <w:t xml:space="preserve">《社区老年人日间照料中心建设标准》建标 </w:t>
      </w:r>
      <w:r>
        <w:rPr>
          <w:sz w:val="21"/>
        </w:rPr>
        <w:t>143</w:t>
      </w:r>
    </w:p>
    <w:p>
      <w:pPr>
        <w:pStyle w:val="5"/>
        <w:spacing w:before="6"/>
        <w:rPr>
          <w:sz w:val="15"/>
        </w:rPr>
      </w:pPr>
    </w:p>
    <w:p>
      <w:pPr>
        <w:pStyle w:val="12"/>
        <w:numPr>
          <w:ilvl w:val="0"/>
          <w:numId w:val="132"/>
        </w:numPr>
        <w:tabs>
          <w:tab w:val="left" w:pos="632"/>
          <w:tab w:val="left" w:pos="633"/>
        </w:tabs>
        <w:spacing w:before="1" w:after="0" w:line="240" w:lineRule="auto"/>
        <w:ind w:left="632" w:right="0" w:hanging="421"/>
        <w:jc w:val="left"/>
        <w:rPr>
          <w:sz w:val="21"/>
        </w:rPr>
      </w:pPr>
      <w:r>
        <w:rPr>
          <w:spacing w:val="-5"/>
          <w:sz w:val="21"/>
        </w:rPr>
        <w:t xml:space="preserve">《老年养护院建设标准》建标 </w:t>
      </w:r>
      <w:r>
        <w:rPr>
          <w:sz w:val="21"/>
        </w:rPr>
        <w:t>144</w:t>
      </w:r>
    </w:p>
    <w:p>
      <w:pPr>
        <w:pStyle w:val="5"/>
        <w:spacing w:before="6"/>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pacing w:val="-5"/>
          <w:sz w:val="21"/>
        </w:rPr>
        <w:t xml:space="preserve">《儿童福利院建设标准》建标 </w:t>
      </w:r>
      <w:r>
        <w:rPr>
          <w:sz w:val="21"/>
        </w:rPr>
        <w:t>145</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《北京市城市轨道交通无障碍设施设计规程》DB 11/690</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《上海市无障碍设施设计标准》</w:t>
      </w:r>
      <w:r>
        <w:rPr>
          <w:rFonts w:hint="eastAsia" w:ascii="仿宋" w:eastAsia="仿宋"/>
          <w:sz w:val="21"/>
        </w:rPr>
        <w:t>DBJ</w:t>
      </w:r>
      <w:r>
        <w:rPr>
          <w:rFonts w:hint="eastAsia" w:ascii="仿宋" w:eastAsia="仿宋"/>
          <w:spacing w:val="-2"/>
          <w:sz w:val="21"/>
        </w:rPr>
        <w:t xml:space="preserve"> </w:t>
      </w:r>
      <w:r>
        <w:rPr>
          <w:sz w:val="21"/>
        </w:rPr>
        <w:t>08-103</w:t>
      </w:r>
    </w:p>
    <w:p>
      <w:pPr>
        <w:pStyle w:val="5"/>
        <w:spacing w:before="6"/>
        <w:rPr>
          <w:sz w:val="15"/>
        </w:rPr>
      </w:pPr>
    </w:p>
    <w:p>
      <w:pPr>
        <w:pStyle w:val="12"/>
        <w:numPr>
          <w:ilvl w:val="0"/>
          <w:numId w:val="132"/>
        </w:numPr>
        <w:tabs>
          <w:tab w:val="left" w:pos="632"/>
          <w:tab w:val="left" w:pos="633"/>
        </w:tabs>
        <w:spacing w:before="1" w:after="0" w:line="240" w:lineRule="auto"/>
        <w:ind w:left="632" w:right="0" w:hanging="421"/>
        <w:jc w:val="left"/>
        <w:rPr>
          <w:sz w:val="21"/>
        </w:rPr>
      </w:pPr>
      <w:r>
        <w:rPr>
          <w:sz w:val="21"/>
        </w:rPr>
        <w:t>《天津市无障碍设计标准》</w:t>
      </w:r>
      <w:r>
        <w:rPr>
          <w:rFonts w:hint="eastAsia" w:ascii="仿宋" w:eastAsia="仿宋"/>
          <w:sz w:val="21"/>
        </w:rPr>
        <w:t>DB/T</w:t>
      </w:r>
      <w:r>
        <w:rPr>
          <w:rFonts w:hint="eastAsia" w:ascii="仿宋" w:eastAsia="仿宋"/>
          <w:spacing w:val="-7"/>
          <w:sz w:val="21"/>
        </w:rPr>
        <w:t xml:space="preserve"> </w:t>
      </w:r>
      <w:r>
        <w:rPr>
          <w:sz w:val="21"/>
        </w:rPr>
        <w:t>29-196</w:t>
      </w:r>
    </w:p>
    <w:p>
      <w:pPr>
        <w:pStyle w:val="5"/>
        <w:spacing w:before="6"/>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w w:val="95"/>
          <w:sz w:val="21"/>
        </w:rPr>
        <w:t>《重庆市无障碍设计标准》</w:t>
      </w:r>
      <w:r>
        <w:rPr>
          <w:rFonts w:hint="eastAsia" w:ascii="仿宋" w:eastAsia="仿宋"/>
          <w:w w:val="95"/>
          <w:sz w:val="21"/>
        </w:rPr>
        <w:t>DBJ50/T</w:t>
      </w:r>
      <w:r>
        <w:rPr>
          <w:w w:val="95"/>
          <w:sz w:val="21"/>
        </w:rPr>
        <w:t>-346</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《北京市自行车停放区设置技术导则》</w:t>
      </w:r>
      <w:r>
        <w:rPr>
          <w:rFonts w:hint="eastAsia" w:ascii="仿宋" w:eastAsia="仿宋"/>
          <w:sz w:val="21"/>
        </w:rPr>
        <w:t>BJJT</w:t>
      </w:r>
      <w:r>
        <w:rPr>
          <w:sz w:val="21"/>
        </w:rPr>
        <w:t>/</w:t>
      </w:r>
      <w:r>
        <w:rPr>
          <w:rFonts w:hint="eastAsia" w:ascii="仿宋" w:eastAsia="仿宋"/>
          <w:sz w:val="21"/>
        </w:rPr>
        <w:t>J</w:t>
      </w:r>
      <w:r>
        <w:rPr>
          <w:rFonts w:hint="eastAsia" w:ascii="仿宋" w:eastAsia="仿宋"/>
          <w:spacing w:val="-2"/>
          <w:sz w:val="21"/>
        </w:rPr>
        <w:t xml:space="preserve"> </w:t>
      </w:r>
      <w:r>
        <w:rPr>
          <w:sz w:val="21"/>
        </w:rPr>
        <w:t>116</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《深圳市城市规划标准与准则》深圳市规划和国土资源委员会</w:t>
      </w:r>
    </w:p>
    <w:p>
      <w:pPr>
        <w:pStyle w:val="5"/>
        <w:spacing w:before="6"/>
        <w:rPr>
          <w:sz w:val="15"/>
        </w:rPr>
      </w:pPr>
    </w:p>
    <w:p>
      <w:pPr>
        <w:pStyle w:val="12"/>
        <w:numPr>
          <w:ilvl w:val="0"/>
          <w:numId w:val="132"/>
        </w:numPr>
        <w:tabs>
          <w:tab w:val="left" w:pos="632"/>
          <w:tab w:val="left" w:pos="633"/>
        </w:tabs>
        <w:spacing w:before="1" w:after="0" w:line="240" w:lineRule="auto"/>
        <w:ind w:left="632" w:right="0" w:hanging="421"/>
        <w:jc w:val="left"/>
        <w:rPr>
          <w:sz w:val="21"/>
        </w:rPr>
      </w:pPr>
      <w:r>
        <w:rPr>
          <w:sz w:val="21"/>
        </w:rPr>
        <w:t>《深圳市公共场所母婴室设计规程》</w:t>
      </w:r>
      <w:r>
        <w:rPr>
          <w:rFonts w:hint="eastAsia" w:ascii="仿宋" w:eastAsia="仿宋"/>
          <w:sz w:val="21"/>
        </w:rPr>
        <w:t>SJG</w:t>
      </w:r>
      <w:r>
        <w:rPr>
          <w:rFonts w:hint="eastAsia" w:ascii="仿宋" w:eastAsia="仿宋"/>
          <w:spacing w:val="-2"/>
          <w:sz w:val="21"/>
        </w:rPr>
        <w:t xml:space="preserve"> </w:t>
      </w:r>
      <w:r>
        <w:rPr>
          <w:sz w:val="21"/>
        </w:rPr>
        <w:t>54</w:t>
      </w:r>
    </w:p>
    <w:p>
      <w:pPr>
        <w:pStyle w:val="5"/>
        <w:spacing w:before="6"/>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《深圳市人行地下通道设计标准》</w:t>
      </w:r>
      <w:r>
        <w:rPr>
          <w:rFonts w:hint="eastAsia" w:ascii="仿宋" w:eastAsia="仿宋"/>
          <w:sz w:val="21"/>
        </w:rPr>
        <w:t>SJG</w:t>
      </w:r>
      <w:r>
        <w:rPr>
          <w:rFonts w:hint="eastAsia" w:ascii="仿宋" w:eastAsia="仿宋"/>
          <w:spacing w:val="-2"/>
          <w:sz w:val="21"/>
        </w:rPr>
        <w:t xml:space="preserve"> </w:t>
      </w:r>
      <w:r>
        <w:rPr>
          <w:sz w:val="21"/>
        </w:rPr>
        <w:t>68</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《深圳市道路设计标准》</w:t>
      </w:r>
      <w:r>
        <w:rPr>
          <w:rFonts w:hint="eastAsia" w:ascii="仿宋" w:eastAsia="仿宋"/>
          <w:sz w:val="21"/>
        </w:rPr>
        <w:t>SJG</w:t>
      </w:r>
      <w:r>
        <w:rPr>
          <w:rFonts w:hint="eastAsia" w:ascii="仿宋" w:eastAsia="仿宋"/>
          <w:spacing w:val="-2"/>
          <w:sz w:val="21"/>
        </w:rPr>
        <w:t xml:space="preserve"> </w:t>
      </w:r>
      <w:r>
        <w:rPr>
          <w:sz w:val="21"/>
        </w:rPr>
        <w:t>69</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《深圳市人行天桥和连廊设计标准》</w:t>
      </w:r>
      <w:r>
        <w:rPr>
          <w:rFonts w:hint="eastAsia" w:ascii="仿宋" w:eastAsia="仿宋"/>
          <w:sz w:val="21"/>
        </w:rPr>
        <w:t>SJG</w:t>
      </w:r>
      <w:r>
        <w:rPr>
          <w:rFonts w:hint="eastAsia" w:ascii="仿宋" w:eastAsia="仿宋"/>
          <w:spacing w:val="-2"/>
          <w:sz w:val="21"/>
        </w:rPr>
        <w:t xml:space="preserve"> </w:t>
      </w:r>
      <w:r>
        <w:rPr>
          <w:sz w:val="21"/>
        </w:rPr>
        <w:t>70</w:t>
      </w:r>
    </w:p>
    <w:p>
      <w:pPr>
        <w:pStyle w:val="5"/>
        <w:spacing w:before="6"/>
        <w:rPr>
          <w:sz w:val="15"/>
        </w:rPr>
      </w:pPr>
    </w:p>
    <w:p>
      <w:pPr>
        <w:pStyle w:val="12"/>
        <w:numPr>
          <w:ilvl w:val="0"/>
          <w:numId w:val="132"/>
        </w:numPr>
        <w:tabs>
          <w:tab w:val="left" w:pos="632"/>
          <w:tab w:val="left" w:pos="633"/>
        </w:tabs>
        <w:spacing w:before="1" w:after="0" w:line="240" w:lineRule="auto"/>
        <w:ind w:left="632" w:right="0" w:hanging="421"/>
        <w:jc w:val="left"/>
        <w:rPr>
          <w:sz w:val="21"/>
        </w:rPr>
      </w:pPr>
      <w:r>
        <w:rPr>
          <w:spacing w:val="-1"/>
          <w:sz w:val="21"/>
        </w:rPr>
        <w:t xml:space="preserve">《智慧城市信息交互技术要求》 </w:t>
      </w:r>
      <w:r>
        <w:rPr>
          <w:rFonts w:hint="eastAsia" w:ascii="仿宋" w:eastAsia="仿宋"/>
          <w:sz w:val="21"/>
        </w:rPr>
        <w:t>YDB</w:t>
      </w:r>
      <w:r>
        <w:rPr>
          <w:rFonts w:hint="eastAsia" w:ascii="仿宋" w:eastAsia="仿宋"/>
          <w:spacing w:val="-4"/>
          <w:sz w:val="21"/>
        </w:rPr>
        <w:t xml:space="preserve"> </w:t>
      </w:r>
      <w:r>
        <w:rPr>
          <w:sz w:val="21"/>
        </w:rPr>
        <w:t>145</w:t>
      </w:r>
    </w:p>
    <w:p>
      <w:pPr>
        <w:pStyle w:val="5"/>
        <w:spacing w:before="6"/>
        <w:rPr>
          <w:sz w:val="15"/>
        </w:rPr>
      </w:pPr>
    </w:p>
    <w:p>
      <w:pPr>
        <w:pStyle w:val="12"/>
        <w:numPr>
          <w:ilvl w:val="0"/>
          <w:numId w:val="132"/>
        </w:numPr>
        <w:tabs>
          <w:tab w:val="left" w:pos="632"/>
          <w:tab w:val="left" w:pos="633"/>
        </w:tabs>
        <w:spacing w:before="0" w:after="0" w:line="240" w:lineRule="auto"/>
        <w:ind w:left="632" w:right="0" w:hanging="421"/>
        <w:jc w:val="left"/>
        <w:rPr>
          <w:sz w:val="21"/>
        </w:rPr>
      </w:pPr>
      <w:r>
        <w:rPr>
          <w:spacing w:val="-1"/>
          <w:sz w:val="21"/>
        </w:rPr>
        <w:t xml:space="preserve">《多层工业建筑无障碍指南》 </w:t>
      </w:r>
      <w:r>
        <w:rPr>
          <w:rFonts w:hint="eastAsia" w:ascii="仿宋" w:eastAsia="仿宋"/>
          <w:sz w:val="21"/>
        </w:rPr>
        <w:t>T/CAPPD</w:t>
      </w:r>
      <w:r>
        <w:rPr>
          <w:rFonts w:hint="eastAsia" w:ascii="仿宋" w:eastAsia="仿宋"/>
          <w:spacing w:val="-4"/>
          <w:sz w:val="21"/>
        </w:rPr>
        <w:t xml:space="preserve"> </w:t>
      </w:r>
      <w:r>
        <w:rPr>
          <w:sz w:val="21"/>
        </w:rPr>
        <w:t>2</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rFonts w:hint="eastAsia" w:ascii="仿宋" w:eastAsia="仿宋"/>
          <w:sz w:val="21"/>
        </w:rPr>
      </w:pPr>
      <w:r>
        <w:rPr>
          <w:sz w:val="21"/>
        </w:rPr>
        <w:t>《室内工作场所照明》</w:t>
      </w:r>
      <w:r>
        <w:rPr>
          <w:rFonts w:hint="eastAsia" w:ascii="仿宋" w:eastAsia="仿宋"/>
          <w:sz w:val="21"/>
        </w:rPr>
        <w:t>S008/E</w:t>
      </w:r>
    </w:p>
    <w:p>
      <w:pPr>
        <w:pStyle w:val="5"/>
        <w:spacing w:before="7"/>
        <w:rPr>
          <w:rFonts w:ascii="仿宋"/>
          <w:sz w:val="15"/>
        </w:rPr>
      </w:pPr>
    </w:p>
    <w:p>
      <w:pPr>
        <w:pStyle w:val="12"/>
        <w:numPr>
          <w:ilvl w:val="0"/>
          <w:numId w:val="132"/>
        </w:numPr>
        <w:tabs>
          <w:tab w:val="left" w:pos="632"/>
          <w:tab w:val="left" w:pos="633"/>
        </w:tabs>
        <w:spacing w:before="0" w:after="0" w:line="240" w:lineRule="auto"/>
        <w:ind w:left="632" w:right="0" w:hanging="421"/>
        <w:jc w:val="left"/>
        <w:rPr>
          <w:rFonts w:hint="eastAsia" w:ascii="仿宋" w:eastAsia="仿宋"/>
          <w:sz w:val="21"/>
        </w:rPr>
      </w:pPr>
      <w:r>
        <w:rPr>
          <w:sz w:val="21"/>
        </w:rPr>
        <w:t>《</w:t>
      </w:r>
      <w:r>
        <w:rPr>
          <w:rFonts w:hint="eastAsia" w:ascii="仿宋" w:eastAsia="仿宋"/>
          <w:sz w:val="21"/>
        </w:rPr>
        <w:t>ADA</w:t>
      </w:r>
      <w:r>
        <w:rPr>
          <w:rFonts w:hint="eastAsia" w:ascii="仿宋" w:eastAsia="仿宋"/>
          <w:spacing w:val="-2"/>
          <w:sz w:val="21"/>
        </w:rPr>
        <w:t xml:space="preserve"> </w:t>
      </w:r>
      <w:r>
        <w:rPr>
          <w:rFonts w:hint="eastAsia" w:ascii="仿宋" w:eastAsia="仿宋"/>
          <w:sz w:val="21"/>
        </w:rPr>
        <w:t>Standards</w:t>
      </w:r>
      <w:r>
        <w:rPr>
          <w:rFonts w:hint="eastAsia" w:ascii="仿宋" w:eastAsia="仿宋"/>
          <w:spacing w:val="-1"/>
          <w:sz w:val="21"/>
        </w:rPr>
        <w:t xml:space="preserve"> </w:t>
      </w:r>
      <w:r>
        <w:rPr>
          <w:rFonts w:hint="eastAsia" w:ascii="仿宋" w:eastAsia="仿宋"/>
          <w:sz w:val="21"/>
        </w:rPr>
        <w:t>for</w:t>
      </w:r>
      <w:r>
        <w:rPr>
          <w:rFonts w:hint="eastAsia" w:ascii="仿宋" w:eastAsia="仿宋"/>
          <w:spacing w:val="-2"/>
          <w:sz w:val="21"/>
        </w:rPr>
        <w:t xml:space="preserve"> </w:t>
      </w:r>
      <w:r>
        <w:rPr>
          <w:rFonts w:hint="eastAsia" w:ascii="仿宋" w:eastAsia="仿宋"/>
          <w:sz w:val="21"/>
        </w:rPr>
        <w:t>Accessible</w:t>
      </w:r>
      <w:r>
        <w:rPr>
          <w:rFonts w:hint="eastAsia" w:ascii="仿宋" w:eastAsia="仿宋"/>
          <w:spacing w:val="1"/>
          <w:sz w:val="21"/>
        </w:rPr>
        <w:t xml:space="preserve"> </w:t>
      </w:r>
      <w:r>
        <w:rPr>
          <w:rFonts w:hint="eastAsia" w:ascii="仿宋" w:eastAsia="仿宋"/>
          <w:sz w:val="21"/>
        </w:rPr>
        <w:t>Design</w:t>
      </w:r>
      <w:r>
        <w:rPr>
          <w:sz w:val="21"/>
        </w:rPr>
        <w:t>》</w:t>
      </w:r>
      <w:r>
        <w:rPr>
          <w:rFonts w:hint="eastAsia" w:ascii="仿宋" w:eastAsia="仿宋"/>
          <w:sz w:val="21"/>
        </w:rPr>
        <w:t>America</w:t>
      </w:r>
      <w:r>
        <w:rPr>
          <w:spacing w:val="-1"/>
          <w:sz w:val="21"/>
        </w:rPr>
        <w:t xml:space="preserve">, </w:t>
      </w:r>
      <w:r>
        <w:rPr>
          <w:rFonts w:hint="eastAsia" w:ascii="仿宋" w:eastAsia="仿宋"/>
          <w:sz w:val="21"/>
        </w:rPr>
        <w:t>Department of</w:t>
      </w:r>
      <w:r>
        <w:rPr>
          <w:rFonts w:hint="eastAsia" w:ascii="仿宋" w:eastAsia="仿宋"/>
          <w:spacing w:val="-1"/>
          <w:sz w:val="21"/>
        </w:rPr>
        <w:t xml:space="preserve"> </w:t>
      </w:r>
      <w:r>
        <w:rPr>
          <w:rFonts w:hint="eastAsia" w:ascii="仿宋" w:eastAsia="仿宋"/>
          <w:sz w:val="21"/>
        </w:rPr>
        <w:t>Justice</w:t>
      </w:r>
    </w:p>
    <w:p>
      <w:pPr>
        <w:pStyle w:val="5"/>
        <w:spacing w:before="6"/>
        <w:rPr>
          <w:rFonts w:ascii="仿宋"/>
          <w:sz w:val="15"/>
        </w:rPr>
      </w:pPr>
    </w:p>
    <w:p>
      <w:pPr>
        <w:pStyle w:val="12"/>
        <w:numPr>
          <w:ilvl w:val="0"/>
          <w:numId w:val="132"/>
        </w:numPr>
        <w:tabs>
          <w:tab w:val="left" w:pos="632"/>
          <w:tab w:val="left" w:pos="633"/>
        </w:tabs>
        <w:spacing w:before="1" w:after="0" w:line="240" w:lineRule="auto"/>
        <w:ind w:left="632" w:right="0" w:hanging="421"/>
        <w:jc w:val="left"/>
        <w:rPr>
          <w:rFonts w:hint="eastAsia" w:ascii="仿宋" w:eastAsia="仿宋"/>
          <w:sz w:val="21"/>
        </w:rPr>
      </w:pPr>
      <w:r>
        <w:rPr>
          <w:sz w:val="21"/>
        </w:rPr>
        <w:t>《</w:t>
      </w:r>
      <w:r>
        <w:rPr>
          <w:rFonts w:hint="eastAsia" w:ascii="仿宋" w:eastAsia="仿宋"/>
          <w:sz w:val="21"/>
        </w:rPr>
        <w:t>Building</w:t>
      </w:r>
      <w:r>
        <w:rPr>
          <w:rFonts w:hint="eastAsia" w:ascii="仿宋" w:eastAsia="仿宋"/>
          <w:spacing w:val="-55"/>
          <w:sz w:val="21"/>
        </w:rPr>
        <w:t xml:space="preserve"> </w:t>
      </w:r>
      <w:r>
        <w:rPr>
          <w:rFonts w:hint="eastAsia" w:ascii="仿宋" w:eastAsia="仿宋"/>
          <w:sz w:val="21"/>
        </w:rPr>
        <w:t>for</w:t>
      </w:r>
      <w:r>
        <w:rPr>
          <w:rFonts w:hint="eastAsia" w:ascii="仿宋" w:eastAsia="仿宋"/>
          <w:spacing w:val="-55"/>
          <w:sz w:val="21"/>
        </w:rPr>
        <w:t xml:space="preserve"> </w:t>
      </w:r>
      <w:r>
        <w:rPr>
          <w:rFonts w:hint="eastAsia" w:ascii="仿宋" w:eastAsia="仿宋"/>
          <w:sz w:val="21"/>
        </w:rPr>
        <w:t>Everyone</w:t>
      </w:r>
      <w:r>
        <w:rPr>
          <w:spacing w:val="-28"/>
          <w:sz w:val="21"/>
        </w:rPr>
        <w:t xml:space="preserve">: </w:t>
      </w:r>
      <w:r>
        <w:rPr>
          <w:rFonts w:hint="eastAsia" w:ascii="仿宋" w:eastAsia="仿宋"/>
          <w:sz w:val="21"/>
        </w:rPr>
        <w:t>A</w:t>
      </w:r>
      <w:r>
        <w:rPr>
          <w:rFonts w:hint="eastAsia" w:ascii="仿宋" w:eastAsia="仿宋"/>
          <w:spacing w:val="-53"/>
          <w:sz w:val="21"/>
        </w:rPr>
        <w:t xml:space="preserve"> </w:t>
      </w:r>
      <w:r>
        <w:rPr>
          <w:rFonts w:hint="eastAsia" w:ascii="仿宋" w:eastAsia="仿宋"/>
          <w:sz w:val="21"/>
        </w:rPr>
        <w:t>Universal</w:t>
      </w:r>
      <w:r>
        <w:rPr>
          <w:rFonts w:hint="eastAsia" w:ascii="仿宋" w:eastAsia="仿宋"/>
          <w:spacing w:val="-53"/>
          <w:sz w:val="21"/>
        </w:rPr>
        <w:t xml:space="preserve"> </w:t>
      </w:r>
      <w:r>
        <w:rPr>
          <w:rFonts w:hint="eastAsia" w:ascii="仿宋" w:eastAsia="仿宋"/>
          <w:sz w:val="21"/>
        </w:rPr>
        <w:t>Design</w:t>
      </w:r>
      <w:r>
        <w:rPr>
          <w:rFonts w:hint="eastAsia" w:ascii="仿宋" w:eastAsia="仿宋"/>
          <w:spacing w:val="-55"/>
          <w:sz w:val="21"/>
        </w:rPr>
        <w:t xml:space="preserve"> </w:t>
      </w:r>
      <w:r>
        <w:rPr>
          <w:rFonts w:hint="eastAsia" w:ascii="仿宋" w:eastAsia="仿宋"/>
          <w:sz w:val="21"/>
        </w:rPr>
        <w:t>Approach</w:t>
      </w:r>
      <w:r>
        <w:rPr>
          <w:spacing w:val="31"/>
          <w:sz w:val="21"/>
        </w:rPr>
        <w:t>》</w:t>
      </w:r>
      <w:r>
        <w:rPr>
          <w:rFonts w:hint="eastAsia" w:ascii="仿宋" w:eastAsia="仿宋"/>
          <w:sz w:val="21"/>
        </w:rPr>
        <w:t>Ireland</w:t>
      </w:r>
      <w:r>
        <w:rPr>
          <w:spacing w:val="-27"/>
          <w:sz w:val="21"/>
        </w:rPr>
        <w:t xml:space="preserve">, </w:t>
      </w:r>
      <w:r>
        <w:rPr>
          <w:rFonts w:hint="eastAsia" w:ascii="仿宋" w:eastAsia="仿宋"/>
          <w:sz w:val="21"/>
        </w:rPr>
        <w:t>National</w:t>
      </w:r>
      <w:r>
        <w:rPr>
          <w:rFonts w:hint="eastAsia" w:ascii="仿宋" w:eastAsia="仿宋"/>
          <w:spacing w:val="-55"/>
          <w:sz w:val="21"/>
        </w:rPr>
        <w:t xml:space="preserve"> </w:t>
      </w:r>
      <w:r>
        <w:rPr>
          <w:rFonts w:hint="eastAsia" w:ascii="仿宋" w:eastAsia="仿宋"/>
          <w:sz w:val="21"/>
        </w:rPr>
        <w:t>Disability</w:t>
      </w:r>
      <w:r>
        <w:rPr>
          <w:rFonts w:hint="eastAsia" w:ascii="仿宋" w:eastAsia="仿宋"/>
          <w:spacing w:val="-53"/>
          <w:sz w:val="21"/>
        </w:rPr>
        <w:t xml:space="preserve"> </w:t>
      </w:r>
      <w:r>
        <w:rPr>
          <w:rFonts w:hint="eastAsia" w:ascii="仿宋" w:eastAsia="仿宋"/>
          <w:sz w:val="21"/>
        </w:rPr>
        <w:t>Authority</w:t>
      </w:r>
    </w:p>
    <w:p>
      <w:pPr>
        <w:pStyle w:val="5"/>
        <w:spacing w:before="6"/>
        <w:rPr>
          <w:rFonts w:ascii="仿宋"/>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《高齢者、障害者等の円滑な移動等に配慮した建築設計標準》日本，国土交通省</w:t>
      </w:r>
    </w:p>
    <w:p>
      <w:pPr>
        <w:pStyle w:val="5"/>
        <w:spacing w:before="7"/>
        <w:rPr>
          <w:sz w:val="15"/>
        </w:rPr>
      </w:pPr>
    </w:p>
    <w:p>
      <w:pPr>
        <w:pStyle w:val="12"/>
        <w:numPr>
          <w:ilvl w:val="0"/>
          <w:numId w:val="132"/>
        </w:numPr>
        <w:tabs>
          <w:tab w:val="left" w:pos="632"/>
          <w:tab w:val="left" w:pos="633"/>
        </w:tabs>
        <w:spacing w:before="0" w:after="0" w:line="240" w:lineRule="auto"/>
        <w:ind w:left="632" w:right="0" w:hanging="421"/>
        <w:jc w:val="left"/>
        <w:rPr>
          <w:rFonts w:hint="eastAsia" w:ascii="仿宋" w:eastAsia="仿宋"/>
          <w:sz w:val="21"/>
        </w:rPr>
      </w:pPr>
      <w:r>
        <w:rPr>
          <w:sz w:val="21"/>
        </w:rPr>
        <w:t>《</w:t>
      </w:r>
      <w:r>
        <w:rPr>
          <w:rFonts w:hint="eastAsia" w:ascii="仿宋" w:eastAsia="仿宋"/>
          <w:sz w:val="21"/>
        </w:rPr>
        <w:t>Design</w:t>
      </w:r>
      <w:r>
        <w:rPr>
          <w:rFonts w:hint="eastAsia" w:ascii="仿宋" w:eastAsia="仿宋"/>
          <w:spacing w:val="-55"/>
          <w:sz w:val="21"/>
        </w:rPr>
        <w:t xml:space="preserve"> </w:t>
      </w:r>
      <w:r>
        <w:rPr>
          <w:rFonts w:hint="eastAsia" w:ascii="仿宋" w:eastAsia="仿宋"/>
          <w:sz w:val="21"/>
        </w:rPr>
        <w:t>of</w:t>
      </w:r>
      <w:r>
        <w:rPr>
          <w:rFonts w:hint="eastAsia" w:ascii="仿宋" w:eastAsia="仿宋"/>
          <w:spacing w:val="-53"/>
          <w:sz w:val="21"/>
        </w:rPr>
        <w:t xml:space="preserve"> </w:t>
      </w:r>
      <w:r>
        <w:rPr>
          <w:rFonts w:hint="eastAsia" w:ascii="仿宋" w:eastAsia="仿宋"/>
          <w:sz w:val="21"/>
        </w:rPr>
        <w:t>an</w:t>
      </w:r>
      <w:r>
        <w:rPr>
          <w:rFonts w:hint="eastAsia" w:ascii="仿宋" w:eastAsia="仿宋"/>
          <w:spacing w:val="-54"/>
          <w:sz w:val="21"/>
        </w:rPr>
        <w:t xml:space="preserve"> </w:t>
      </w:r>
      <w:r>
        <w:rPr>
          <w:rFonts w:hint="eastAsia" w:ascii="仿宋" w:eastAsia="仿宋"/>
          <w:sz w:val="21"/>
        </w:rPr>
        <w:t>accessible</w:t>
      </w:r>
      <w:r>
        <w:rPr>
          <w:rFonts w:hint="eastAsia" w:ascii="仿宋" w:eastAsia="仿宋"/>
          <w:spacing w:val="-55"/>
          <w:sz w:val="21"/>
        </w:rPr>
        <w:t xml:space="preserve"> </w:t>
      </w:r>
      <w:r>
        <w:rPr>
          <w:rFonts w:hint="eastAsia" w:ascii="仿宋" w:eastAsia="仿宋"/>
          <w:sz w:val="21"/>
        </w:rPr>
        <w:t>and</w:t>
      </w:r>
      <w:r>
        <w:rPr>
          <w:rFonts w:hint="eastAsia" w:ascii="仿宋" w:eastAsia="仿宋"/>
          <w:spacing w:val="-55"/>
          <w:sz w:val="21"/>
        </w:rPr>
        <w:t xml:space="preserve"> </w:t>
      </w:r>
      <w:r>
        <w:rPr>
          <w:rFonts w:hint="eastAsia" w:ascii="仿宋" w:eastAsia="仿宋"/>
          <w:sz w:val="21"/>
        </w:rPr>
        <w:t>inclusive</w:t>
      </w:r>
      <w:r>
        <w:rPr>
          <w:rFonts w:hint="eastAsia" w:ascii="仿宋" w:eastAsia="仿宋"/>
          <w:spacing w:val="-52"/>
          <w:sz w:val="21"/>
        </w:rPr>
        <w:t xml:space="preserve"> </w:t>
      </w:r>
      <w:r>
        <w:rPr>
          <w:rFonts w:hint="eastAsia" w:ascii="仿宋" w:eastAsia="仿宋"/>
          <w:sz w:val="21"/>
        </w:rPr>
        <w:t>built</w:t>
      </w:r>
      <w:r>
        <w:rPr>
          <w:rFonts w:hint="eastAsia" w:ascii="仿宋" w:eastAsia="仿宋"/>
          <w:spacing w:val="-53"/>
          <w:sz w:val="21"/>
        </w:rPr>
        <w:t xml:space="preserve"> </w:t>
      </w:r>
      <w:r>
        <w:rPr>
          <w:rFonts w:hint="eastAsia" w:ascii="仿宋" w:eastAsia="仿宋"/>
          <w:sz w:val="21"/>
        </w:rPr>
        <w:t>environment</w:t>
      </w:r>
      <w:r>
        <w:rPr>
          <w:spacing w:val="-37"/>
          <w:sz w:val="21"/>
        </w:rPr>
        <w:t>》</w:t>
      </w:r>
      <w:r>
        <w:rPr>
          <w:rFonts w:hint="eastAsia" w:ascii="仿宋" w:eastAsia="仿宋"/>
          <w:spacing w:val="-4"/>
          <w:sz w:val="21"/>
        </w:rPr>
        <w:t>Britain</w:t>
      </w:r>
      <w:r>
        <w:rPr>
          <w:spacing w:val="-4"/>
          <w:sz w:val="21"/>
        </w:rPr>
        <w:t>，</w:t>
      </w:r>
      <w:r>
        <w:rPr>
          <w:rFonts w:hint="eastAsia" w:ascii="仿宋" w:eastAsia="仿宋"/>
          <w:spacing w:val="-4"/>
          <w:sz w:val="21"/>
        </w:rPr>
        <w:t>BSI</w:t>
      </w:r>
      <w:r>
        <w:rPr>
          <w:rFonts w:hint="eastAsia" w:ascii="仿宋" w:eastAsia="仿宋"/>
          <w:spacing w:val="-55"/>
          <w:sz w:val="21"/>
        </w:rPr>
        <w:t xml:space="preserve"> </w:t>
      </w:r>
      <w:r>
        <w:rPr>
          <w:rFonts w:hint="eastAsia" w:ascii="仿宋" w:eastAsia="仿宋"/>
          <w:sz w:val="21"/>
        </w:rPr>
        <w:t>Standards</w:t>
      </w:r>
      <w:r>
        <w:rPr>
          <w:rFonts w:hint="eastAsia" w:ascii="仿宋" w:eastAsia="仿宋"/>
          <w:spacing w:val="-52"/>
          <w:sz w:val="21"/>
        </w:rPr>
        <w:t xml:space="preserve"> </w:t>
      </w:r>
      <w:r>
        <w:rPr>
          <w:rFonts w:hint="eastAsia" w:ascii="仿宋" w:eastAsia="仿宋"/>
          <w:sz w:val="21"/>
        </w:rPr>
        <w:t>Publication</w:t>
      </w:r>
    </w:p>
    <w:p>
      <w:pPr>
        <w:pStyle w:val="5"/>
        <w:spacing w:before="7"/>
        <w:rPr>
          <w:rFonts w:ascii="仿宋"/>
          <w:sz w:val="15"/>
        </w:rPr>
      </w:pPr>
    </w:p>
    <w:p>
      <w:pPr>
        <w:pStyle w:val="12"/>
        <w:numPr>
          <w:ilvl w:val="0"/>
          <w:numId w:val="132"/>
        </w:numPr>
        <w:tabs>
          <w:tab w:val="left" w:pos="632"/>
          <w:tab w:val="left" w:pos="633"/>
        </w:tabs>
        <w:spacing w:before="0" w:after="0" w:line="240" w:lineRule="auto"/>
        <w:ind w:left="632" w:right="0" w:hanging="421"/>
        <w:jc w:val="left"/>
        <w:rPr>
          <w:sz w:val="21"/>
        </w:rPr>
      </w:pPr>
      <w:r>
        <w:rPr>
          <w:sz w:val="21"/>
        </w:rPr>
        <w:t>《澳门特区无障碍通用设计建筑指引》澳门，澳门特区政府</w:t>
      </w:r>
    </w:p>
    <w:p>
      <w:pPr>
        <w:pStyle w:val="5"/>
        <w:spacing w:before="6"/>
        <w:rPr>
          <w:sz w:val="15"/>
        </w:rPr>
      </w:pPr>
    </w:p>
    <w:p>
      <w:pPr>
        <w:pStyle w:val="12"/>
        <w:numPr>
          <w:ilvl w:val="0"/>
          <w:numId w:val="132"/>
        </w:numPr>
        <w:tabs>
          <w:tab w:val="left" w:pos="632"/>
          <w:tab w:val="left" w:pos="633"/>
        </w:tabs>
        <w:spacing w:before="1" w:after="0" w:line="240" w:lineRule="auto"/>
        <w:ind w:left="632" w:right="0" w:hanging="421"/>
        <w:jc w:val="left"/>
        <w:rPr>
          <w:sz w:val="21"/>
        </w:rPr>
      </w:pPr>
      <w:r>
        <w:rPr>
          <w:sz w:val="21"/>
        </w:rPr>
        <w:t>《设计手册-畅通无阻的通道》香港，香港屋宇属</w:t>
      </w:r>
    </w:p>
    <w:p>
      <w:pPr>
        <w:spacing w:after="0" w:line="240" w:lineRule="auto"/>
        <w:jc w:val="left"/>
        <w:rPr>
          <w:sz w:val="21"/>
        </w:rPr>
        <w:sectPr>
          <w:pgSz w:w="11910" w:h="16840"/>
          <w:pgMar w:top="1580" w:right="820" w:bottom="1280" w:left="920" w:header="0" w:footer="1015" w:gutter="0"/>
          <w:cols w:space="720" w:num="1"/>
        </w:sectPr>
      </w:pPr>
    </w:p>
    <w:p>
      <w:pPr>
        <w:pStyle w:val="2"/>
        <w:ind w:left="0" w:right="97" w:firstLine="0"/>
        <w:jc w:val="center"/>
        <w:rPr>
          <w:rFonts w:hint="eastAsia" w:ascii="黑体" w:eastAsia="黑体"/>
        </w:rPr>
      </w:pPr>
      <w:r>
        <w:rPr>
          <w:rFonts w:hint="eastAsia" w:ascii="黑体" w:eastAsia="黑体"/>
        </w:rPr>
        <w:t>深圳市工程建设地方标准</w:t>
      </w:r>
    </w:p>
    <w:p>
      <w:pPr>
        <w:pStyle w:val="5"/>
        <w:rPr>
          <w:rFonts w:ascii="黑体"/>
          <w:b/>
          <w:sz w:val="32"/>
        </w:rPr>
      </w:pPr>
    </w:p>
    <w:p>
      <w:pPr>
        <w:pStyle w:val="5"/>
        <w:spacing w:before="5"/>
        <w:rPr>
          <w:rFonts w:ascii="黑体"/>
          <w:b/>
          <w:sz w:val="25"/>
        </w:rPr>
      </w:pPr>
    </w:p>
    <w:p>
      <w:pPr>
        <w:spacing w:before="0"/>
        <w:ind w:left="0" w:right="92" w:firstLine="0"/>
        <w:jc w:val="center"/>
        <w:rPr>
          <w:b/>
          <w:sz w:val="48"/>
        </w:rPr>
      </w:pPr>
      <w:r>
        <w:rPr>
          <w:b/>
          <w:sz w:val="48"/>
        </w:rPr>
        <w:t>无障碍设计标准</w:t>
      </w:r>
    </w:p>
    <w:p>
      <w:pPr>
        <w:pStyle w:val="5"/>
        <w:rPr>
          <w:b/>
          <w:sz w:val="48"/>
        </w:rPr>
      </w:pPr>
    </w:p>
    <w:p>
      <w:pPr>
        <w:pStyle w:val="5"/>
        <w:spacing w:before="1"/>
        <w:rPr>
          <w:b/>
          <w:sz w:val="59"/>
        </w:rPr>
      </w:pPr>
    </w:p>
    <w:p>
      <w:pPr>
        <w:pStyle w:val="3"/>
        <w:ind w:right="98"/>
      </w:pPr>
      <w:r>
        <w:rPr>
          <w:rFonts w:ascii="仿宋" w:hAnsi="仿宋"/>
        </w:rPr>
        <w:t xml:space="preserve">SJG </w:t>
      </w:r>
      <w:r>
        <w:t>103—2021</w:t>
      </w:r>
    </w:p>
    <w:p>
      <w:pPr>
        <w:pStyle w:val="5"/>
        <w:rPr>
          <w:b/>
          <w:sz w:val="30"/>
        </w:rPr>
      </w:pPr>
    </w:p>
    <w:p>
      <w:pPr>
        <w:pStyle w:val="5"/>
        <w:spacing w:before="5"/>
        <w:rPr>
          <w:b/>
          <w:sz w:val="37"/>
        </w:rPr>
      </w:pPr>
    </w:p>
    <w:p>
      <w:pPr>
        <w:spacing w:before="0"/>
        <w:ind w:left="0" w:right="97" w:firstLine="0"/>
        <w:jc w:val="center"/>
        <w:rPr>
          <w:b/>
          <w:sz w:val="30"/>
        </w:rPr>
      </w:pPr>
      <w:r>
        <w:rPr>
          <w:b/>
          <w:sz w:val="30"/>
        </w:rPr>
        <w:t>条文说明</w:t>
      </w:r>
    </w:p>
    <w:p>
      <w:pPr>
        <w:spacing w:after="0"/>
        <w:jc w:val="center"/>
        <w:rPr>
          <w:sz w:val="30"/>
        </w:rPr>
        <w:sectPr>
          <w:pgSz w:w="11910" w:h="16840"/>
          <w:pgMar w:top="1580" w:right="820" w:bottom="1280" w:left="920" w:header="0" w:footer="1015" w:gutter="0"/>
          <w:cols w:space="720" w:num="1"/>
        </w:sectPr>
      </w:pPr>
    </w:p>
    <w:p>
      <w:pPr>
        <w:pStyle w:val="5"/>
        <w:rPr>
          <w:b/>
          <w:sz w:val="20"/>
        </w:rPr>
      </w:pPr>
    </w:p>
    <w:p>
      <w:pPr>
        <w:pStyle w:val="5"/>
        <w:rPr>
          <w:b/>
          <w:sz w:val="20"/>
        </w:rPr>
      </w:pPr>
    </w:p>
    <w:p>
      <w:pPr>
        <w:pStyle w:val="5"/>
        <w:rPr>
          <w:b/>
          <w:sz w:val="20"/>
        </w:rPr>
      </w:pPr>
    </w:p>
    <w:p>
      <w:pPr>
        <w:pStyle w:val="5"/>
        <w:spacing w:before="6"/>
        <w:rPr>
          <w:b/>
          <w:sz w:val="15"/>
        </w:rPr>
      </w:pPr>
    </w:p>
    <w:p>
      <w:pPr>
        <w:pStyle w:val="4"/>
        <w:spacing w:before="62"/>
      </w:pPr>
      <w:r>
        <w:t>目次</w:t>
      </w:r>
    </w:p>
    <w:p>
      <w:pPr>
        <w:tabs>
          <w:tab w:val="left" w:pos="419"/>
          <w:tab w:val="left" w:leader="dot" w:pos="9427"/>
        </w:tabs>
        <w:spacing w:before="281"/>
        <w:ind w:left="0" w:right="322" w:firstLine="0"/>
        <w:jc w:val="right"/>
        <w:rPr>
          <w:rFonts w:ascii="Calibri" w:eastAsia="Calibri"/>
          <w:b/>
          <w:sz w:val="20"/>
        </w:rPr>
      </w:pPr>
      <w:r>
        <w:fldChar w:fldCharType="begin"/>
      </w:r>
      <w:r>
        <w:instrText xml:space="preserve"> HYPERLINK \l "_bookmark30" </w:instrText>
      </w:r>
      <w:r>
        <w:fldChar w:fldCharType="separate"/>
      </w:r>
      <w:r>
        <w:rPr>
          <w:b/>
          <w:sz w:val="20"/>
        </w:rPr>
        <w:t>1</w:t>
      </w:r>
      <w:r>
        <w:rPr>
          <w:b/>
          <w:sz w:val="20"/>
        </w:rPr>
        <w:tab/>
      </w:r>
      <w:r>
        <w:rPr>
          <w:b/>
          <w:sz w:val="20"/>
        </w:rPr>
        <w:t>总则</w:t>
      </w:r>
      <w:r>
        <w:rPr>
          <w:b/>
          <w:sz w:val="20"/>
        </w:rPr>
        <w:tab/>
      </w:r>
      <w:r>
        <w:rPr>
          <w:rFonts w:ascii="Calibri" w:eastAsia="Calibri"/>
          <w:b/>
          <w:spacing w:val="-1"/>
          <w:w w:val="95"/>
          <w:sz w:val="20"/>
        </w:rPr>
        <w:t>57</w:t>
      </w:r>
      <w:r>
        <w:rPr>
          <w:rFonts w:ascii="Calibri" w:eastAsia="Calibri"/>
          <w:b/>
          <w:spacing w:val="-1"/>
          <w:w w:val="95"/>
          <w:sz w:val="20"/>
        </w:rPr>
        <w:fldChar w:fldCharType="end"/>
      </w:r>
    </w:p>
    <w:p>
      <w:pPr>
        <w:pStyle w:val="12"/>
        <w:numPr>
          <w:ilvl w:val="0"/>
          <w:numId w:val="133"/>
        </w:numPr>
        <w:tabs>
          <w:tab w:val="left" w:pos="419"/>
          <w:tab w:val="left" w:pos="420"/>
          <w:tab w:val="left" w:leader="dot" w:pos="9427"/>
        </w:tabs>
        <w:spacing w:before="175" w:after="0" w:line="240" w:lineRule="auto"/>
        <w:ind w:left="632" w:right="322" w:hanging="633"/>
        <w:jc w:val="right"/>
        <w:rPr>
          <w:rFonts w:ascii="Calibri" w:eastAsia="Calibri"/>
          <w:b/>
          <w:sz w:val="20"/>
        </w:rPr>
      </w:pPr>
      <w:r>
        <w:fldChar w:fldCharType="begin"/>
      </w:r>
      <w:r>
        <w:instrText xml:space="preserve"> HYPERLINK \l "_bookmark31" </w:instrText>
      </w:r>
      <w:r>
        <w:fldChar w:fldCharType="separate"/>
      </w:r>
      <w:r>
        <w:rPr>
          <w:b/>
          <w:sz w:val="20"/>
        </w:rPr>
        <w:t>基本规定</w:t>
      </w:r>
      <w:r>
        <w:rPr>
          <w:b/>
          <w:sz w:val="20"/>
        </w:rPr>
        <w:tab/>
      </w:r>
      <w:r>
        <w:rPr>
          <w:rFonts w:ascii="Calibri" w:eastAsia="Calibri"/>
          <w:b/>
          <w:spacing w:val="-1"/>
          <w:w w:val="95"/>
          <w:sz w:val="20"/>
        </w:rPr>
        <w:t>58</w:t>
      </w:r>
      <w:r>
        <w:rPr>
          <w:rFonts w:ascii="Calibri" w:eastAsia="Calibri"/>
          <w:b/>
          <w:spacing w:val="-1"/>
          <w:w w:val="95"/>
          <w:sz w:val="20"/>
        </w:rPr>
        <w:fldChar w:fldCharType="end"/>
      </w:r>
    </w:p>
    <w:p>
      <w:pPr>
        <w:pStyle w:val="12"/>
        <w:numPr>
          <w:ilvl w:val="0"/>
          <w:numId w:val="133"/>
        </w:numPr>
        <w:tabs>
          <w:tab w:val="left" w:pos="419"/>
          <w:tab w:val="left" w:pos="420"/>
          <w:tab w:val="left" w:leader="dot" w:pos="9427"/>
        </w:tabs>
        <w:spacing w:before="176" w:after="0" w:line="240" w:lineRule="auto"/>
        <w:ind w:left="632" w:right="322" w:hanging="633"/>
        <w:jc w:val="right"/>
        <w:rPr>
          <w:rFonts w:ascii="Calibri" w:eastAsia="Calibri"/>
          <w:b/>
          <w:sz w:val="20"/>
        </w:rPr>
      </w:pPr>
      <w:r>
        <w:fldChar w:fldCharType="begin"/>
      </w:r>
      <w:r>
        <w:instrText xml:space="preserve"> HYPERLINK \l "_bookmark32" </w:instrText>
      </w:r>
      <w:r>
        <w:fldChar w:fldCharType="separate"/>
      </w:r>
      <w:r>
        <w:rPr>
          <w:b/>
          <w:sz w:val="20"/>
        </w:rPr>
        <w:t>无障碍设施的设计要求</w:t>
      </w:r>
      <w:r>
        <w:rPr>
          <w:b/>
          <w:sz w:val="20"/>
        </w:rPr>
        <w:tab/>
      </w:r>
      <w:r>
        <w:rPr>
          <w:rFonts w:ascii="Calibri" w:eastAsia="Calibri"/>
          <w:b/>
          <w:spacing w:val="-1"/>
          <w:w w:val="95"/>
          <w:sz w:val="20"/>
        </w:rPr>
        <w:t>59</w:t>
      </w:r>
      <w:r>
        <w:rPr>
          <w:rFonts w:ascii="Calibri" w:eastAsia="Calibri"/>
          <w:b/>
          <w:spacing w:val="-1"/>
          <w:w w:val="95"/>
          <w:sz w:val="20"/>
        </w:rPr>
        <w:fldChar w:fldCharType="end"/>
      </w:r>
    </w:p>
    <w:p>
      <w:pPr>
        <w:pStyle w:val="12"/>
        <w:numPr>
          <w:ilvl w:val="1"/>
          <w:numId w:val="133"/>
        </w:numPr>
        <w:tabs>
          <w:tab w:val="left" w:pos="1052"/>
          <w:tab w:val="left" w:pos="1053"/>
          <w:tab w:val="left" w:leader="dot" w:pos="9639"/>
        </w:tabs>
        <w:spacing w:before="176" w:after="0" w:line="240" w:lineRule="auto"/>
        <w:ind w:left="1052" w:right="0" w:hanging="629"/>
        <w:jc w:val="left"/>
        <w:rPr>
          <w:rFonts w:ascii="Calibri" w:eastAsia="Calibri"/>
          <w:sz w:val="20"/>
        </w:rPr>
      </w:pPr>
      <w:r>
        <w:fldChar w:fldCharType="begin"/>
      </w:r>
      <w:r>
        <w:instrText xml:space="preserve"> HYPERLINK \l "_bookmark33" </w:instrText>
      </w:r>
      <w:r>
        <w:fldChar w:fldCharType="separate"/>
      </w:r>
      <w:r>
        <w:rPr>
          <w:rFonts w:hint="eastAsia" w:ascii="黑体" w:eastAsia="黑体"/>
          <w:sz w:val="20"/>
        </w:rPr>
        <w:t>无障碍通行设施</w:t>
      </w:r>
      <w:r>
        <w:rPr>
          <w:rFonts w:hint="eastAsia" w:ascii="黑体" w:eastAsia="黑体"/>
          <w:sz w:val="20"/>
        </w:rPr>
        <w:tab/>
      </w:r>
      <w:r>
        <w:rPr>
          <w:rFonts w:ascii="Calibri" w:eastAsia="Calibri"/>
          <w:sz w:val="20"/>
        </w:rPr>
        <w:t>59</w:t>
      </w:r>
      <w:r>
        <w:rPr>
          <w:rFonts w:ascii="Calibri" w:eastAsia="Calibri"/>
          <w:sz w:val="20"/>
        </w:rPr>
        <w:fldChar w:fldCharType="end"/>
      </w:r>
    </w:p>
    <w:p>
      <w:pPr>
        <w:pStyle w:val="12"/>
        <w:numPr>
          <w:ilvl w:val="1"/>
          <w:numId w:val="133"/>
        </w:numPr>
        <w:tabs>
          <w:tab w:val="left" w:pos="1052"/>
          <w:tab w:val="left" w:pos="1053"/>
          <w:tab w:val="left" w:leader="dot" w:pos="9639"/>
        </w:tabs>
        <w:spacing w:before="56" w:after="0" w:line="240" w:lineRule="auto"/>
        <w:ind w:left="1052" w:right="0" w:hanging="629"/>
        <w:jc w:val="left"/>
        <w:rPr>
          <w:rFonts w:ascii="Calibri" w:eastAsia="Calibri"/>
          <w:sz w:val="20"/>
        </w:rPr>
      </w:pPr>
      <w:r>
        <w:fldChar w:fldCharType="begin"/>
      </w:r>
      <w:r>
        <w:instrText xml:space="preserve"> HYPERLINK \l "_bookmark34" </w:instrText>
      </w:r>
      <w:r>
        <w:fldChar w:fldCharType="separate"/>
      </w:r>
      <w:r>
        <w:rPr>
          <w:rFonts w:hint="eastAsia" w:ascii="黑体" w:eastAsia="黑体"/>
          <w:sz w:val="20"/>
        </w:rPr>
        <w:t>无障碍服务设施</w:t>
      </w:r>
      <w:r>
        <w:rPr>
          <w:rFonts w:hint="eastAsia" w:ascii="黑体" w:eastAsia="黑体"/>
          <w:sz w:val="20"/>
        </w:rPr>
        <w:tab/>
      </w:r>
      <w:r>
        <w:rPr>
          <w:rFonts w:ascii="Calibri" w:eastAsia="Calibri"/>
          <w:sz w:val="20"/>
        </w:rPr>
        <w:t>71</w:t>
      </w:r>
      <w:r>
        <w:rPr>
          <w:rFonts w:ascii="Calibri" w:eastAsia="Calibri"/>
          <w:sz w:val="20"/>
        </w:rPr>
        <w:fldChar w:fldCharType="end"/>
      </w:r>
    </w:p>
    <w:p>
      <w:pPr>
        <w:pStyle w:val="12"/>
        <w:numPr>
          <w:ilvl w:val="1"/>
          <w:numId w:val="133"/>
        </w:numPr>
        <w:tabs>
          <w:tab w:val="left" w:pos="1052"/>
          <w:tab w:val="left" w:pos="1053"/>
          <w:tab w:val="left" w:leader="dot" w:pos="9639"/>
        </w:tabs>
        <w:spacing w:before="55" w:after="0" w:line="240" w:lineRule="auto"/>
        <w:ind w:left="1052" w:right="0" w:hanging="629"/>
        <w:jc w:val="left"/>
        <w:rPr>
          <w:rFonts w:ascii="Calibri" w:eastAsia="Calibri"/>
          <w:sz w:val="20"/>
        </w:rPr>
      </w:pPr>
      <w:r>
        <w:fldChar w:fldCharType="begin"/>
      </w:r>
      <w:r>
        <w:instrText xml:space="preserve"> HYPERLINK \l "_bookmark35" </w:instrText>
      </w:r>
      <w:r>
        <w:fldChar w:fldCharType="separate"/>
      </w:r>
      <w:r>
        <w:rPr>
          <w:rFonts w:hint="eastAsia" w:ascii="黑体" w:eastAsia="黑体"/>
          <w:sz w:val="20"/>
        </w:rPr>
        <w:t>无障碍信息设施</w:t>
      </w:r>
      <w:r>
        <w:rPr>
          <w:rFonts w:hint="eastAsia" w:ascii="黑体" w:eastAsia="黑体"/>
          <w:sz w:val="20"/>
        </w:rPr>
        <w:tab/>
      </w:r>
      <w:r>
        <w:rPr>
          <w:rFonts w:ascii="Calibri" w:eastAsia="Calibri"/>
          <w:sz w:val="20"/>
        </w:rPr>
        <w:t>80</w:t>
      </w:r>
      <w:r>
        <w:rPr>
          <w:rFonts w:ascii="Calibri" w:eastAsia="Calibri"/>
          <w:sz w:val="20"/>
        </w:rPr>
        <w:fldChar w:fldCharType="end"/>
      </w:r>
    </w:p>
    <w:p>
      <w:pPr>
        <w:pStyle w:val="12"/>
        <w:numPr>
          <w:ilvl w:val="0"/>
          <w:numId w:val="133"/>
        </w:numPr>
        <w:tabs>
          <w:tab w:val="left" w:pos="419"/>
          <w:tab w:val="left" w:pos="420"/>
          <w:tab w:val="left" w:leader="dot" w:pos="9427"/>
        </w:tabs>
        <w:spacing w:before="176" w:after="0" w:line="240" w:lineRule="auto"/>
        <w:ind w:left="632" w:right="322" w:hanging="633"/>
        <w:jc w:val="right"/>
        <w:rPr>
          <w:rFonts w:ascii="Calibri" w:eastAsia="Calibri"/>
          <w:b/>
          <w:sz w:val="20"/>
        </w:rPr>
      </w:pPr>
      <w:r>
        <w:fldChar w:fldCharType="begin"/>
      </w:r>
      <w:r>
        <w:instrText xml:space="preserve"> HYPERLINK \l "_bookmark36" </w:instrText>
      </w:r>
      <w:r>
        <w:fldChar w:fldCharType="separate"/>
      </w:r>
      <w:r>
        <w:rPr>
          <w:b/>
          <w:sz w:val="20"/>
        </w:rPr>
        <w:t>城市道路</w:t>
      </w:r>
      <w:r>
        <w:rPr>
          <w:b/>
          <w:sz w:val="20"/>
        </w:rPr>
        <w:tab/>
      </w:r>
      <w:r>
        <w:rPr>
          <w:rFonts w:ascii="Calibri" w:eastAsia="Calibri"/>
          <w:b/>
          <w:spacing w:val="-1"/>
          <w:w w:val="95"/>
          <w:sz w:val="20"/>
        </w:rPr>
        <w:t>83</w:t>
      </w:r>
      <w:r>
        <w:rPr>
          <w:rFonts w:ascii="Calibri" w:eastAsia="Calibri"/>
          <w:b/>
          <w:spacing w:val="-1"/>
          <w:w w:val="95"/>
          <w:sz w:val="20"/>
        </w:rPr>
        <w:fldChar w:fldCharType="end"/>
      </w:r>
    </w:p>
    <w:p>
      <w:pPr>
        <w:pStyle w:val="12"/>
        <w:numPr>
          <w:ilvl w:val="1"/>
          <w:numId w:val="133"/>
        </w:numPr>
        <w:tabs>
          <w:tab w:val="left" w:pos="1052"/>
          <w:tab w:val="left" w:pos="1053"/>
          <w:tab w:val="left" w:leader="dot" w:pos="9639"/>
        </w:tabs>
        <w:spacing w:before="176" w:after="0" w:line="240" w:lineRule="auto"/>
        <w:ind w:left="1052" w:right="0" w:hanging="629"/>
        <w:jc w:val="left"/>
        <w:rPr>
          <w:rFonts w:ascii="Calibri" w:eastAsia="Calibri"/>
          <w:sz w:val="20"/>
        </w:rPr>
      </w:pPr>
      <w:r>
        <w:fldChar w:fldCharType="begin"/>
      </w:r>
      <w:r>
        <w:instrText xml:space="preserve"> HYPERLINK \l "_bookmark37" </w:instrText>
      </w:r>
      <w:r>
        <w:fldChar w:fldCharType="separate"/>
      </w:r>
      <w:r>
        <w:rPr>
          <w:rFonts w:hint="eastAsia" w:ascii="黑体" w:eastAsia="黑体"/>
          <w:sz w:val="20"/>
        </w:rPr>
        <w:t>一般规定</w:t>
      </w:r>
      <w:r>
        <w:rPr>
          <w:rFonts w:hint="eastAsia" w:ascii="黑体" w:eastAsia="黑体"/>
          <w:sz w:val="20"/>
        </w:rPr>
        <w:tab/>
      </w:r>
      <w:r>
        <w:rPr>
          <w:rFonts w:ascii="Calibri" w:eastAsia="Calibri"/>
          <w:sz w:val="20"/>
        </w:rPr>
        <w:t>83</w:t>
      </w:r>
      <w:r>
        <w:rPr>
          <w:rFonts w:ascii="Calibri" w:eastAsia="Calibri"/>
          <w:sz w:val="20"/>
        </w:rPr>
        <w:fldChar w:fldCharType="end"/>
      </w:r>
    </w:p>
    <w:p>
      <w:pPr>
        <w:pStyle w:val="12"/>
        <w:numPr>
          <w:ilvl w:val="1"/>
          <w:numId w:val="133"/>
        </w:numPr>
        <w:tabs>
          <w:tab w:val="left" w:pos="628"/>
          <w:tab w:val="left" w:pos="1053"/>
          <w:tab w:val="left" w:leader="dot" w:pos="9215"/>
        </w:tabs>
        <w:spacing w:before="56" w:after="0" w:line="240" w:lineRule="auto"/>
        <w:ind w:left="1052" w:right="322" w:hanging="1053"/>
        <w:jc w:val="right"/>
        <w:rPr>
          <w:rFonts w:ascii="Calibri" w:eastAsia="Calibri"/>
          <w:sz w:val="20"/>
        </w:rPr>
      </w:pPr>
      <w:r>
        <w:fldChar w:fldCharType="begin"/>
      </w:r>
      <w:r>
        <w:instrText xml:space="preserve"> HYPERLINK \l "_bookmark38" </w:instrText>
      </w:r>
      <w:r>
        <w:fldChar w:fldCharType="separate"/>
      </w:r>
      <w:r>
        <w:rPr>
          <w:rFonts w:hint="eastAsia" w:ascii="黑体" w:eastAsia="黑体"/>
          <w:sz w:val="20"/>
        </w:rPr>
        <w:t>人行道</w:t>
      </w:r>
      <w:r>
        <w:rPr>
          <w:rFonts w:hint="eastAsia" w:ascii="黑体" w:eastAsia="黑体"/>
          <w:sz w:val="20"/>
        </w:rPr>
        <w:tab/>
      </w:r>
      <w:r>
        <w:rPr>
          <w:rFonts w:ascii="Calibri" w:eastAsia="Calibri"/>
          <w:spacing w:val="-1"/>
          <w:w w:val="95"/>
          <w:sz w:val="20"/>
        </w:rPr>
        <w:t>85</w:t>
      </w:r>
      <w:r>
        <w:rPr>
          <w:rFonts w:ascii="Calibri" w:eastAsia="Calibri"/>
          <w:spacing w:val="-1"/>
          <w:w w:val="95"/>
          <w:sz w:val="20"/>
        </w:rPr>
        <w:fldChar w:fldCharType="end"/>
      </w:r>
    </w:p>
    <w:p>
      <w:pPr>
        <w:pStyle w:val="12"/>
        <w:numPr>
          <w:ilvl w:val="1"/>
          <w:numId w:val="133"/>
        </w:numPr>
        <w:tabs>
          <w:tab w:val="left" w:pos="1052"/>
          <w:tab w:val="left" w:pos="1053"/>
          <w:tab w:val="left" w:leader="dot" w:pos="9639"/>
        </w:tabs>
        <w:spacing w:before="55" w:after="0" w:line="240" w:lineRule="auto"/>
        <w:ind w:left="1052" w:right="0" w:hanging="629"/>
        <w:jc w:val="left"/>
        <w:rPr>
          <w:rFonts w:ascii="Calibri" w:eastAsia="Calibri"/>
          <w:sz w:val="20"/>
        </w:rPr>
      </w:pPr>
      <w:r>
        <w:fldChar w:fldCharType="begin"/>
      </w:r>
      <w:r>
        <w:instrText xml:space="preserve"> HYPERLINK \l "_bookmark39" </w:instrText>
      </w:r>
      <w:r>
        <w:fldChar w:fldCharType="separate"/>
      </w:r>
      <w:r>
        <w:rPr>
          <w:rFonts w:hint="eastAsia" w:ascii="黑体" w:eastAsia="黑体"/>
          <w:sz w:val="20"/>
        </w:rPr>
        <w:t>人行横道</w:t>
      </w:r>
      <w:r>
        <w:rPr>
          <w:rFonts w:hint="eastAsia" w:ascii="黑体" w:eastAsia="黑体"/>
          <w:sz w:val="20"/>
        </w:rPr>
        <w:tab/>
      </w:r>
      <w:r>
        <w:rPr>
          <w:rFonts w:ascii="Calibri" w:eastAsia="Calibri"/>
          <w:sz w:val="20"/>
        </w:rPr>
        <w:t>86</w:t>
      </w:r>
      <w:r>
        <w:rPr>
          <w:rFonts w:ascii="Calibri" w:eastAsia="Calibri"/>
          <w:sz w:val="20"/>
        </w:rPr>
        <w:fldChar w:fldCharType="end"/>
      </w:r>
    </w:p>
    <w:p>
      <w:pPr>
        <w:pStyle w:val="12"/>
        <w:numPr>
          <w:ilvl w:val="1"/>
          <w:numId w:val="133"/>
        </w:numPr>
        <w:tabs>
          <w:tab w:val="left" w:pos="1052"/>
          <w:tab w:val="left" w:pos="1053"/>
          <w:tab w:val="left" w:leader="dot" w:pos="9639"/>
        </w:tabs>
        <w:spacing w:before="56" w:after="0" w:line="240" w:lineRule="auto"/>
        <w:ind w:left="1052" w:right="0" w:hanging="629"/>
        <w:jc w:val="left"/>
        <w:rPr>
          <w:rFonts w:ascii="Calibri" w:eastAsia="Calibri"/>
          <w:sz w:val="20"/>
        </w:rPr>
      </w:pPr>
      <w:r>
        <w:fldChar w:fldCharType="begin"/>
      </w:r>
      <w:r>
        <w:instrText xml:space="preserve"> HYPERLINK \l "_bookmark40" </w:instrText>
      </w:r>
      <w:r>
        <w:fldChar w:fldCharType="separate"/>
      </w:r>
      <w:r>
        <w:rPr>
          <w:rFonts w:hint="eastAsia" w:ascii="黑体" w:eastAsia="黑体"/>
          <w:sz w:val="20"/>
        </w:rPr>
        <w:t>人行天桥及地道</w:t>
      </w:r>
      <w:r>
        <w:rPr>
          <w:rFonts w:hint="eastAsia" w:ascii="黑体" w:eastAsia="黑体"/>
          <w:sz w:val="20"/>
        </w:rPr>
        <w:tab/>
      </w:r>
      <w:r>
        <w:rPr>
          <w:rFonts w:ascii="Calibri" w:eastAsia="Calibri"/>
          <w:sz w:val="20"/>
        </w:rPr>
        <w:t>86</w:t>
      </w:r>
      <w:r>
        <w:rPr>
          <w:rFonts w:ascii="Calibri" w:eastAsia="Calibri"/>
          <w:sz w:val="20"/>
        </w:rPr>
        <w:fldChar w:fldCharType="end"/>
      </w:r>
    </w:p>
    <w:p>
      <w:pPr>
        <w:pStyle w:val="12"/>
        <w:numPr>
          <w:ilvl w:val="1"/>
          <w:numId w:val="133"/>
        </w:numPr>
        <w:tabs>
          <w:tab w:val="left" w:pos="1052"/>
          <w:tab w:val="left" w:pos="1053"/>
          <w:tab w:val="left" w:leader="dot" w:pos="9639"/>
        </w:tabs>
        <w:spacing w:before="56" w:after="0" w:line="240" w:lineRule="auto"/>
        <w:ind w:left="1052" w:right="0" w:hanging="629"/>
        <w:jc w:val="left"/>
        <w:rPr>
          <w:rFonts w:ascii="Calibri" w:eastAsia="Calibri"/>
          <w:sz w:val="20"/>
        </w:rPr>
      </w:pPr>
      <w:r>
        <w:fldChar w:fldCharType="begin"/>
      </w:r>
      <w:r>
        <w:instrText xml:space="preserve"> HYPERLINK \l "_bookmark41" </w:instrText>
      </w:r>
      <w:r>
        <w:fldChar w:fldCharType="separate"/>
      </w:r>
      <w:r>
        <w:rPr>
          <w:rFonts w:hint="eastAsia" w:ascii="黑体" w:eastAsia="黑体"/>
          <w:sz w:val="20"/>
        </w:rPr>
        <w:t>公交车站</w:t>
      </w:r>
      <w:r>
        <w:rPr>
          <w:rFonts w:hint="eastAsia" w:ascii="黑体" w:eastAsia="黑体"/>
          <w:sz w:val="20"/>
        </w:rPr>
        <w:tab/>
      </w:r>
      <w:r>
        <w:rPr>
          <w:rFonts w:ascii="Calibri" w:eastAsia="Calibri"/>
          <w:sz w:val="20"/>
        </w:rPr>
        <w:t>87</w:t>
      </w:r>
      <w:r>
        <w:rPr>
          <w:rFonts w:ascii="Calibri" w:eastAsia="Calibri"/>
          <w:sz w:val="20"/>
        </w:rPr>
        <w:fldChar w:fldCharType="end"/>
      </w:r>
    </w:p>
    <w:p>
      <w:pPr>
        <w:pStyle w:val="12"/>
        <w:numPr>
          <w:ilvl w:val="1"/>
          <w:numId w:val="133"/>
        </w:numPr>
        <w:tabs>
          <w:tab w:val="left" w:pos="1052"/>
          <w:tab w:val="left" w:pos="1053"/>
          <w:tab w:val="left" w:leader="dot" w:pos="9639"/>
        </w:tabs>
        <w:spacing w:before="56" w:after="0" w:line="240" w:lineRule="auto"/>
        <w:ind w:left="1052" w:right="0" w:hanging="629"/>
        <w:jc w:val="left"/>
        <w:rPr>
          <w:rFonts w:ascii="Calibri" w:eastAsia="Calibri"/>
          <w:sz w:val="20"/>
        </w:rPr>
      </w:pPr>
      <w:r>
        <w:fldChar w:fldCharType="begin"/>
      </w:r>
      <w:r>
        <w:instrText xml:space="preserve"> HYPERLINK \l "_bookmark42" </w:instrText>
      </w:r>
      <w:r>
        <w:fldChar w:fldCharType="separate"/>
      </w:r>
      <w:r>
        <w:rPr>
          <w:rFonts w:hint="eastAsia" w:ascii="黑体" w:eastAsia="黑体"/>
          <w:sz w:val="20"/>
        </w:rPr>
        <w:t>自行车停放区</w:t>
      </w:r>
      <w:r>
        <w:rPr>
          <w:rFonts w:hint="eastAsia" w:ascii="黑体" w:eastAsia="黑体"/>
          <w:sz w:val="20"/>
        </w:rPr>
        <w:tab/>
      </w:r>
      <w:r>
        <w:rPr>
          <w:rFonts w:ascii="Calibri" w:eastAsia="Calibri"/>
          <w:sz w:val="20"/>
        </w:rPr>
        <w:t>87</w:t>
      </w:r>
      <w:r>
        <w:rPr>
          <w:rFonts w:ascii="Calibri" w:eastAsia="Calibri"/>
          <w:sz w:val="20"/>
        </w:rPr>
        <w:fldChar w:fldCharType="end"/>
      </w:r>
    </w:p>
    <w:p>
      <w:pPr>
        <w:pStyle w:val="12"/>
        <w:numPr>
          <w:ilvl w:val="0"/>
          <w:numId w:val="133"/>
        </w:numPr>
        <w:tabs>
          <w:tab w:val="left" w:pos="419"/>
          <w:tab w:val="left" w:pos="420"/>
          <w:tab w:val="left" w:leader="dot" w:pos="9427"/>
        </w:tabs>
        <w:spacing w:before="175" w:after="0" w:line="240" w:lineRule="auto"/>
        <w:ind w:left="632" w:right="322" w:hanging="633"/>
        <w:jc w:val="right"/>
        <w:rPr>
          <w:rFonts w:ascii="Calibri" w:eastAsia="Calibri"/>
          <w:b/>
          <w:sz w:val="20"/>
        </w:rPr>
      </w:pPr>
      <w:r>
        <w:fldChar w:fldCharType="begin"/>
      </w:r>
      <w:r>
        <w:instrText xml:space="preserve"> HYPERLINK \l "_bookmark43" </w:instrText>
      </w:r>
      <w:r>
        <w:fldChar w:fldCharType="separate"/>
      </w:r>
      <w:r>
        <w:rPr>
          <w:b/>
          <w:sz w:val="20"/>
        </w:rPr>
        <w:t>城市广场</w:t>
      </w:r>
      <w:r>
        <w:rPr>
          <w:b/>
          <w:sz w:val="20"/>
        </w:rPr>
        <w:tab/>
      </w:r>
      <w:r>
        <w:rPr>
          <w:rFonts w:ascii="Calibri" w:eastAsia="Calibri"/>
          <w:b/>
          <w:spacing w:val="-1"/>
          <w:w w:val="95"/>
          <w:sz w:val="20"/>
        </w:rPr>
        <w:t>88</w:t>
      </w:r>
      <w:r>
        <w:rPr>
          <w:rFonts w:ascii="Calibri" w:eastAsia="Calibri"/>
          <w:b/>
          <w:spacing w:val="-1"/>
          <w:w w:val="95"/>
          <w:sz w:val="20"/>
        </w:rPr>
        <w:fldChar w:fldCharType="end"/>
      </w:r>
    </w:p>
    <w:p>
      <w:pPr>
        <w:pStyle w:val="12"/>
        <w:numPr>
          <w:ilvl w:val="1"/>
          <w:numId w:val="133"/>
        </w:numPr>
        <w:tabs>
          <w:tab w:val="left" w:pos="1052"/>
          <w:tab w:val="left" w:pos="1053"/>
          <w:tab w:val="left" w:leader="dot" w:pos="9639"/>
        </w:tabs>
        <w:spacing w:before="176" w:after="0" w:line="240" w:lineRule="auto"/>
        <w:ind w:left="1052" w:right="0" w:hanging="629"/>
        <w:jc w:val="left"/>
        <w:rPr>
          <w:rFonts w:ascii="Calibri" w:eastAsia="Calibri"/>
          <w:sz w:val="20"/>
        </w:rPr>
      </w:pPr>
      <w:r>
        <w:fldChar w:fldCharType="begin"/>
      </w:r>
      <w:r>
        <w:instrText xml:space="preserve"> HYPERLINK \l "_bookmark44" </w:instrText>
      </w:r>
      <w:r>
        <w:fldChar w:fldCharType="separate"/>
      </w:r>
      <w:r>
        <w:rPr>
          <w:rFonts w:hint="eastAsia" w:ascii="黑体" w:eastAsia="黑体"/>
          <w:sz w:val="20"/>
        </w:rPr>
        <w:t>一般规定</w:t>
      </w:r>
      <w:r>
        <w:rPr>
          <w:rFonts w:hint="eastAsia" w:ascii="黑体" w:eastAsia="黑体"/>
          <w:sz w:val="20"/>
        </w:rPr>
        <w:tab/>
      </w:r>
      <w:r>
        <w:rPr>
          <w:rFonts w:ascii="Calibri" w:eastAsia="Calibri"/>
          <w:sz w:val="20"/>
        </w:rPr>
        <w:t>88</w:t>
      </w:r>
      <w:r>
        <w:rPr>
          <w:rFonts w:ascii="Calibri" w:eastAsia="Calibri"/>
          <w:sz w:val="20"/>
        </w:rPr>
        <w:fldChar w:fldCharType="end"/>
      </w:r>
    </w:p>
    <w:p>
      <w:pPr>
        <w:pStyle w:val="12"/>
        <w:numPr>
          <w:ilvl w:val="1"/>
          <w:numId w:val="133"/>
        </w:numPr>
        <w:tabs>
          <w:tab w:val="left" w:pos="1052"/>
          <w:tab w:val="left" w:pos="1053"/>
          <w:tab w:val="left" w:leader="dot" w:pos="9639"/>
        </w:tabs>
        <w:spacing w:before="56" w:after="0" w:line="240" w:lineRule="auto"/>
        <w:ind w:left="1052" w:right="0" w:hanging="629"/>
        <w:jc w:val="left"/>
        <w:rPr>
          <w:rFonts w:ascii="Calibri" w:eastAsia="Calibri"/>
          <w:sz w:val="20"/>
        </w:rPr>
      </w:pPr>
      <w:r>
        <w:fldChar w:fldCharType="begin"/>
      </w:r>
      <w:r>
        <w:instrText xml:space="preserve"> HYPERLINK \l "_bookmark45" </w:instrText>
      </w:r>
      <w:r>
        <w:fldChar w:fldCharType="separate"/>
      </w:r>
      <w:r>
        <w:rPr>
          <w:rFonts w:hint="eastAsia" w:ascii="黑体" w:eastAsia="黑体"/>
          <w:sz w:val="20"/>
        </w:rPr>
        <w:t>技术要求</w:t>
      </w:r>
      <w:r>
        <w:rPr>
          <w:rFonts w:hint="eastAsia" w:ascii="黑体" w:eastAsia="黑体"/>
          <w:sz w:val="20"/>
        </w:rPr>
        <w:tab/>
      </w:r>
      <w:r>
        <w:rPr>
          <w:rFonts w:ascii="Calibri" w:eastAsia="Calibri"/>
          <w:sz w:val="20"/>
        </w:rPr>
        <w:t>88</w:t>
      </w:r>
      <w:r>
        <w:rPr>
          <w:rFonts w:ascii="Calibri" w:eastAsia="Calibri"/>
          <w:sz w:val="20"/>
        </w:rPr>
        <w:fldChar w:fldCharType="end"/>
      </w:r>
    </w:p>
    <w:p>
      <w:pPr>
        <w:pStyle w:val="12"/>
        <w:numPr>
          <w:ilvl w:val="0"/>
          <w:numId w:val="133"/>
        </w:numPr>
        <w:tabs>
          <w:tab w:val="left" w:pos="419"/>
          <w:tab w:val="left" w:pos="420"/>
          <w:tab w:val="left" w:leader="dot" w:pos="9427"/>
        </w:tabs>
        <w:spacing w:before="176" w:after="0" w:line="240" w:lineRule="auto"/>
        <w:ind w:left="632" w:right="322" w:hanging="633"/>
        <w:jc w:val="right"/>
        <w:rPr>
          <w:rFonts w:ascii="Calibri" w:eastAsia="Calibri"/>
          <w:b/>
          <w:sz w:val="20"/>
        </w:rPr>
      </w:pPr>
      <w:r>
        <w:fldChar w:fldCharType="begin"/>
      </w:r>
      <w:r>
        <w:instrText xml:space="preserve"> HYPERLINK \l "_bookmark46" </w:instrText>
      </w:r>
      <w:r>
        <w:fldChar w:fldCharType="separate"/>
      </w:r>
      <w:r>
        <w:rPr>
          <w:b/>
          <w:sz w:val="20"/>
        </w:rPr>
        <w:t>城市绿地</w:t>
      </w:r>
      <w:r>
        <w:rPr>
          <w:b/>
          <w:sz w:val="20"/>
        </w:rPr>
        <w:tab/>
      </w:r>
      <w:r>
        <w:rPr>
          <w:rFonts w:ascii="Calibri" w:eastAsia="Calibri"/>
          <w:b/>
          <w:spacing w:val="-1"/>
          <w:w w:val="95"/>
          <w:sz w:val="20"/>
        </w:rPr>
        <w:t>91</w:t>
      </w:r>
      <w:r>
        <w:rPr>
          <w:rFonts w:ascii="Calibri" w:eastAsia="Calibri"/>
          <w:b/>
          <w:spacing w:val="-1"/>
          <w:w w:val="95"/>
          <w:sz w:val="20"/>
        </w:rPr>
        <w:fldChar w:fldCharType="end"/>
      </w:r>
    </w:p>
    <w:p>
      <w:pPr>
        <w:pStyle w:val="12"/>
        <w:numPr>
          <w:ilvl w:val="1"/>
          <w:numId w:val="133"/>
        </w:numPr>
        <w:tabs>
          <w:tab w:val="left" w:pos="1052"/>
          <w:tab w:val="left" w:pos="1053"/>
          <w:tab w:val="left" w:leader="dot" w:pos="9639"/>
        </w:tabs>
        <w:spacing w:before="175" w:after="0" w:line="240" w:lineRule="auto"/>
        <w:ind w:left="1052" w:right="0" w:hanging="629"/>
        <w:jc w:val="left"/>
        <w:rPr>
          <w:rFonts w:ascii="Calibri" w:eastAsia="Calibri"/>
          <w:sz w:val="20"/>
        </w:rPr>
      </w:pPr>
      <w:r>
        <w:fldChar w:fldCharType="begin"/>
      </w:r>
      <w:r>
        <w:instrText xml:space="preserve"> HYPERLINK \l "_bookmark47" </w:instrText>
      </w:r>
      <w:r>
        <w:fldChar w:fldCharType="separate"/>
      </w:r>
      <w:r>
        <w:rPr>
          <w:rFonts w:hint="eastAsia" w:ascii="黑体" w:eastAsia="黑体"/>
          <w:sz w:val="20"/>
        </w:rPr>
        <w:t>一般规定</w:t>
      </w:r>
      <w:r>
        <w:rPr>
          <w:rFonts w:hint="eastAsia" w:ascii="黑体" w:eastAsia="黑体"/>
          <w:sz w:val="20"/>
        </w:rPr>
        <w:tab/>
      </w:r>
      <w:r>
        <w:rPr>
          <w:rFonts w:ascii="Calibri" w:eastAsia="Calibri"/>
          <w:sz w:val="20"/>
        </w:rPr>
        <w:t>91</w:t>
      </w:r>
      <w:r>
        <w:rPr>
          <w:rFonts w:ascii="Calibri" w:eastAsia="Calibri"/>
          <w:sz w:val="20"/>
        </w:rPr>
        <w:fldChar w:fldCharType="end"/>
      </w:r>
    </w:p>
    <w:p>
      <w:pPr>
        <w:pStyle w:val="12"/>
        <w:numPr>
          <w:ilvl w:val="1"/>
          <w:numId w:val="133"/>
        </w:numPr>
        <w:tabs>
          <w:tab w:val="left" w:pos="1052"/>
          <w:tab w:val="left" w:pos="1053"/>
          <w:tab w:val="left" w:leader="dot" w:pos="9639"/>
        </w:tabs>
        <w:spacing w:before="56" w:after="0" w:line="240" w:lineRule="auto"/>
        <w:ind w:left="1052" w:right="0" w:hanging="629"/>
        <w:jc w:val="left"/>
        <w:rPr>
          <w:rFonts w:ascii="Calibri" w:eastAsia="Calibri"/>
          <w:sz w:val="20"/>
        </w:rPr>
      </w:pPr>
      <w:r>
        <w:fldChar w:fldCharType="begin"/>
      </w:r>
      <w:r>
        <w:instrText xml:space="preserve"> HYPERLINK \l "_bookmark48" </w:instrText>
      </w:r>
      <w:r>
        <w:fldChar w:fldCharType="separate"/>
      </w:r>
      <w:r>
        <w:rPr>
          <w:rFonts w:hint="eastAsia" w:ascii="黑体" w:eastAsia="黑体"/>
          <w:sz w:val="20"/>
        </w:rPr>
        <w:t>公园绿地</w:t>
      </w:r>
      <w:r>
        <w:rPr>
          <w:rFonts w:hint="eastAsia" w:ascii="黑体" w:eastAsia="黑体"/>
          <w:sz w:val="20"/>
        </w:rPr>
        <w:tab/>
      </w:r>
      <w:r>
        <w:rPr>
          <w:rFonts w:ascii="Calibri" w:eastAsia="Calibri"/>
          <w:sz w:val="20"/>
        </w:rPr>
        <w:t>93</w:t>
      </w:r>
      <w:r>
        <w:rPr>
          <w:rFonts w:ascii="Calibri" w:eastAsia="Calibri"/>
          <w:sz w:val="20"/>
        </w:rPr>
        <w:fldChar w:fldCharType="end"/>
      </w:r>
    </w:p>
    <w:p>
      <w:pPr>
        <w:pStyle w:val="12"/>
        <w:numPr>
          <w:ilvl w:val="0"/>
          <w:numId w:val="133"/>
        </w:numPr>
        <w:tabs>
          <w:tab w:val="left" w:pos="419"/>
          <w:tab w:val="left" w:pos="420"/>
          <w:tab w:val="left" w:leader="dot" w:pos="9427"/>
        </w:tabs>
        <w:spacing w:before="176" w:after="0" w:line="240" w:lineRule="auto"/>
        <w:ind w:left="632" w:right="322" w:hanging="633"/>
        <w:jc w:val="right"/>
        <w:rPr>
          <w:rFonts w:ascii="Calibri" w:eastAsia="Calibri"/>
          <w:b/>
          <w:sz w:val="20"/>
        </w:rPr>
      </w:pPr>
      <w:r>
        <w:fldChar w:fldCharType="begin"/>
      </w:r>
      <w:r>
        <w:instrText xml:space="preserve"> HYPERLINK \l "_bookmark49" </w:instrText>
      </w:r>
      <w:r>
        <w:fldChar w:fldCharType="separate"/>
      </w:r>
      <w:r>
        <w:rPr>
          <w:b/>
          <w:sz w:val="20"/>
        </w:rPr>
        <w:t>城市建筑</w:t>
      </w:r>
      <w:r>
        <w:rPr>
          <w:b/>
          <w:sz w:val="20"/>
        </w:rPr>
        <w:tab/>
      </w:r>
      <w:r>
        <w:rPr>
          <w:rFonts w:ascii="Calibri" w:eastAsia="Calibri"/>
          <w:b/>
          <w:spacing w:val="-1"/>
          <w:w w:val="95"/>
          <w:sz w:val="20"/>
        </w:rPr>
        <w:t>96</w:t>
      </w:r>
      <w:r>
        <w:rPr>
          <w:rFonts w:ascii="Calibri" w:eastAsia="Calibri"/>
          <w:b/>
          <w:spacing w:val="-1"/>
          <w:w w:val="95"/>
          <w:sz w:val="20"/>
        </w:rPr>
        <w:fldChar w:fldCharType="end"/>
      </w:r>
    </w:p>
    <w:p>
      <w:pPr>
        <w:pStyle w:val="12"/>
        <w:numPr>
          <w:ilvl w:val="1"/>
          <w:numId w:val="133"/>
        </w:numPr>
        <w:tabs>
          <w:tab w:val="left" w:pos="1052"/>
          <w:tab w:val="left" w:pos="1053"/>
          <w:tab w:val="left" w:leader="dot" w:pos="9639"/>
        </w:tabs>
        <w:spacing w:before="176" w:after="0" w:line="240" w:lineRule="auto"/>
        <w:ind w:left="1052" w:right="0" w:hanging="629"/>
        <w:jc w:val="left"/>
        <w:rPr>
          <w:rFonts w:ascii="Calibri" w:eastAsia="Calibri"/>
          <w:sz w:val="20"/>
        </w:rPr>
      </w:pPr>
      <w:r>
        <w:fldChar w:fldCharType="begin"/>
      </w:r>
      <w:r>
        <w:instrText xml:space="preserve"> HYPERLINK \l "_bookmark50" </w:instrText>
      </w:r>
      <w:r>
        <w:fldChar w:fldCharType="separate"/>
      </w:r>
      <w:r>
        <w:rPr>
          <w:rFonts w:hint="eastAsia" w:ascii="黑体" w:eastAsia="黑体"/>
          <w:sz w:val="20"/>
        </w:rPr>
        <w:t>一般规定</w:t>
      </w:r>
      <w:r>
        <w:rPr>
          <w:rFonts w:hint="eastAsia" w:ascii="黑体" w:eastAsia="黑体"/>
          <w:sz w:val="20"/>
        </w:rPr>
        <w:tab/>
      </w:r>
      <w:r>
        <w:rPr>
          <w:rFonts w:ascii="Calibri" w:eastAsia="Calibri"/>
          <w:sz w:val="20"/>
        </w:rPr>
        <w:t>96</w:t>
      </w:r>
      <w:r>
        <w:rPr>
          <w:rFonts w:ascii="Calibri" w:eastAsia="Calibri"/>
          <w:sz w:val="20"/>
        </w:rPr>
        <w:fldChar w:fldCharType="end"/>
      </w:r>
    </w:p>
    <w:p>
      <w:pPr>
        <w:pStyle w:val="12"/>
        <w:numPr>
          <w:ilvl w:val="1"/>
          <w:numId w:val="133"/>
        </w:numPr>
        <w:tabs>
          <w:tab w:val="left" w:pos="1052"/>
          <w:tab w:val="left" w:pos="1053"/>
          <w:tab w:val="left" w:leader="dot" w:pos="9639"/>
        </w:tabs>
        <w:spacing w:before="55" w:after="0" w:line="240" w:lineRule="auto"/>
        <w:ind w:left="1052" w:right="0" w:hanging="629"/>
        <w:jc w:val="left"/>
        <w:rPr>
          <w:rFonts w:ascii="Calibri" w:eastAsia="Calibri"/>
          <w:sz w:val="20"/>
        </w:rPr>
      </w:pPr>
      <w:r>
        <w:fldChar w:fldCharType="begin"/>
      </w:r>
      <w:r>
        <w:instrText xml:space="preserve"> HYPERLINK \l "_bookmark51" </w:instrText>
      </w:r>
      <w:r>
        <w:fldChar w:fldCharType="separate"/>
      </w:r>
      <w:r>
        <w:rPr>
          <w:rFonts w:hint="eastAsia" w:ascii="黑体" w:eastAsia="黑体"/>
          <w:sz w:val="20"/>
        </w:rPr>
        <w:t>居住建筑</w:t>
      </w:r>
      <w:r>
        <w:rPr>
          <w:rFonts w:hint="eastAsia" w:ascii="黑体" w:eastAsia="黑体"/>
          <w:sz w:val="20"/>
        </w:rPr>
        <w:tab/>
      </w:r>
      <w:r>
        <w:rPr>
          <w:rFonts w:ascii="Calibri" w:eastAsia="Calibri"/>
          <w:sz w:val="20"/>
        </w:rPr>
        <w:t>99</w:t>
      </w:r>
      <w:r>
        <w:rPr>
          <w:rFonts w:ascii="Calibri" w:eastAsia="Calibri"/>
          <w:sz w:val="20"/>
        </w:rPr>
        <w:fldChar w:fldCharType="end"/>
      </w:r>
    </w:p>
    <w:p>
      <w:pPr>
        <w:pStyle w:val="12"/>
        <w:numPr>
          <w:ilvl w:val="1"/>
          <w:numId w:val="133"/>
        </w:numPr>
        <w:tabs>
          <w:tab w:val="left" w:pos="1052"/>
          <w:tab w:val="left" w:pos="1053"/>
          <w:tab w:val="left" w:leader="dot" w:pos="9639"/>
        </w:tabs>
        <w:spacing w:before="56" w:after="0" w:line="240" w:lineRule="auto"/>
        <w:ind w:left="1052" w:right="0" w:hanging="629"/>
        <w:jc w:val="left"/>
        <w:rPr>
          <w:rFonts w:ascii="Calibri" w:eastAsia="Calibri"/>
          <w:sz w:val="20"/>
        </w:rPr>
      </w:pPr>
      <w:r>
        <w:fldChar w:fldCharType="begin"/>
      </w:r>
      <w:r>
        <w:instrText xml:space="preserve"> HYPERLINK \l "_bookmark52" </w:instrText>
      </w:r>
      <w:r>
        <w:fldChar w:fldCharType="separate"/>
      </w:r>
      <w:r>
        <w:rPr>
          <w:rFonts w:hint="eastAsia" w:ascii="黑体" w:eastAsia="黑体"/>
          <w:sz w:val="20"/>
        </w:rPr>
        <w:t>公共建筑</w:t>
      </w:r>
      <w:r>
        <w:rPr>
          <w:rFonts w:hint="eastAsia" w:ascii="黑体" w:eastAsia="黑体"/>
          <w:sz w:val="20"/>
        </w:rPr>
        <w:tab/>
      </w:r>
      <w:r>
        <w:rPr>
          <w:rFonts w:ascii="Calibri" w:eastAsia="Calibri"/>
          <w:sz w:val="20"/>
        </w:rPr>
        <w:t>99</w:t>
      </w:r>
      <w:r>
        <w:rPr>
          <w:rFonts w:ascii="Calibri" w:eastAsia="Calibri"/>
          <w:sz w:val="20"/>
        </w:rPr>
        <w:fldChar w:fldCharType="end"/>
      </w:r>
    </w:p>
    <w:p>
      <w:pPr>
        <w:pStyle w:val="12"/>
        <w:numPr>
          <w:ilvl w:val="1"/>
          <w:numId w:val="133"/>
        </w:numPr>
        <w:tabs>
          <w:tab w:val="left" w:pos="1052"/>
          <w:tab w:val="left" w:pos="1053"/>
          <w:tab w:val="left" w:leader="dot" w:pos="9536"/>
        </w:tabs>
        <w:spacing w:before="56" w:after="0" w:line="240" w:lineRule="auto"/>
        <w:ind w:left="1052" w:right="0" w:hanging="629"/>
        <w:jc w:val="left"/>
        <w:rPr>
          <w:rFonts w:ascii="Calibri" w:eastAsia="Calibri"/>
          <w:sz w:val="20"/>
        </w:rPr>
      </w:pPr>
      <w:r>
        <w:fldChar w:fldCharType="begin"/>
      </w:r>
      <w:r>
        <w:instrText xml:space="preserve"> HYPERLINK \l "_bookmark53" </w:instrText>
      </w:r>
      <w:r>
        <w:fldChar w:fldCharType="separate"/>
      </w:r>
      <w:r>
        <w:rPr>
          <w:rFonts w:hint="eastAsia" w:ascii="黑体" w:eastAsia="黑体"/>
          <w:sz w:val="20"/>
        </w:rPr>
        <w:t>工业建筑</w:t>
      </w:r>
      <w:r>
        <w:rPr>
          <w:rFonts w:hint="eastAsia" w:ascii="黑体" w:eastAsia="黑体"/>
          <w:sz w:val="20"/>
        </w:rPr>
        <w:tab/>
      </w:r>
      <w:r>
        <w:rPr>
          <w:rFonts w:ascii="Calibri" w:eastAsia="Calibri"/>
          <w:sz w:val="20"/>
        </w:rPr>
        <w:t>106</w:t>
      </w:r>
      <w:r>
        <w:rPr>
          <w:rFonts w:ascii="Calibri" w:eastAsia="Calibri"/>
          <w:sz w:val="20"/>
        </w:rPr>
        <w:fldChar w:fldCharType="end"/>
      </w:r>
    </w:p>
    <w:p>
      <w:pPr>
        <w:pStyle w:val="12"/>
        <w:numPr>
          <w:ilvl w:val="1"/>
          <w:numId w:val="133"/>
        </w:numPr>
        <w:tabs>
          <w:tab w:val="left" w:pos="1052"/>
          <w:tab w:val="left" w:pos="1053"/>
          <w:tab w:val="left" w:leader="dot" w:pos="9536"/>
        </w:tabs>
        <w:spacing w:before="56" w:after="0" w:line="240" w:lineRule="auto"/>
        <w:ind w:left="1052" w:right="0" w:hanging="629"/>
        <w:jc w:val="left"/>
        <w:rPr>
          <w:rFonts w:ascii="Calibri" w:eastAsia="Calibri"/>
          <w:sz w:val="20"/>
        </w:rPr>
      </w:pPr>
      <w:r>
        <w:fldChar w:fldCharType="begin"/>
      </w:r>
      <w:r>
        <w:instrText xml:space="preserve"> HYPERLINK \l "_bookmark54" </w:instrText>
      </w:r>
      <w:r>
        <w:fldChar w:fldCharType="separate"/>
      </w:r>
      <w:r>
        <w:rPr>
          <w:rFonts w:hint="eastAsia" w:ascii="黑体" w:eastAsia="黑体"/>
          <w:sz w:val="20"/>
        </w:rPr>
        <w:t>其他建筑</w:t>
      </w:r>
      <w:r>
        <w:rPr>
          <w:rFonts w:hint="eastAsia" w:ascii="黑体" w:eastAsia="黑体"/>
          <w:sz w:val="20"/>
        </w:rPr>
        <w:tab/>
      </w:r>
      <w:r>
        <w:rPr>
          <w:rFonts w:ascii="Calibri" w:eastAsia="Calibri"/>
          <w:sz w:val="20"/>
        </w:rPr>
        <w:t>107</w:t>
      </w:r>
      <w:r>
        <w:rPr>
          <w:rFonts w:ascii="Calibri" w:eastAsia="Calibri"/>
          <w:sz w:val="20"/>
        </w:rPr>
        <w:fldChar w:fldCharType="end"/>
      </w:r>
    </w:p>
    <w:p>
      <w:pPr>
        <w:spacing w:after="0" w:line="240" w:lineRule="auto"/>
        <w:jc w:val="left"/>
        <w:rPr>
          <w:rFonts w:ascii="Calibri" w:eastAsia="Calibri"/>
          <w:sz w:val="20"/>
        </w:rPr>
        <w:sectPr>
          <w:pgSz w:w="11910" w:h="16840"/>
          <w:pgMar w:top="1580" w:right="820" w:bottom="1280" w:left="920" w:header="0" w:footer="1015" w:gutter="0"/>
          <w:cols w:space="720" w:num="1"/>
        </w:sectPr>
      </w:pPr>
    </w:p>
    <w:p>
      <w:pPr>
        <w:tabs>
          <w:tab w:val="left" w:pos="4921"/>
        </w:tabs>
        <w:spacing w:before="68"/>
        <w:ind w:left="4501" w:right="0" w:firstLine="0"/>
        <w:jc w:val="left"/>
        <w:rPr>
          <w:b/>
          <w:sz w:val="32"/>
        </w:rPr>
      </w:pPr>
      <w:r>
        <w:rPr>
          <w:b/>
          <w:sz w:val="32"/>
        </w:rPr>
        <w:t>1</w:t>
      </w:r>
      <w:r>
        <w:rPr>
          <w:b/>
          <w:sz w:val="32"/>
        </w:rPr>
        <w:tab/>
      </w:r>
      <w:bookmarkStart w:id="570" w:name="1总则"/>
      <w:bookmarkEnd w:id="570"/>
      <w:r>
        <w:rPr>
          <w:b/>
          <w:sz w:val="32"/>
        </w:rPr>
        <w:t>总则</w:t>
      </w:r>
    </w:p>
    <w:p>
      <w:pPr>
        <w:pStyle w:val="12"/>
        <w:numPr>
          <w:ilvl w:val="2"/>
          <w:numId w:val="134"/>
        </w:numPr>
        <w:tabs>
          <w:tab w:val="left" w:pos="1052"/>
          <w:tab w:val="left" w:pos="1053"/>
        </w:tabs>
        <w:spacing w:before="206" w:after="0" w:line="417" w:lineRule="auto"/>
        <w:ind w:left="212" w:right="310" w:firstLine="0"/>
        <w:jc w:val="left"/>
        <w:rPr>
          <w:sz w:val="21"/>
        </w:rPr>
      </w:pPr>
      <w:bookmarkStart w:id="571" w:name="1.0.1本条规定了制定本标准的目的。无障碍设计应满足全体社会成员使用，体现全龄"/>
      <w:bookmarkEnd w:id="571"/>
      <w:bookmarkStart w:id="572" w:name="1.0.1本条规定了制定本标准的目的。无障碍设计应满足全体社会成员使用，体现全龄"/>
      <w:bookmarkEnd w:id="572"/>
      <w:r>
        <w:rPr>
          <w:spacing w:val="-3"/>
          <w:sz w:val="21"/>
        </w:rPr>
        <w:t>本条规定了制定本标准的目的。无障碍设计应满足全体社会成员使用，体现全龄全民友好，消除他们在外出通行和享受公共设施服务等方面的障碍，彰显人文关怀。</w:t>
      </w:r>
    </w:p>
    <w:p>
      <w:pPr>
        <w:pStyle w:val="12"/>
        <w:numPr>
          <w:ilvl w:val="2"/>
          <w:numId w:val="134"/>
        </w:numPr>
        <w:tabs>
          <w:tab w:val="left" w:pos="1052"/>
          <w:tab w:val="left" w:pos="1053"/>
        </w:tabs>
        <w:spacing w:before="0" w:after="0" w:line="269" w:lineRule="exact"/>
        <w:ind w:left="1052" w:right="0" w:hanging="841"/>
        <w:jc w:val="left"/>
        <w:rPr>
          <w:sz w:val="21"/>
        </w:rPr>
      </w:pPr>
      <w:bookmarkStart w:id="573" w:name="1.0.2本条规定了本标准适用的范围。"/>
      <w:bookmarkEnd w:id="573"/>
      <w:bookmarkStart w:id="574" w:name="1.0.2本条规定了本标准适用的范围。"/>
      <w:bookmarkEnd w:id="574"/>
      <w:r>
        <w:rPr>
          <w:sz w:val="21"/>
        </w:rPr>
        <w:t>本条规定了本标准适用的范围。</w:t>
      </w:r>
    </w:p>
    <w:p>
      <w:pPr>
        <w:spacing w:after="0" w:line="269" w:lineRule="exact"/>
        <w:jc w:val="left"/>
        <w:rPr>
          <w:sz w:val="21"/>
        </w:rPr>
        <w:sectPr>
          <w:pgSz w:w="11910" w:h="16840"/>
          <w:pgMar w:top="1580" w:right="820" w:bottom="1280" w:left="920" w:header="0" w:footer="1015" w:gutter="0"/>
          <w:cols w:space="720" w:num="1"/>
        </w:sectPr>
      </w:pPr>
    </w:p>
    <w:p>
      <w:pPr>
        <w:pStyle w:val="2"/>
        <w:tabs>
          <w:tab w:val="left" w:pos="4599"/>
        </w:tabs>
        <w:ind w:left="4180" w:firstLine="0"/>
      </w:pPr>
      <w:r>
        <w:t>3</w:t>
      </w:r>
      <w:r>
        <w:tab/>
      </w:r>
      <w:bookmarkStart w:id="575" w:name="3基本规定"/>
      <w:bookmarkEnd w:id="575"/>
      <w:r>
        <w:t>基本规定</w:t>
      </w:r>
    </w:p>
    <w:p>
      <w:pPr>
        <w:pStyle w:val="12"/>
        <w:numPr>
          <w:ilvl w:val="2"/>
          <w:numId w:val="135"/>
        </w:numPr>
        <w:tabs>
          <w:tab w:val="left" w:pos="1053"/>
        </w:tabs>
        <w:spacing w:before="206" w:after="0" w:line="240" w:lineRule="auto"/>
        <w:ind w:left="1052" w:right="0" w:hanging="841"/>
        <w:jc w:val="both"/>
        <w:rPr>
          <w:sz w:val="21"/>
        </w:rPr>
      </w:pPr>
      <w:bookmarkStart w:id="576" w:name="3.0.1深圳市无障碍设计应满足深圳市城市规划及深圳市无障碍专项规划要求，并体现"/>
      <w:bookmarkEnd w:id="576"/>
      <w:bookmarkStart w:id="577" w:name="3.0.1深圳市无障碍设计应满足深圳市城市规划及深圳市无障碍专项规划要求，并体现"/>
      <w:bookmarkEnd w:id="577"/>
      <w:r>
        <w:rPr>
          <w:sz w:val="21"/>
        </w:rPr>
        <w:t>深圳市无障碍设计应满足深圳市城市规划及深圳市无障碍专项规划要求，并体现深圳市特色。</w:t>
      </w:r>
    </w:p>
    <w:p>
      <w:pPr>
        <w:pStyle w:val="5"/>
        <w:spacing w:before="6"/>
        <w:rPr>
          <w:sz w:val="15"/>
        </w:rPr>
      </w:pPr>
    </w:p>
    <w:p>
      <w:pPr>
        <w:pStyle w:val="12"/>
        <w:numPr>
          <w:ilvl w:val="2"/>
          <w:numId w:val="135"/>
        </w:numPr>
        <w:tabs>
          <w:tab w:val="left" w:pos="1053"/>
        </w:tabs>
        <w:spacing w:before="1" w:after="0" w:line="417" w:lineRule="auto"/>
        <w:ind w:left="212" w:right="310" w:firstLine="0"/>
        <w:jc w:val="both"/>
        <w:rPr>
          <w:sz w:val="21"/>
        </w:rPr>
      </w:pPr>
      <w:bookmarkStart w:id="578" w:name="3.0.2根据《深圳市无障碍环境建设条例》第十四条规定：“新建、改建扩建的建设项"/>
      <w:bookmarkEnd w:id="578"/>
      <w:bookmarkStart w:id="579" w:name="3.0.2根据《深圳市无障碍环境建设条例》第十四条规定：“新建、改建扩建的建设项"/>
      <w:bookmarkEnd w:id="579"/>
      <w:r>
        <w:rPr>
          <w:spacing w:val="-4"/>
          <w:w w:val="95"/>
          <w:sz w:val="21"/>
        </w:rPr>
        <w:t xml:space="preserve">根据《深圳市无障碍环境建设条例》第十四条规定：“新建、改建扩建的建设项目应当按照国家   </w:t>
      </w:r>
      <w:r>
        <w:rPr>
          <w:spacing w:val="-5"/>
          <w:w w:val="95"/>
          <w:sz w:val="21"/>
        </w:rPr>
        <w:t xml:space="preserve">无障碍设施工程建设标准建设无障碍设施，与建设项目同时设计、同时施工、同时交付使用。”本条强调   </w:t>
      </w:r>
      <w:r>
        <w:rPr>
          <w:spacing w:val="-5"/>
          <w:sz w:val="21"/>
        </w:rPr>
        <w:t>无障碍设计应与主体工程同步设计、建设。</w:t>
      </w:r>
    </w:p>
    <w:p>
      <w:pPr>
        <w:pStyle w:val="12"/>
        <w:numPr>
          <w:ilvl w:val="2"/>
          <w:numId w:val="135"/>
        </w:numPr>
        <w:tabs>
          <w:tab w:val="left" w:pos="1053"/>
        </w:tabs>
        <w:spacing w:before="0" w:after="0" w:line="417" w:lineRule="auto"/>
        <w:ind w:left="212" w:right="310" w:firstLine="0"/>
        <w:jc w:val="both"/>
        <w:rPr>
          <w:sz w:val="21"/>
        </w:rPr>
      </w:pPr>
      <w:bookmarkStart w:id="580" w:name="3.0.3根据《深圳市无障碍环境建设条例》第十四条规定：“新建、改建扩建的建设项"/>
      <w:bookmarkEnd w:id="580"/>
      <w:bookmarkStart w:id="581" w:name="3.0.3根据《深圳市无障碍环境建设条例》第十四条规定：“新建、改建扩建的建设项"/>
      <w:bookmarkEnd w:id="581"/>
      <w:r>
        <w:rPr>
          <w:spacing w:val="-3"/>
          <w:w w:val="95"/>
          <w:sz w:val="21"/>
        </w:rPr>
        <w:t xml:space="preserve">根据《深圳市无障碍环境建设条例》第十四条规定：“新建、改建扩建的建设项目应，……与建   </w:t>
      </w:r>
      <w:r>
        <w:rPr>
          <w:spacing w:val="-3"/>
          <w:sz w:val="21"/>
        </w:rPr>
        <w:t>设项目周边已有的无障碍设施相衔接。”本条强调无障碍设计的系统有效性。</w:t>
      </w:r>
    </w:p>
    <w:p>
      <w:pPr>
        <w:spacing w:after="0" w:line="417" w:lineRule="auto"/>
        <w:jc w:val="both"/>
        <w:rPr>
          <w:sz w:val="21"/>
        </w:rPr>
        <w:sectPr>
          <w:pgSz w:w="11910" w:h="16840"/>
          <w:pgMar w:top="1580" w:right="820" w:bottom="1280" w:left="920" w:header="0" w:footer="1015" w:gutter="0"/>
          <w:cols w:space="720" w:num="1"/>
        </w:sectPr>
      </w:pPr>
    </w:p>
    <w:p>
      <w:pPr>
        <w:pStyle w:val="2"/>
        <w:numPr>
          <w:ilvl w:val="2"/>
          <w:numId w:val="133"/>
        </w:numPr>
        <w:tabs>
          <w:tab w:val="left" w:pos="3637"/>
          <w:tab w:val="left" w:pos="3638"/>
        </w:tabs>
        <w:spacing w:before="68" w:after="0" w:line="240" w:lineRule="auto"/>
        <w:ind w:left="3637" w:right="0" w:hanging="421"/>
        <w:jc w:val="left"/>
      </w:pPr>
      <w:bookmarkStart w:id="582" w:name="_bookmark32"/>
      <w:bookmarkEnd w:id="582"/>
      <w:bookmarkStart w:id="583" w:name="4无障碍设施的设计要求"/>
      <w:bookmarkEnd w:id="583"/>
      <w:r>
        <w:t>无障碍设施的设计要求</w:t>
      </w:r>
    </w:p>
    <w:p>
      <w:pPr>
        <w:pStyle w:val="12"/>
        <w:numPr>
          <w:ilvl w:val="3"/>
          <w:numId w:val="133"/>
        </w:numPr>
        <w:tabs>
          <w:tab w:val="left" w:pos="4509"/>
        </w:tabs>
        <w:spacing w:before="206" w:after="0" w:line="417" w:lineRule="auto"/>
        <w:ind w:left="4532" w:right="4186" w:hanging="444"/>
        <w:jc w:val="left"/>
        <w:rPr>
          <w:rFonts w:hint="eastAsia" w:ascii="黑体" w:eastAsia="黑体"/>
          <w:sz w:val="21"/>
        </w:rPr>
      </w:pPr>
      <w:bookmarkStart w:id="584" w:name="4.1无障碍通行设施"/>
      <w:bookmarkEnd w:id="584"/>
      <w:bookmarkStart w:id="585" w:name="_bookmark33"/>
      <w:bookmarkEnd w:id="585"/>
      <w:bookmarkStart w:id="586" w:name="_bookmark33"/>
      <w:bookmarkEnd w:id="586"/>
      <w:r>
        <w:rPr>
          <w:rFonts w:hint="eastAsia" w:ascii="黑体" w:eastAsia="黑体"/>
          <w:spacing w:val="-2"/>
          <w:sz w:val="21"/>
        </w:rPr>
        <w:t>无障碍通行设施</w:t>
      </w:r>
      <w:bookmarkStart w:id="587" w:name="I一般规定"/>
      <w:bookmarkEnd w:id="587"/>
      <w:r>
        <w:rPr>
          <w:rFonts w:hint="eastAsia" w:ascii="黑体" w:eastAsia="黑体"/>
          <w:sz w:val="21"/>
        </w:rPr>
        <w:t>I</w:t>
      </w:r>
      <w:r>
        <w:rPr>
          <w:rFonts w:hint="eastAsia" w:ascii="黑体" w:eastAsia="黑体"/>
          <w:spacing w:val="-12"/>
          <w:sz w:val="21"/>
        </w:rPr>
        <w:t xml:space="preserve"> 一般规定</w:t>
      </w:r>
    </w:p>
    <w:p>
      <w:pPr>
        <w:pStyle w:val="12"/>
        <w:numPr>
          <w:ilvl w:val="2"/>
          <w:numId w:val="136"/>
        </w:numPr>
        <w:tabs>
          <w:tab w:val="left" w:pos="1053"/>
        </w:tabs>
        <w:spacing w:before="0" w:after="0" w:line="417" w:lineRule="auto"/>
        <w:ind w:left="212" w:right="310" w:firstLine="0"/>
        <w:jc w:val="both"/>
        <w:rPr>
          <w:sz w:val="21"/>
        </w:rPr>
      </w:pPr>
      <w:bookmarkStart w:id="588" w:name="4.1.1通行路线中，行进规律发生变化处易发生危险，宜采用无障碍设计，保障通行便"/>
      <w:bookmarkEnd w:id="588"/>
      <w:bookmarkStart w:id="589" w:name="4.1.1通行路线中，行进规律发生变化处易发生危险，宜采用无障碍设计，保障通行便"/>
      <w:bookmarkEnd w:id="589"/>
      <w:r>
        <w:rPr>
          <w:spacing w:val="-4"/>
          <w:w w:val="95"/>
          <w:sz w:val="21"/>
        </w:rPr>
        <w:t xml:space="preserve">通行路线中，行进规律发生变化处易发生危险，宜采用无障碍设计，保障通行便利。本节按照通   </w:t>
      </w:r>
      <w:r>
        <w:rPr>
          <w:spacing w:val="-4"/>
          <w:sz w:val="21"/>
        </w:rPr>
        <w:t>行路线中无障碍设施出现的顺序，进行编制。</w:t>
      </w:r>
    </w:p>
    <w:p>
      <w:pPr>
        <w:pStyle w:val="12"/>
        <w:numPr>
          <w:ilvl w:val="2"/>
          <w:numId w:val="136"/>
        </w:numPr>
        <w:tabs>
          <w:tab w:val="left" w:pos="1053"/>
        </w:tabs>
        <w:spacing w:before="0" w:after="0" w:line="417" w:lineRule="auto"/>
        <w:ind w:left="212" w:right="310" w:firstLine="0"/>
        <w:jc w:val="both"/>
        <w:rPr>
          <w:sz w:val="21"/>
        </w:rPr>
      </w:pPr>
      <w:bookmarkStart w:id="590" w:name="4.1.2为保障无障碍通行，建设工程内外应提供连贯路线。在我国现行标准中没有明确"/>
      <w:bookmarkEnd w:id="590"/>
      <w:bookmarkStart w:id="591" w:name="4.1.2为保障无障碍通行，建设工程内外应提供连贯路线。在我国现行标准中没有明确"/>
      <w:bookmarkEnd w:id="591"/>
      <w:r>
        <w:rPr>
          <w:spacing w:val="-3"/>
          <w:sz w:val="21"/>
        </w:rPr>
        <w:t>为保障无障碍通行，建设工程内外应提供连贯路线。在我国现行标准中没有明确此要求，本条根据近年无障碍设计建设实际情况及参照国际标准增加要求。</w:t>
      </w:r>
    </w:p>
    <w:p>
      <w:pPr>
        <w:pStyle w:val="12"/>
        <w:numPr>
          <w:ilvl w:val="2"/>
          <w:numId w:val="136"/>
        </w:numPr>
        <w:tabs>
          <w:tab w:val="left" w:pos="1053"/>
        </w:tabs>
        <w:spacing w:before="0" w:after="0" w:line="417" w:lineRule="auto"/>
        <w:ind w:left="212" w:right="310" w:firstLine="0"/>
        <w:jc w:val="both"/>
        <w:rPr>
          <w:sz w:val="21"/>
        </w:rPr>
      </w:pPr>
      <w:bookmarkStart w:id="592" w:name="4.1.3固定在无障碍通道、轮椅坡道、无障碍楼梯的墙或柱面上的物体包括标牌、电话"/>
      <w:bookmarkEnd w:id="592"/>
      <w:bookmarkStart w:id="593" w:name="4.1.3固定在无障碍通道、轮椅坡道、无障碍楼梯的墙或柱面上的物体包括标牌、电话"/>
      <w:bookmarkEnd w:id="593"/>
      <w:r>
        <w:rPr>
          <w:spacing w:val="-4"/>
          <w:w w:val="95"/>
          <w:sz w:val="21"/>
        </w:rPr>
        <w:t xml:space="preserve">固定在无障碍通道、轮椅坡道、无障碍楼梯的墙或柱面上的物体包括标牌、电话、灭火器等可能   </w:t>
      </w:r>
      <w:r>
        <w:rPr>
          <w:spacing w:val="3"/>
          <w:w w:val="95"/>
          <w:sz w:val="21"/>
        </w:rPr>
        <w:t>对行人造成危害的物体。在设计时将物体放在凹进的空间里也可以避免伤害。参照《无障碍设计规范》</w:t>
      </w:r>
      <w:r>
        <w:rPr>
          <w:rFonts w:hint="eastAsia" w:ascii="仿宋" w:hAnsi="仿宋" w:eastAsia="仿宋"/>
          <w:spacing w:val="3"/>
          <w:sz w:val="21"/>
        </w:rPr>
        <w:t>GB</w:t>
      </w:r>
      <w:r>
        <w:rPr>
          <w:spacing w:val="3"/>
          <w:sz w:val="21"/>
        </w:rPr>
        <w:t>50763-2012</w:t>
      </w:r>
      <w:r>
        <w:rPr>
          <w:spacing w:val="-35"/>
          <w:sz w:val="21"/>
        </w:rPr>
        <w:t xml:space="preserve"> 第 </w:t>
      </w:r>
      <w:r>
        <w:rPr>
          <w:sz w:val="21"/>
        </w:rPr>
        <w:t>3.5.1</w:t>
      </w:r>
      <w:r>
        <w:rPr>
          <w:spacing w:val="-24"/>
          <w:sz w:val="21"/>
        </w:rPr>
        <w:t xml:space="preserve"> 条第 </w:t>
      </w:r>
      <w:r>
        <w:rPr>
          <w:sz w:val="21"/>
        </w:rPr>
        <w:t>4</w:t>
      </w:r>
      <w:r>
        <w:rPr>
          <w:spacing w:val="-1"/>
          <w:sz w:val="21"/>
        </w:rPr>
        <w:t xml:space="preserve"> 款 “固定在无障碍通道的墙或柱面上的物体底面距地面的高度不应小于2.00</w:t>
      </w:r>
      <w:r>
        <w:rPr>
          <w:rFonts w:hint="eastAsia" w:ascii="仿宋" w:hAnsi="仿宋" w:eastAsia="仿宋"/>
          <w:spacing w:val="-1"/>
          <w:sz w:val="21"/>
        </w:rPr>
        <w:t>m</w:t>
      </w:r>
      <w:r>
        <w:rPr>
          <w:spacing w:val="-13"/>
          <w:sz w:val="21"/>
        </w:rPr>
        <w:t xml:space="preserve">；如小于 </w:t>
      </w:r>
      <w:r>
        <w:rPr>
          <w:sz w:val="21"/>
        </w:rPr>
        <w:t>2.00</w:t>
      </w:r>
      <w:r>
        <w:rPr>
          <w:rFonts w:hint="eastAsia" w:ascii="仿宋" w:hAnsi="仿宋" w:eastAsia="仿宋"/>
          <w:sz w:val="21"/>
        </w:rPr>
        <w:t>m</w:t>
      </w:r>
      <w:r>
        <w:rPr>
          <w:rFonts w:hint="eastAsia" w:ascii="仿宋" w:hAnsi="仿宋" w:eastAsia="仿宋"/>
          <w:spacing w:val="-61"/>
          <w:sz w:val="21"/>
        </w:rPr>
        <w:t xml:space="preserve"> </w:t>
      </w:r>
      <w:r>
        <w:rPr>
          <w:spacing w:val="-7"/>
          <w:sz w:val="21"/>
        </w:rPr>
        <w:t xml:space="preserve">时，探出部分的宽度不应大于 </w:t>
      </w:r>
      <w:r>
        <w:rPr>
          <w:sz w:val="21"/>
        </w:rPr>
        <w:t>100</w:t>
      </w:r>
      <w:r>
        <w:rPr>
          <w:rFonts w:hint="eastAsia" w:ascii="仿宋" w:hAnsi="仿宋" w:eastAsia="仿宋"/>
          <w:sz w:val="21"/>
        </w:rPr>
        <w:t>mm</w:t>
      </w:r>
      <w:r>
        <w:rPr>
          <w:spacing w:val="-7"/>
          <w:sz w:val="21"/>
        </w:rPr>
        <w:t xml:space="preserve">；如突出部分大于 </w:t>
      </w:r>
      <w:r>
        <w:rPr>
          <w:sz w:val="21"/>
        </w:rPr>
        <w:t>100</w:t>
      </w:r>
      <w:r>
        <w:rPr>
          <w:rFonts w:hint="eastAsia" w:ascii="仿宋" w:hAnsi="仿宋" w:eastAsia="仿宋"/>
          <w:sz w:val="21"/>
        </w:rPr>
        <w:t>mm</w:t>
      </w:r>
      <w:r>
        <w:rPr>
          <w:sz w:val="21"/>
        </w:rPr>
        <w:t>，则其距地面的高度应</w:t>
      </w:r>
      <w:r>
        <w:rPr>
          <w:spacing w:val="-14"/>
          <w:sz w:val="21"/>
        </w:rPr>
        <w:t xml:space="preserve">小于 </w:t>
      </w:r>
      <w:r>
        <w:rPr>
          <w:sz w:val="21"/>
        </w:rPr>
        <w:t>600</w:t>
      </w:r>
      <w:r>
        <w:rPr>
          <w:rFonts w:hint="eastAsia" w:ascii="仿宋" w:hAnsi="仿宋" w:eastAsia="仿宋"/>
          <w:sz w:val="21"/>
        </w:rPr>
        <w:t>mm</w:t>
      </w:r>
      <w:r>
        <w:rPr>
          <w:sz w:val="21"/>
        </w:rPr>
        <w:t>。”轮椅坡道、无障碍楼梯等无障碍通行设施处均有此需求，因此本条做出统一规定，并简化表述。</w:t>
      </w:r>
    </w:p>
    <w:p>
      <w:pPr>
        <w:pStyle w:val="12"/>
        <w:numPr>
          <w:ilvl w:val="2"/>
          <w:numId w:val="136"/>
        </w:numPr>
        <w:tabs>
          <w:tab w:val="left" w:pos="1053"/>
        </w:tabs>
        <w:spacing w:before="0" w:after="0" w:line="417" w:lineRule="auto"/>
        <w:ind w:left="212" w:right="310" w:firstLine="0"/>
        <w:jc w:val="both"/>
        <w:rPr>
          <w:sz w:val="21"/>
        </w:rPr>
      </w:pPr>
      <w:bookmarkStart w:id="594" w:name="4.1.4《无障碍设计规范》GB50763-2012第6.2.4条第5款“在地形"/>
      <w:bookmarkEnd w:id="594"/>
      <w:bookmarkStart w:id="595" w:name="4.1.4《无障碍设计规范》GB50763-2012第6.2.4条第5款“在地形"/>
      <w:bookmarkEnd w:id="595"/>
      <w:r>
        <w:rPr>
          <w:spacing w:val="-9"/>
          <w:sz w:val="21"/>
        </w:rPr>
        <w:t>《无障碍设计规范》</w:t>
      </w:r>
      <w:r>
        <w:rPr>
          <w:rFonts w:hint="eastAsia" w:ascii="仿宋" w:hAnsi="仿宋" w:eastAsia="仿宋"/>
          <w:sz w:val="21"/>
        </w:rPr>
        <w:t>GB</w:t>
      </w:r>
      <w:r>
        <w:rPr>
          <w:sz w:val="21"/>
        </w:rPr>
        <w:t>50763-2012</w:t>
      </w:r>
      <w:r>
        <w:rPr>
          <w:spacing w:val="-38"/>
          <w:sz w:val="21"/>
        </w:rPr>
        <w:t xml:space="preserve"> 第 </w:t>
      </w:r>
      <w:r>
        <w:rPr>
          <w:sz w:val="21"/>
        </w:rPr>
        <w:t>6.2.4</w:t>
      </w:r>
      <w:r>
        <w:rPr>
          <w:spacing w:val="-29"/>
          <w:sz w:val="21"/>
        </w:rPr>
        <w:t xml:space="preserve"> 条第 </w:t>
      </w:r>
      <w:r>
        <w:rPr>
          <w:sz w:val="21"/>
        </w:rPr>
        <w:t>5</w:t>
      </w:r>
      <w:r>
        <w:rPr>
          <w:spacing w:val="-8"/>
          <w:sz w:val="21"/>
        </w:rPr>
        <w:t xml:space="preserve"> 款“在地形险要的地段应设置安全防护设施和安全警示线。”地形险要地段的通行部位均有此无障碍需求，因此本条做出统一规定。</w:t>
      </w:r>
    </w:p>
    <w:p>
      <w:pPr>
        <w:pStyle w:val="5"/>
        <w:spacing w:line="269" w:lineRule="exact"/>
        <w:ind w:right="99"/>
        <w:jc w:val="center"/>
        <w:rPr>
          <w:rFonts w:hint="eastAsia" w:ascii="黑体" w:eastAsia="黑体"/>
        </w:rPr>
      </w:pPr>
      <w:bookmarkStart w:id="596" w:name="II无障碍机动车停车位及上/落客区"/>
      <w:bookmarkEnd w:id="596"/>
      <w:r>
        <w:rPr>
          <w:rFonts w:hint="eastAsia" w:ascii="黑体" w:eastAsia="黑体"/>
        </w:rPr>
        <w:t>II</w:t>
      </w:r>
      <w:r>
        <w:rPr>
          <w:rFonts w:hint="eastAsia" w:ascii="黑体" w:eastAsia="黑体"/>
          <w:spacing w:val="-8"/>
        </w:rPr>
        <w:t xml:space="preserve"> 无障碍机动车停车位及上</w:t>
      </w:r>
      <w:r>
        <w:rPr>
          <w:rFonts w:hint="eastAsia" w:ascii="黑体" w:eastAsia="黑体"/>
        </w:rPr>
        <w:t>/落客区</w:t>
      </w:r>
    </w:p>
    <w:p>
      <w:pPr>
        <w:pStyle w:val="5"/>
        <w:spacing w:before="4"/>
        <w:rPr>
          <w:rFonts w:ascii="黑体"/>
          <w:sz w:val="15"/>
        </w:rPr>
      </w:pPr>
    </w:p>
    <w:p>
      <w:pPr>
        <w:pStyle w:val="12"/>
        <w:numPr>
          <w:ilvl w:val="2"/>
          <w:numId w:val="136"/>
        </w:numPr>
        <w:tabs>
          <w:tab w:val="left" w:pos="1053"/>
        </w:tabs>
        <w:spacing w:before="1" w:after="0" w:line="240" w:lineRule="auto"/>
        <w:ind w:left="1052" w:right="0" w:hanging="841"/>
        <w:jc w:val="both"/>
        <w:rPr>
          <w:sz w:val="21"/>
        </w:rPr>
      </w:pPr>
      <w:bookmarkStart w:id="597" w:name="4.1.5本条规定了无障碍机动车停车位的设计要求。"/>
      <w:bookmarkEnd w:id="597"/>
      <w:bookmarkStart w:id="598" w:name="4.1.5本条规定了无障碍机动车停车位的设计要求。"/>
      <w:bookmarkEnd w:id="598"/>
      <w:r>
        <w:rPr>
          <w:sz w:val="21"/>
        </w:rPr>
        <w:t>本条规定了无障碍机动车停车位的设计要求。</w:t>
      </w:r>
    </w:p>
    <w:p>
      <w:pPr>
        <w:pStyle w:val="5"/>
        <w:spacing w:before="6"/>
        <w:rPr>
          <w:sz w:val="15"/>
        </w:rPr>
      </w:pPr>
    </w:p>
    <w:p>
      <w:pPr>
        <w:pStyle w:val="12"/>
        <w:numPr>
          <w:ilvl w:val="3"/>
          <w:numId w:val="136"/>
        </w:numPr>
        <w:tabs>
          <w:tab w:val="left" w:pos="1060"/>
        </w:tabs>
        <w:spacing w:before="0" w:after="0" w:line="417" w:lineRule="auto"/>
        <w:ind w:left="212" w:right="312" w:firstLine="427"/>
        <w:jc w:val="both"/>
        <w:rPr>
          <w:sz w:val="21"/>
        </w:rPr>
      </w:pPr>
      <w:r>
        <w:rPr>
          <w:spacing w:val="-4"/>
          <w:w w:val="95"/>
          <w:sz w:val="21"/>
        </w:rPr>
        <w:t xml:space="preserve">地面停车场中，应将距离建筑的无障碍出入口路线短、临近无障碍通道、通行方便的停车位设为   </w:t>
      </w:r>
      <w:r>
        <w:rPr>
          <w:spacing w:val="-6"/>
          <w:w w:val="95"/>
          <w:sz w:val="21"/>
        </w:rPr>
        <w:t xml:space="preserve">无障碍机动车停车位。地下停车库中，应将距离无障碍电梯路线短且通行方便的停车位设为无障碍机动车   </w:t>
      </w:r>
      <w:r>
        <w:rPr>
          <w:spacing w:val="-6"/>
          <w:sz w:val="21"/>
        </w:rPr>
        <w:t>停车位。</w:t>
      </w:r>
    </w:p>
    <w:p>
      <w:pPr>
        <w:pStyle w:val="12"/>
        <w:numPr>
          <w:ilvl w:val="3"/>
          <w:numId w:val="136"/>
        </w:numPr>
        <w:tabs>
          <w:tab w:val="left" w:pos="1060"/>
        </w:tabs>
        <w:spacing w:before="0" w:after="0" w:line="417" w:lineRule="auto"/>
        <w:ind w:left="212" w:right="312" w:firstLine="427"/>
        <w:jc w:val="both"/>
        <w:rPr>
          <w:sz w:val="21"/>
        </w:rPr>
      </w:pPr>
      <w:r>
        <w:rPr>
          <w:spacing w:val="-3"/>
          <w:sz w:val="21"/>
        </w:rPr>
        <w:t xml:space="preserve">停车位的一侧或与相邻停车位之间应留有宽 </w:t>
      </w:r>
      <w:r>
        <w:rPr>
          <w:sz w:val="21"/>
        </w:rPr>
        <w:t>1.20</w:t>
      </w:r>
      <w:r>
        <w:rPr>
          <w:rFonts w:hint="eastAsia" w:ascii="仿宋" w:eastAsia="仿宋"/>
          <w:sz w:val="21"/>
        </w:rPr>
        <w:t>m</w:t>
      </w:r>
      <w:r>
        <w:rPr>
          <w:rFonts w:hint="eastAsia" w:ascii="仿宋" w:eastAsia="仿宋"/>
          <w:spacing w:val="-50"/>
          <w:sz w:val="21"/>
        </w:rPr>
        <w:t xml:space="preserve"> </w:t>
      </w:r>
      <w:r>
        <w:rPr>
          <w:sz w:val="21"/>
        </w:rPr>
        <w:t>以上的轮椅通道（</w:t>
      </w:r>
      <w:r>
        <w:rPr>
          <w:spacing w:val="-17"/>
          <w:sz w:val="21"/>
        </w:rPr>
        <w:t xml:space="preserve">如图 </w:t>
      </w:r>
      <w:r>
        <w:rPr>
          <w:sz w:val="21"/>
        </w:rPr>
        <w:t>4.1.5），方便乘轮椅者由车辆转乘至轮椅。相邻的两个无障碍机动车停车位可用一个轮椅通道。</w:t>
      </w:r>
    </w:p>
    <w:p>
      <w:pPr>
        <w:spacing w:after="0" w:line="417" w:lineRule="auto"/>
        <w:jc w:val="both"/>
        <w:rPr>
          <w:sz w:val="21"/>
        </w:rPr>
        <w:sectPr>
          <w:pgSz w:w="11910" w:h="16840"/>
          <w:pgMar w:top="1580" w:right="820" w:bottom="1280" w:left="920" w:header="0" w:footer="1015" w:gutter="0"/>
          <w:cols w:space="720" w:num="1"/>
        </w:sectPr>
      </w:pPr>
    </w:p>
    <w:p>
      <w:pPr>
        <w:pStyle w:val="5"/>
        <w:spacing w:before="12"/>
        <w:rPr>
          <w:sz w:val="6"/>
        </w:rPr>
      </w:pPr>
    </w:p>
    <w:p>
      <w:pPr>
        <w:pStyle w:val="5"/>
        <w:ind w:left="2254"/>
        <w:rPr>
          <w:sz w:val="20"/>
        </w:rPr>
      </w:pPr>
      <w:r>
        <w:rPr>
          <w:sz w:val="20"/>
        </w:rPr>
        <w:drawing>
          <wp:inline distT="0" distB="0" distL="0" distR="0">
            <wp:extent cx="3186430" cy="2179320"/>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9.jpeg"/>
                    <pic:cNvPicPr>
                      <a:picLocks noChangeAspect="1"/>
                    </pic:cNvPicPr>
                  </pic:nvPicPr>
                  <pic:blipFill>
                    <a:blip r:embed="rId64" cstate="print"/>
                    <a:stretch>
                      <a:fillRect/>
                    </a:stretch>
                  </pic:blipFill>
                  <pic:spPr>
                    <a:xfrm>
                      <a:off x="0" y="0"/>
                      <a:ext cx="3186554" cy="2179320"/>
                    </a:xfrm>
                    <a:prstGeom prst="rect">
                      <a:avLst/>
                    </a:prstGeom>
                  </pic:spPr>
                </pic:pic>
              </a:graphicData>
            </a:graphic>
          </wp:inline>
        </w:drawing>
      </w:r>
    </w:p>
    <w:p>
      <w:pPr>
        <w:pStyle w:val="5"/>
        <w:spacing w:before="5"/>
        <w:rPr>
          <w:sz w:val="20"/>
        </w:rPr>
      </w:pPr>
    </w:p>
    <w:p>
      <w:pPr>
        <w:pStyle w:val="5"/>
        <w:spacing w:before="70"/>
        <w:ind w:right="102"/>
        <w:jc w:val="center"/>
      </w:pPr>
      <w:r>
        <w:t>图 4.1.5 无障碍机动车停车位轮椅通道</w:t>
      </w:r>
    </w:p>
    <w:p>
      <w:pPr>
        <w:pStyle w:val="5"/>
        <w:spacing w:before="5"/>
        <w:rPr>
          <w:sz w:val="19"/>
        </w:rPr>
      </w:pPr>
    </w:p>
    <w:p>
      <w:pPr>
        <w:pStyle w:val="12"/>
        <w:numPr>
          <w:ilvl w:val="3"/>
          <w:numId w:val="136"/>
        </w:numPr>
        <w:tabs>
          <w:tab w:val="left" w:pos="957"/>
        </w:tabs>
        <w:spacing w:before="1" w:after="0" w:line="417" w:lineRule="auto"/>
        <w:ind w:left="212" w:right="315" w:firstLine="427"/>
        <w:jc w:val="both"/>
        <w:rPr>
          <w:sz w:val="21"/>
        </w:rPr>
      </w:pPr>
      <w:r>
        <w:rPr>
          <w:sz w:val="21"/>
        </w:rPr>
        <w:t>无障碍机动车停车位地面坡度的控制，可保障乘轮椅者从车辆移乘至轮椅时，轮椅能够稳定停放不滑行。</w:t>
      </w:r>
    </w:p>
    <w:p>
      <w:pPr>
        <w:pStyle w:val="12"/>
        <w:numPr>
          <w:ilvl w:val="3"/>
          <w:numId w:val="136"/>
        </w:numPr>
        <w:tabs>
          <w:tab w:val="left" w:pos="957"/>
        </w:tabs>
        <w:spacing w:before="0" w:after="0" w:line="417" w:lineRule="auto"/>
        <w:ind w:left="212" w:right="315" w:firstLine="427"/>
        <w:jc w:val="both"/>
        <w:rPr>
          <w:sz w:val="21"/>
        </w:rPr>
      </w:pPr>
      <w:r>
        <w:rPr>
          <w:sz w:val="21"/>
        </w:rPr>
        <w:t>本条的目的是为引导乘轮椅者顺利找到无障碍机动车停车位。无障碍机动车停车位标识一般设在无障碍机动车停车位的地面停车线范围内。设置轮椅通道线是为了避免占用。</w:t>
      </w:r>
    </w:p>
    <w:p>
      <w:pPr>
        <w:pStyle w:val="12"/>
        <w:numPr>
          <w:ilvl w:val="3"/>
          <w:numId w:val="136"/>
        </w:numPr>
        <w:tabs>
          <w:tab w:val="left" w:pos="957"/>
        </w:tabs>
        <w:spacing w:before="0" w:after="0" w:line="417" w:lineRule="auto"/>
        <w:ind w:left="212" w:right="312" w:firstLine="427"/>
        <w:jc w:val="both"/>
        <w:rPr>
          <w:sz w:val="21"/>
        </w:rPr>
      </w:pPr>
      <w:r>
        <w:rPr>
          <w:spacing w:val="-2"/>
          <w:sz w:val="21"/>
        </w:rPr>
        <w:t xml:space="preserve">深圳市电动机动车保有量逐年提升，根据《深圳市城市规划标准与准则》第 </w:t>
      </w:r>
      <w:r>
        <w:rPr>
          <w:sz w:val="21"/>
        </w:rPr>
        <w:t>6.4.2.5</w:t>
      </w:r>
      <w:r>
        <w:rPr>
          <w:spacing w:val="-8"/>
          <w:sz w:val="21"/>
        </w:rPr>
        <w:t xml:space="preserve"> 条规定“新</w:t>
      </w:r>
      <w:r>
        <w:rPr>
          <w:spacing w:val="-10"/>
          <w:sz w:val="21"/>
        </w:rPr>
        <w:t xml:space="preserve">建各类建筑物配建停车场、社会公共停车场须按照停车位数量 </w:t>
      </w:r>
      <w:r>
        <w:rPr>
          <w:sz w:val="21"/>
        </w:rPr>
        <w:t>30%的比例配建充电设施。”为避免电动机动车停车位的充电设施影响无障碍通行，做出本款规定。充电设施包括充电桩、充电缆线。</w:t>
      </w:r>
    </w:p>
    <w:p>
      <w:pPr>
        <w:pStyle w:val="12"/>
        <w:numPr>
          <w:ilvl w:val="2"/>
          <w:numId w:val="136"/>
        </w:numPr>
        <w:tabs>
          <w:tab w:val="left" w:pos="1053"/>
        </w:tabs>
        <w:spacing w:before="0" w:after="0" w:line="417" w:lineRule="auto"/>
        <w:ind w:left="212" w:right="312" w:firstLine="0"/>
        <w:jc w:val="both"/>
        <w:rPr>
          <w:sz w:val="21"/>
        </w:rPr>
      </w:pPr>
      <w:bookmarkStart w:id="599" w:name="4.1.6在机场、客运站、通关口岸、轮渡码头、医院等客流集中及无障碍需求比较集中"/>
      <w:bookmarkEnd w:id="599"/>
      <w:bookmarkStart w:id="600" w:name="4.1.6在机场、客运站、通关口岸、轮渡码头、医院等客流集中及无障碍需求比较集中"/>
      <w:bookmarkEnd w:id="600"/>
      <w:r>
        <w:rPr>
          <w:sz w:val="21"/>
        </w:rPr>
        <w:t>在机场、客运站、通关口岸、轮渡码头、医院等客流集中及无障碍需求比较集中的场所的上</w:t>
      </w:r>
      <w:r>
        <w:rPr>
          <w:spacing w:val="3"/>
          <w:sz w:val="21"/>
        </w:rPr>
        <w:t>/</w:t>
      </w:r>
      <w:r>
        <w:rPr>
          <w:sz w:val="21"/>
        </w:rPr>
        <w:t>落客区内设置无障碍机动车上/落客区，便于乘轮椅者使用。在我国现行标准中没有明确此要求，本条根据近年无障碍设计建设实际情况及参照国际标准增加要求。</w:t>
      </w:r>
    </w:p>
    <w:p>
      <w:pPr>
        <w:pStyle w:val="5"/>
        <w:spacing w:line="269" w:lineRule="exact"/>
        <w:ind w:right="99"/>
        <w:jc w:val="center"/>
        <w:rPr>
          <w:rFonts w:hint="eastAsia" w:ascii="黑体" w:eastAsia="黑体"/>
        </w:rPr>
      </w:pPr>
      <w:bookmarkStart w:id="601" w:name="III缘石坡道"/>
      <w:bookmarkEnd w:id="601"/>
      <w:r>
        <w:rPr>
          <w:rFonts w:hint="eastAsia" w:ascii="黑体" w:eastAsia="黑体"/>
        </w:rPr>
        <w:t>III 缘石坡道</w:t>
      </w:r>
    </w:p>
    <w:p>
      <w:pPr>
        <w:pStyle w:val="5"/>
        <w:spacing w:before="5"/>
        <w:rPr>
          <w:rFonts w:ascii="黑体"/>
          <w:sz w:val="15"/>
        </w:rPr>
      </w:pPr>
    </w:p>
    <w:p>
      <w:pPr>
        <w:pStyle w:val="12"/>
        <w:numPr>
          <w:ilvl w:val="2"/>
          <w:numId w:val="136"/>
        </w:numPr>
        <w:tabs>
          <w:tab w:val="left" w:pos="1029"/>
        </w:tabs>
        <w:spacing w:before="0" w:after="0" w:line="240" w:lineRule="auto"/>
        <w:ind w:left="1028" w:right="0" w:hanging="673"/>
        <w:jc w:val="left"/>
        <w:rPr>
          <w:sz w:val="21"/>
        </w:rPr>
      </w:pPr>
      <w:bookmarkStart w:id="602" w:name="4.1.7 本条规定了缘石坡道的设计要求。"/>
      <w:bookmarkEnd w:id="602"/>
      <w:bookmarkStart w:id="603" w:name="4.1.7 本条规定了缘石坡道的设计要求。"/>
      <w:bookmarkEnd w:id="603"/>
      <w:r>
        <w:rPr>
          <w:sz w:val="21"/>
        </w:rPr>
        <w:t>本条规定了缘石坡道的设计要求。</w:t>
      </w:r>
    </w:p>
    <w:p>
      <w:pPr>
        <w:pStyle w:val="5"/>
        <w:spacing w:before="7"/>
        <w:rPr>
          <w:sz w:val="15"/>
        </w:rPr>
      </w:pPr>
    </w:p>
    <w:p>
      <w:pPr>
        <w:pStyle w:val="12"/>
        <w:numPr>
          <w:ilvl w:val="0"/>
          <w:numId w:val="137"/>
        </w:numPr>
        <w:tabs>
          <w:tab w:val="left" w:pos="1059"/>
          <w:tab w:val="left" w:pos="1060"/>
        </w:tabs>
        <w:spacing w:before="0" w:after="0" w:line="417" w:lineRule="auto"/>
        <w:ind w:left="212" w:right="315" w:firstLine="427"/>
        <w:jc w:val="left"/>
        <w:rPr>
          <w:sz w:val="21"/>
        </w:rPr>
      </w:pPr>
      <w:r>
        <w:rPr>
          <w:spacing w:val="-3"/>
          <w:w w:val="95"/>
          <w:sz w:val="21"/>
        </w:rPr>
        <w:t xml:space="preserve">缘石坡道坡口与车行道之间应做到无高差，便于乘轮椅者、推婴儿车者、携带行李者及其他行动   </w:t>
      </w:r>
      <w:r>
        <w:rPr>
          <w:spacing w:val="-3"/>
          <w:sz w:val="21"/>
        </w:rPr>
        <w:t>不便者的通行。</w:t>
      </w:r>
    </w:p>
    <w:p>
      <w:pPr>
        <w:pStyle w:val="12"/>
        <w:numPr>
          <w:ilvl w:val="0"/>
          <w:numId w:val="137"/>
        </w:numPr>
        <w:tabs>
          <w:tab w:val="left" w:pos="1052"/>
          <w:tab w:val="left" w:pos="1053"/>
        </w:tabs>
        <w:spacing w:before="0" w:after="0" w:line="417" w:lineRule="auto"/>
        <w:ind w:left="212" w:right="208" w:firstLine="420"/>
        <w:jc w:val="left"/>
        <w:rPr>
          <w:sz w:val="21"/>
        </w:rPr>
      </w:pPr>
      <w:r>
        <w:rPr>
          <w:sz w:val="21"/>
        </w:rPr>
        <w:t>本款规定的提示盲道的位置是设在缘石坡道上靠近车行道处。参照《深圳市道路设计标准》</w:t>
      </w:r>
      <w:r>
        <w:rPr>
          <w:rFonts w:hint="eastAsia" w:ascii="仿宋" w:hAnsi="仿宋" w:eastAsia="仿宋"/>
          <w:sz w:val="21"/>
        </w:rPr>
        <w:t xml:space="preserve">SJG </w:t>
      </w:r>
      <w:r>
        <w:rPr>
          <w:sz w:val="21"/>
        </w:rPr>
        <w:t>69-2020</w:t>
      </w:r>
      <w:r>
        <w:rPr>
          <w:spacing w:val="-29"/>
          <w:sz w:val="21"/>
        </w:rPr>
        <w:t xml:space="preserve"> 第</w:t>
      </w:r>
      <w:r>
        <w:rPr>
          <w:sz w:val="21"/>
        </w:rPr>
        <w:t>5.6.3</w:t>
      </w:r>
      <w:r>
        <w:rPr>
          <w:spacing w:val="-18"/>
          <w:sz w:val="21"/>
        </w:rPr>
        <w:t xml:space="preserve"> 条第</w:t>
      </w:r>
      <w:r>
        <w:rPr>
          <w:sz w:val="21"/>
        </w:rPr>
        <w:t>7</w:t>
      </w:r>
      <w:r>
        <w:rPr>
          <w:spacing w:val="-9"/>
          <w:sz w:val="21"/>
        </w:rPr>
        <w:t xml:space="preserve"> 款“缘石坡道及交通安全岛通行区域距离行车道</w:t>
      </w:r>
      <w:r>
        <w:rPr>
          <w:sz w:val="21"/>
        </w:rPr>
        <w:t>250</w:t>
      </w:r>
      <w:r>
        <w:rPr>
          <w:rFonts w:hint="eastAsia" w:ascii="仿宋" w:hAnsi="仿宋" w:eastAsia="仿宋"/>
          <w:sz w:val="21"/>
        </w:rPr>
        <w:t>mm</w:t>
      </w:r>
      <w:r>
        <w:rPr>
          <w:sz w:val="21"/>
        </w:rPr>
        <w:t>～500</w:t>
      </w:r>
      <w:r>
        <w:rPr>
          <w:rFonts w:hint="eastAsia" w:ascii="仿宋" w:hAnsi="仿宋" w:eastAsia="仿宋"/>
          <w:sz w:val="21"/>
        </w:rPr>
        <w:t>mm</w:t>
      </w:r>
      <w:r>
        <w:rPr>
          <w:rFonts w:hint="eastAsia" w:ascii="仿宋" w:hAnsi="仿宋" w:eastAsia="仿宋"/>
          <w:spacing w:val="-82"/>
          <w:sz w:val="21"/>
        </w:rPr>
        <w:t xml:space="preserve"> </w:t>
      </w:r>
      <w:r>
        <w:rPr>
          <w:sz w:val="21"/>
        </w:rPr>
        <w:t xml:space="preserve">处应铺设提示盲道， </w:t>
      </w:r>
      <w:r>
        <w:rPr>
          <w:spacing w:val="-2"/>
          <w:sz w:val="21"/>
        </w:rPr>
        <w:t xml:space="preserve">宽度宜与人行横道宽度相同。”因此本款规定缘石坡道距车行道上口边缘 </w:t>
      </w:r>
      <w:r>
        <w:rPr>
          <w:sz w:val="21"/>
        </w:rPr>
        <w:t>250</w:t>
      </w:r>
      <w:r>
        <w:rPr>
          <w:rFonts w:hint="eastAsia" w:ascii="仿宋" w:hAnsi="仿宋" w:eastAsia="仿宋"/>
          <w:sz w:val="21"/>
        </w:rPr>
        <w:t>mm</w:t>
      </w:r>
      <w:r>
        <w:rPr>
          <w:sz w:val="21"/>
        </w:rPr>
        <w:t>～500</w:t>
      </w:r>
      <w:r>
        <w:rPr>
          <w:rFonts w:hint="eastAsia" w:ascii="仿宋" w:hAnsi="仿宋" w:eastAsia="仿宋"/>
          <w:sz w:val="21"/>
        </w:rPr>
        <w:t>mm</w:t>
      </w:r>
      <w:r>
        <w:rPr>
          <w:rFonts w:hint="eastAsia" w:ascii="仿宋" w:hAnsi="仿宋" w:eastAsia="仿宋"/>
          <w:spacing w:val="-58"/>
          <w:sz w:val="21"/>
        </w:rPr>
        <w:t xml:space="preserve"> </w:t>
      </w:r>
      <w:r>
        <w:rPr>
          <w:sz w:val="21"/>
        </w:rPr>
        <w:t>处应设置提示盲道。</w:t>
      </w:r>
    </w:p>
    <w:p>
      <w:pPr>
        <w:pStyle w:val="12"/>
        <w:numPr>
          <w:ilvl w:val="0"/>
          <w:numId w:val="137"/>
        </w:numPr>
        <w:tabs>
          <w:tab w:val="left" w:pos="1059"/>
          <w:tab w:val="left" w:pos="1060"/>
        </w:tabs>
        <w:spacing w:before="0" w:after="0" w:line="268" w:lineRule="exact"/>
        <w:ind w:left="1060" w:right="0" w:hanging="420"/>
        <w:jc w:val="left"/>
        <w:rPr>
          <w:sz w:val="21"/>
        </w:rPr>
      </w:pPr>
      <w:r>
        <w:rPr>
          <w:sz w:val="21"/>
        </w:rPr>
        <w:t>缘石坡道顶端处需要留有一定的空间，保证包括乘轮椅者在内的行人的滞留及安全通过。</w:t>
      </w:r>
    </w:p>
    <w:p>
      <w:pPr>
        <w:pStyle w:val="5"/>
        <w:spacing w:before="6"/>
        <w:rPr>
          <w:sz w:val="15"/>
        </w:rPr>
      </w:pPr>
    </w:p>
    <w:p>
      <w:pPr>
        <w:pStyle w:val="12"/>
        <w:numPr>
          <w:ilvl w:val="0"/>
          <w:numId w:val="137"/>
        </w:numPr>
        <w:tabs>
          <w:tab w:val="left" w:pos="1059"/>
          <w:tab w:val="left" w:pos="1060"/>
        </w:tabs>
        <w:spacing w:before="0" w:after="0" w:line="240" w:lineRule="auto"/>
        <w:ind w:left="1060" w:right="0" w:hanging="420"/>
        <w:jc w:val="left"/>
        <w:rPr>
          <w:sz w:val="21"/>
        </w:rPr>
      </w:pPr>
      <w:r>
        <w:rPr>
          <w:sz w:val="21"/>
        </w:rPr>
        <w:t>缘石坡道的设置需要考虑与其他设施的组配问题，如滤水箅子、阻车桩等，避免造成通行不便。</w:t>
      </w:r>
    </w:p>
    <w:p>
      <w:pPr>
        <w:spacing w:after="0" w:line="240" w:lineRule="auto"/>
        <w:jc w:val="left"/>
        <w:rPr>
          <w:sz w:val="21"/>
        </w:rPr>
        <w:sectPr>
          <w:footerReference r:id="rId11" w:type="default"/>
          <w:pgSz w:w="11910" w:h="16840"/>
          <w:pgMar w:top="1580" w:right="820" w:bottom="1280" w:left="920" w:header="0" w:footer="1095" w:gutter="0"/>
          <w:pgNumType w:start="60"/>
          <w:cols w:space="720" w:num="1"/>
        </w:sectPr>
      </w:pPr>
    </w:p>
    <w:p>
      <w:pPr>
        <w:pStyle w:val="5"/>
        <w:spacing w:before="60" w:line="417" w:lineRule="auto"/>
        <w:ind w:left="212" w:right="310"/>
        <w:jc w:val="both"/>
      </w:pPr>
      <w:r>
        <w:rPr>
          <w:spacing w:val="-3"/>
          <w:w w:val="95"/>
        </w:rPr>
        <w:t xml:space="preserve">缘石坡道处设置阻车桩防止机动车辆驶入人行道范围，但不应影响轮椅、婴儿车等通行，阻车桩间距不应   </w:t>
      </w:r>
      <w:r>
        <w:rPr>
          <w:spacing w:val="-19"/>
        </w:rPr>
        <w:t xml:space="preserve">小于 </w:t>
      </w:r>
      <w:r>
        <w:t>900</w:t>
      </w:r>
      <w:r>
        <w:rPr>
          <w:rFonts w:hint="eastAsia" w:ascii="仿宋" w:hAnsi="仿宋" w:eastAsia="仿宋"/>
        </w:rPr>
        <w:t>mm</w:t>
      </w:r>
      <w:r>
        <w:t>。参照《深圳市道路设计标准》</w:t>
      </w:r>
      <w:r>
        <w:rPr>
          <w:rFonts w:hint="eastAsia" w:ascii="仿宋" w:hAnsi="仿宋" w:eastAsia="仿宋"/>
        </w:rPr>
        <w:t xml:space="preserve">SJG </w:t>
      </w:r>
      <w:r>
        <w:t>69-2020</w:t>
      </w:r>
      <w:r>
        <w:rPr>
          <w:spacing w:val="-34"/>
        </w:rPr>
        <w:t xml:space="preserve"> 第 </w:t>
      </w:r>
      <w:r>
        <w:t>8.3.3</w:t>
      </w:r>
      <w:r>
        <w:rPr>
          <w:spacing w:val="-25"/>
        </w:rPr>
        <w:t xml:space="preserve"> 条第 </w:t>
      </w:r>
      <w:r>
        <w:t>4</w:t>
      </w:r>
      <w:r>
        <w:rPr>
          <w:spacing w:val="-6"/>
        </w:rPr>
        <w:t xml:space="preserve"> 款“车止石与防护柱设置净距为120</w:t>
      </w:r>
      <w:r>
        <w:rPr>
          <w:rFonts w:hint="eastAsia" w:ascii="仿宋" w:hAnsi="仿宋" w:eastAsia="仿宋"/>
          <w:spacing w:val="-6"/>
        </w:rPr>
        <w:t>cm</w:t>
      </w:r>
      <w:r>
        <w:rPr>
          <w:spacing w:val="-6"/>
        </w:rPr>
        <w:t>～150</w:t>
      </w:r>
      <w:r>
        <w:rPr>
          <w:rFonts w:hint="eastAsia" w:ascii="仿宋" w:hAnsi="仿宋" w:eastAsia="仿宋"/>
          <w:spacing w:val="-6"/>
        </w:rPr>
        <w:t>cm</w:t>
      </w:r>
      <w:r>
        <w:rPr>
          <w:spacing w:val="-8"/>
        </w:rPr>
        <w:t xml:space="preserve">……”，考虑三轮车的通行，本款规定阻车桩间距不宜小于 </w:t>
      </w:r>
      <w:r>
        <w:t>1.20</w:t>
      </w:r>
      <w:r>
        <w:rPr>
          <w:rFonts w:hint="eastAsia" w:ascii="仿宋" w:hAnsi="仿宋" w:eastAsia="仿宋"/>
        </w:rPr>
        <w:t>m</w:t>
      </w:r>
      <w:r>
        <w:t>。</w:t>
      </w:r>
    </w:p>
    <w:p>
      <w:pPr>
        <w:pStyle w:val="12"/>
        <w:numPr>
          <w:ilvl w:val="2"/>
          <w:numId w:val="136"/>
        </w:numPr>
        <w:tabs>
          <w:tab w:val="left" w:pos="1053"/>
        </w:tabs>
        <w:spacing w:before="0" w:after="0" w:line="417" w:lineRule="auto"/>
        <w:ind w:left="212" w:right="310" w:firstLine="0"/>
        <w:jc w:val="both"/>
        <w:rPr>
          <w:sz w:val="21"/>
        </w:rPr>
      </w:pPr>
      <w:bookmarkStart w:id="604" w:name="4.1.8本条规定了缘石坡道的坡度要求。缘石坡道的坡度应避免设置过陡造成使用时的"/>
      <w:bookmarkEnd w:id="604"/>
      <w:bookmarkStart w:id="605" w:name="4.1.8本条规定了缘石坡道的坡度要求。缘石坡道的坡度应避免设置过陡造成使用时的"/>
      <w:bookmarkEnd w:id="605"/>
      <w:r>
        <w:rPr>
          <w:spacing w:val="-2"/>
          <w:w w:val="95"/>
          <w:sz w:val="21"/>
        </w:rPr>
        <w:t xml:space="preserve">本条规定了缘石坡道的坡度要求。缘石坡道的坡度应避免设置过陡造成使用时的安全隐患。《无   </w:t>
      </w:r>
      <w:r>
        <w:rPr>
          <w:sz w:val="21"/>
        </w:rPr>
        <w:t>障碍设计规范》</w:t>
      </w:r>
      <w:r>
        <w:rPr>
          <w:rFonts w:hint="eastAsia" w:ascii="仿宋" w:hAnsi="仿宋" w:eastAsia="仿宋"/>
          <w:sz w:val="21"/>
        </w:rPr>
        <w:t>GB</w:t>
      </w:r>
      <w:r>
        <w:rPr>
          <w:sz w:val="21"/>
        </w:rPr>
        <w:t>50763-2012</w:t>
      </w:r>
      <w:r>
        <w:rPr>
          <w:spacing w:val="-34"/>
          <w:sz w:val="21"/>
        </w:rPr>
        <w:t xml:space="preserve"> 第 </w:t>
      </w:r>
      <w:r>
        <w:rPr>
          <w:sz w:val="21"/>
        </w:rPr>
        <w:t>3.1.2</w:t>
      </w:r>
      <w:r>
        <w:rPr>
          <w:spacing w:val="-9"/>
          <w:sz w:val="21"/>
        </w:rPr>
        <w:t xml:space="preserve"> 条“全宽式单面坡缘石坡道的坡度不应大于 </w:t>
      </w:r>
      <w:r>
        <w:rPr>
          <w:sz w:val="21"/>
        </w:rPr>
        <w:t>1:20；三面坡缘石坡</w:t>
      </w:r>
      <w:r>
        <w:rPr>
          <w:spacing w:val="-4"/>
          <w:sz w:val="21"/>
        </w:rPr>
        <w:t xml:space="preserve">道正面及侧面的坡度不应大于 </w:t>
      </w:r>
      <w:r>
        <w:rPr>
          <w:sz w:val="21"/>
        </w:rPr>
        <w:t>1:12</w:t>
      </w:r>
      <w:r>
        <w:rPr>
          <w:spacing w:val="-3"/>
          <w:sz w:val="21"/>
        </w:rPr>
        <w:t xml:space="preserve">；其他形式的缘石坡道的坡度均不应大于 </w:t>
      </w:r>
      <w:r>
        <w:rPr>
          <w:sz w:val="21"/>
        </w:rPr>
        <w:t>1:12。”深圳市建成人行道</w:t>
      </w:r>
      <w:r>
        <w:rPr>
          <w:spacing w:val="-7"/>
          <w:sz w:val="21"/>
        </w:rPr>
        <w:t xml:space="preserve">最小宽度一般达 </w:t>
      </w:r>
      <w:r>
        <w:rPr>
          <w:sz w:val="21"/>
        </w:rPr>
        <w:t>2.5</w:t>
      </w:r>
      <w:r>
        <w:rPr>
          <w:rFonts w:hint="eastAsia" w:ascii="仿宋" w:hAnsi="仿宋" w:eastAsia="仿宋"/>
          <w:sz w:val="21"/>
        </w:rPr>
        <w:t>m</w:t>
      </w:r>
      <w:r>
        <w:rPr>
          <w:spacing w:val="-4"/>
          <w:sz w:val="21"/>
        </w:rPr>
        <w:t xml:space="preserve">，建成缘石坡道坡度一般小于 </w:t>
      </w:r>
      <w:r>
        <w:rPr>
          <w:sz w:val="21"/>
        </w:rPr>
        <w:t>1:20</w:t>
      </w:r>
      <w:r>
        <w:rPr>
          <w:spacing w:val="-4"/>
          <w:sz w:val="21"/>
        </w:rPr>
        <w:t>。另参照《深圳市道路设计标准》</w:t>
      </w:r>
      <w:r>
        <w:rPr>
          <w:rFonts w:hint="eastAsia" w:ascii="仿宋" w:hAnsi="仿宋" w:eastAsia="仿宋"/>
          <w:sz w:val="21"/>
        </w:rPr>
        <w:t>SJG</w:t>
      </w:r>
      <w:r>
        <w:rPr>
          <w:rFonts w:hint="eastAsia" w:ascii="仿宋" w:hAnsi="仿宋" w:eastAsia="仿宋"/>
          <w:spacing w:val="-59"/>
          <w:sz w:val="21"/>
        </w:rPr>
        <w:t xml:space="preserve"> </w:t>
      </w:r>
      <w:r>
        <w:rPr>
          <w:sz w:val="21"/>
        </w:rPr>
        <w:t>69-2020</w:t>
      </w:r>
      <w:r>
        <w:rPr>
          <w:spacing w:val="-30"/>
          <w:sz w:val="21"/>
        </w:rPr>
        <w:t xml:space="preserve"> 第</w:t>
      </w:r>
    </w:p>
    <w:p>
      <w:pPr>
        <w:pStyle w:val="5"/>
        <w:spacing w:line="268" w:lineRule="exact"/>
        <w:ind w:left="212"/>
        <w:jc w:val="both"/>
      </w:pPr>
      <w:r>
        <w:t>5.6.3 条第 2 款“缘石坡道坡度应不大于 1:20……”因此，本条规定缘石坡道最大坡度为 1:20。</w:t>
      </w:r>
    </w:p>
    <w:p>
      <w:pPr>
        <w:pStyle w:val="5"/>
        <w:spacing w:before="6"/>
        <w:rPr>
          <w:sz w:val="15"/>
        </w:rPr>
      </w:pPr>
    </w:p>
    <w:p>
      <w:pPr>
        <w:pStyle w:val="12"/>
        <w:numPr>
          <w:ilvl w:val="2"/>
          <w:numId w:val="138"/>
        </w:numPr>
        <w:tabs>
          <w:tab w:val="left" w:pos="1052"/>
          <w:tab w:val="left" w:pos="1053"/>
        </w:tabs>
        <w:spacing w:before="0" w:after="0" w:line="417" w:lineRule="auto"/>
        <w:ind w:left="212" w:right="202" w:firstLine="0"/>
        <w:jc w:val="left"/>
        <w:rPr>
          <w:sz w:val="21"/>
        </w:rPr>
      </w:pPr>
      <w:r>
        <w:drawing>
          <wp:anchor distT="0" distB="0" distL="0" distR="0" simplePos="0" relativeHeight="251659264" behindDoc="0" locked="0" layoutInCell="1" allowOverlap="1">
            <wp:simplePos x="0" y="0"/>
            <wp:positionH relativeFrom="page">
              <wp:posOffset>2845435</wp:posOffset>
            </wp:positionH>
            <wp:positionV relativeFrom="paragraph">
              <wp:posOffset>1536065</wp:posOffset>
            </wp:positionV>
            <wp:extent cx="1702435" cy="1978025"/>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0.jpeg"/>
                    <pic:cNvPicPr>
                      <a:picLocks noChangeAspect="1"/>
                    </pic:cNvPicPr>
                  </pic:nvPicPr>
                  <pic:blipFill>
                    <a:blip r:embed="rId65" cstate="print"/>
                    <a:stretch>
                      <a:fillRect/>
                    </a:stretch>
                  </pic:blipFill>
                  <pic:spPr>
                    <a:xfrm>
                      <a:off x="0" y="0"/>
                      <a:ext cx="1702740" cy="1978152"/>
                    </a:xfrm>
                    <a:prstGeom prst="rect">
                      <a:avLst/>
                    </a:prstGeom>
                  </pic:spPr>
                </pic:pic>
              </a:graphicData>
            </a:graphic>
          </wp:anchor>
        </w:drawing>
      </w:r>
      <w:bookmarkStart w:id="606" w:name="4.1.9本条规定了缘石坡道的宽度要求。全宽式单面坡缘石坡道（如图4.1.9-1"/>
      <w:bookmarkEnd w:id="606"/>
      <w:bookmarkStart w:id="607" w:name="4.1.9本条规定了缘石坡道的宽度要求。全宽式单面坡缘石坡道（如图4.1.9-1"/>
      <w:bookmarkEnd w:id="607"/>
      <w:r>
        <w:rPr>
          <w:spacing w:val="-5"/>
          <w:sz w:val="21"/>
        </w:rPr>
        <w:t>本条规定了缘石坡道的宽度要求。全宽式单面坡缘石坡道</w:t>
      </w:r>
      <w:r>
        <w:rPr>
          <w:sz w:val="21"/>
        </w:rPr>
        <w:t>（</w:t>
      </w:r>
      <w:r>
        <w:rPr>
          <w:spacing w:val="-19"/>
          <w:sz w:val="21"/>
        </w:rPr>
        <w:t xml:space="preserve">如图 </w:t>
      </w:r>
      <w:r>
        <w:rPr>
          <w:spacing w:val="-8"/>
          <w:sz w:val="21"/>
        </w:rPr>
        <w:t>4.1.9-1）</w:t>
      </w:r>
      <w:r>
        <w:rPr>
          <w:spacing w:val="-7"/>
          <w:sz w:val="21"/>
        </w:rPr>
        <w:t>，三面坡缘石坡道</w:t>
      </w:r>
      <w:r>
        <w:rPr>
          <w:sz w:val="21"/>
        </w:rPr>
        <w:t>（如</w:t>
      </w:r>
      <w:r>
        <w:rPr>
          <w:w w:val="99"/>
          <w:sz w:val="21"/>
        </w:rPr>
        <w:t>图</w:t>
      </w:r>
      <w:r>
        <w:rPr>
          <w:spacing w:val="-50"/>
          <w:sz w:val="21"/>
        </w:rPr>
        <w:t xml:space="preserve"> </w:t>
      </w:r>
      <w:r>
        <w:rPr>
          <w:spacing w:val="1"/>
          <w:w w:val="99"/>
          <w:sz w:val="21"/>
        </w:rPr>
        <w:t>4.</w:t>
      </w:r>
      <w:r>
        <w:rPr>
          <w:spacing w:val="-2"/>
          <w:w w:val="99"/>
          <w:sz w:val="21"/>
        </w:rPr>
        <w:t>1</w:t>
      </w:r>
      <w:r>
        <w:rPr>
          <w:spacing w:val="1"/>
          <w:w w:val="99"/>
          <w:sz w:val="21"/>
        </w:rPr>
        <w:t>.9-</w:t>
      </w:r>
      <w:r>
        <w:rPr>
          <w:spacing w:val="-2"/>
          <w:w w:val="99"/>
          <w:sz w:val="21"/>
        </w:rPr>
        <w:t>2</w:t>
      </w:r>
      <w:r>
        <w:rPr>
          <w:spacing w:val="-82"/>
          <w:w w:val="99"/>
          <w:sz w:val="21"/>
        </w:rPr>
        <w:t>）</w:t>
      </w:r>
      <w:r>
        <w:rPr>
          <w:spacing w:val="-13"/>
          <w:w w:val="99"/>
          <w:sz w:val="21"/>
        </w:rPr>
        <w:t>，其他形式的缘石坡道包括扇面式缘石坡道</w:t>
      </w:r>
      <w:r>
        <w:rPr>
          <w:spacing w:val="-1"/>
          <w:w w:val="99"/>
          <w:sz w:val="21"/>
        </w:rPr>
        <w:t>（如图</w:t>
      </w:r>
      <w:r>
        <w:rPr>
          <w:spacing w:val="-53"/>
          <w:sz w:val="21"/>
        </w:rPr>
        <w:t xml:space="preserve"> </w:t>
      </w:r>
      <w:r>
        <w:rPr>
          <w:spacing w:val="1"/>
          <w:w w:val="99"/>
          <w:sz w:val="21"/>
        </w:rPr>
        <w:t>4.1</w:t>
      </w:r>
      <w:r>
        <w:rPr>
          <w:spacing w:val="-2"/>
          <w:w w:val="99"/>
          <w:sz w:val="21"/>
        </w:rPr>
        <w:t>.</w:t>
      </w:r>
      <w:r>
        <w:rPr>
          <w:spacing w:val="1"/>
          <w:w w:val="99"/>
          <w:sz w:val="21"/>
        </w:rPr>
        <w:t>9-3</w:t>
      </w:r>
      <w:r>
        <w:rPr>
          <w:spacing w:val="-82"/>
          <w:w w:val="99"/>
          <w:sz w:val="21"/>
        </w:rPr>
        <w:t>）</w:t>
      </w:r>
      <w:r>
        <w:rPr>
          <w:spacing w:val="-21"/>
          <w:w w:val="99"/>
          <w:sz w:val="21"/>
        </w:rPr>
        <w:t>、平行式缘石坡道</w:t>
      </w:r>
      <w:r>
        <w:rPr>
          <w:spacing w:val="-1"/>
          <w:w w:val="99"/>
          <w:sz w:val="21"/>
        </w:rPr>
        <w:t>（如图</w:t>
      </w:r>
      <w:r>
        <w:rPr>
          <w:spacing w:val="-53"/>
          <w:sz w:val="21"/>
        </w:rPr>
        <w:t xml:space="preserve"> </w:t>
      </w:r>
      <w:r>
        <w:rPr>
          <w:spacing w:val="1"/>
          <w:w w:val="99"/>
          <w:sz w:val="21"/>
        </w:rPr>
        <w:t>4.1</w:t>
      </w:r>
      <w:r>
        <w:rPr>
          <w:spacing w:val="-2"/>
          <w:w w:val="99"/>
          <w:sz w:val="21"/>
        </w:rPr>
        <w:t>.</w:t>
      </w:r>
      <w:r>
        <w:rPr>
          <w:spacing w:val="1"/>
          <w:w w:val="99"/>
          <w:sz w:val="21"/>
        </w:rPr>
        <w:t>9-</w:t>
      </w:r>
      <w:r>
        <w:rPr>
          <w:spacing w:val="-2"/>
          <w:w w:val="99"/>
          <w:sz w:val="21"/>
        </w:rPr>
        <w:t>4</w:t>
      </w:r>
      <w:r>
        <w:rPr>
          <w:spacing w:val="-101"/>
          <w:w w:val="99"/>
          <w:sz w:val="21"/>
        </w:rPr>
        <w:t>）</w:t>
      </w:r>
      <w:r>
        <w:rPr>
          <w:w w:val="99"/>
          <w:sz w:val="21"/>
        </w:rPr>
        <w:t>、</w:t>
      </w:r>
      <w:r>
        <w:rPr>
          <w:sz w:val="21"/>
        </w:rPr>
        <w:t>整体式缘石坡道</w:t>
      </w:r>
      <w:r>
        <w:rPr>
          <w:spacing w:val="4"/>
          <w:sz w:val="21"/>
        </w:rPr>
        <w:t>（</w:t>
      </w:r>
      <w:r>
        <w:rPr>
          <w:spacing w:val="-25"/>
          <w:sz w:val="21"/>
        </w:rPr>
        <w:t xml:space="preserve">图 </w:t>
      </w:r>
      <w:r>
        <w:rPr>
          <w:sz w:val="21"/>
        </w:rPr>
        <w:t>4.1.9-5）、单面坡缘石坡道（</w:t>
      </w:r>
      <w:r>
        <w:rPr>
          <w:spacing w:val="-16"/>
          <w:sz w:val="21"/>
        </w:rPr>
        <w:t xml:space="preserve">如图 </w:t>
      </w:r>
      <w:r>
        <w:rPr>
          <w:sz w:val="21"/>
        </w:rPr>
        <w:t>4.1.9-6）及组合式缘石坡道等。当人行道宽度</w:t>
      </w:r>
      <w:r>
        <w:rPr>
          <w:spacing w:val="-15"/>
          <w:sz w:val="21"/>
        </w:rPr>
        <w:t xml:space="preserve">不足 </w:t>
      </w:r>
      <w:r>
        <w:rPr>
          <w:sz w:val="21"/>
        </w:rPr>
        <w:t>3</w:t>
      </w:r>
      <w:r>
        <w:rPr>
          <w:rFonts w:hint="eastAsia" w:ascii="仿宋" w:eastAsia="仿宋"/>
          <w:sz w:val="21"/>
        </w:rPr>
        <w:t>m</w:t>
      </w:r>
      <w:r>
        <w:rPr>
          <w:rFonts w:hint="eastAsia" w:ascii="仿宋" w:eastAsia="仿宋"/>
          <w:spacing w:val="-48"/>
          <w:sz w:val="21"/>
        </w:rPr>
        <w:t xml:space="preserve"> </w:t>
      </w:r>
      <w:r>
        <w:rPr>
          <w:sz w:val="21"/>
        </w:rPr>
        <w:t>时，宜采用全宽式单面坡缘石坡道或整体式缘石坡道。当缘石坡道坡口正对人行横道时，坡口宽度应与人行横道（含自行车横道）等宽。</w:t>
      </w:r>
    </w:p>
    <w:p>
      <w:pPr>
        <w:pStyle w:val="5"/>
        <w:spacing w:before="129"/>
        <w:ind w:right="73"/>
        <w:jc w:val="center"/>
      </w:pPr>
      <w:r>
        <w:t>图 4.1.9-1 全宽式单面坡缘石坡道示意图</w:t>
      </w:r>
    </w:p>
    <w:p>
      <w:pPr>
        <w:spacing w:after="0"/>
        <w:jc w:val="center"/>
        <w:sectPr>
          <w:pgSz w:w="11910" w:h="16840"/>
          <w:pgMar w:top="1580" w:right="820" w:bottom="1280" w:left="920" w:header="0" w:footer="1095" w:gutter="0"/>
          <w:cols w:space="720" w:num="1"/>
        </w:sectPr>
      </w:pPr>
    </w:p>
    <w:p>
      <w:pPr>
        <w:pStyle w:val="5"/>
        <w:spacing w:before="10"/>
        <w:rPr>
          <w:sz w:val="11"/>
        </w:rPr>
      </w:pPr>
    </w:p>
    <w:p>
      <w:pPr>
        <w:pStyle w:val="5"/>
        <w:ind w:left="2583"/>
        <w:rPr>
          <w:sz w:val="20"/>
        </w:rPr>
      </w:pPr>
      <w:r>
        <w:rPr>
          <w:sz w:val="20"/>
        </w:rPr>
        <w:drawing>
          <wp:inline distT="0" distB="0" distL="0" distR="0">
            <wp:extent cx="3284855" cy="2346960"/>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1.jpeg"/>
                    <pic:cNvPicPr>
                      <a:picLocks noChangeAspect="1"/>
                    </pic:cNvPicPr>
                  </pic:nvPicPr>
                  <pic:blipFill>
                    <a:blip r:embed="rId66" cstate="print"/>
                    <a:stretch>
                      <a:fillRect/>
                    </a:stretch>
                  </pic:blipFill>
                  <pic:spPr>
                    <a:xfrm>
                      <a:off x="0" y="0"/>
                      <a:ext cx="3285406" cy="2346960"/>
                    </a:xfrm>
                    <a:prstGeom prst="rect">
                      <a:avLst/>
                    </a:prstGeom>
                  </pic:spPr>
                </pic:pic>
              </a:graphicData>
            </a:graphic>
          </wp:inline>
        </w:drawing>
      </w:r>
    </w:p>
    <w:p>
      <w:pPr>
        <w:pStyle w:val="5"/>
        <w:spacing w:before="4"/>
        <w:rPr>
          <w:sz w:val="9"/>
        </w:rPr>
      </w:pPr>
    </w:p>
    <w:p>
      <w:pPr>
        <w:pStyle w:val="5"/>
        <w:spacing w:before="70"/>
        <w:ind w:right="73"/>
        <w:jc w:val="center"/>
      </w:pPr>
      <w:r>
        <w:rPr>
          <w:spacing w:val="-28"/>
        </w:rPr>
        <w:t xml:space="preserve">图 </w:t>
      </w:r>
      <w:r>
        <w:t>4.1.9-2</w:t>
      </w:r>
      <w:r>
        <w:rPr>
          <w:spacing w:val="-3"/>
        </w:rPr>
        <w:t xml:space="preserve"> 三面坡缘石坡道示意图</w:t>
      </w:r>
    </w:p>
    <w:p>
      <w:pPr>
        <w:pStyle w:val="5"/>
        <w:spacing w:before="1"/>
        <w:rPr>
          <w:sz w:val="15"/>
        </w:rPr>
      </w:pPr>
      <w:r>
        <w:drawing>
          <wp:anchor distT="0" distB="0" distL="0" distR="0" simplePos="0" relativeHeight="251659264" behindDoc="0" locked="0" layoutInCell="1" allowOverlap="1">
            <wp:simplePos x="0" y="0"/>
            <wp:positionH relativeFrom="page">
              <wp:posOffset>2404110</wp:posOffset>
            </wp:positionH>
            <wp:positionV relativeFrom="paragraph">
              <wp:posOffset>147320</wp:posOffset>
            </wp:positionV>
            <wp:extent cx="2945130" cy="1529715"/>
            <wp:effectExtent l="0" t="0" r="0" b="0"/>
            <wp:wrapTopAndBottom/>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2.jpeg"/>
                    <pic:cNvPicPr>
                      <a:picLocks noChangeAspect="1"/>
                    </pic:cNvPicPr>
                  </pic:nvPicPr>
                  <pic:blipFill>
                    <a:blip r:embed="rId67" cstate="print"/>
                    <a:stretch>
                      <a:fillRect/>
                    </a:stretch>
                  </pic:blipFill>
                  <pic:spPr>
                    <a:xfrm>
                      <a:off x="0" y="0"/>
                      <a:ext cx="2945053" cy="1529714"/>
                    </a:xfrm>
                    <a:prstGeom prst="rect">
                      <a:avLst/>
                    </a:prstGeom>
                  </pic:spPr>
                </pic:pic>
              </a:graphicData>
            </a:graphic>
          </wp:anchor>
        </w:drawing>
      </w:r>
    </w:p>
    <w:p>
      <w:pPr>
        <w:pStyle w:val="5"/>
        <w:spacing w:before="1"/>
        <w:rPr>
          <w:sz w:val="14"/>
        </w:rPr>
      </w:pPr>
    </w:p>
    <w:p>
      <w:pPr>
        <w:pStyle w:val="5"/>
        <w:ind w:right="73"/>
        <w:jc w:val="center"/>
      </w:pPr>
      <w:r>
        <w:drawing>
          <wp:anchor distT="0" distB="0" distL="0" distR="0" simplePos="0" relativeHeight="251659264" behindDoc="0" locked="0" layoutInCell="1" allowOverlap="1">
            <wp:simplePos x="0" y="0"/>
            <wp:positionH relativeFrom="page">
              <wp:posOffset>2224405</wp:posOffset>
            </wp:positionH>
            <wp:positionV relativeFrom="paragraph">
              <wp:posOffset>220980</wp:posOffset>
            </wp:positionV>
            <wp:extent cx="3255010" cy="2313305"/>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3.jpeg"/>
                    <pic:cNvPicPr>
                      <a:picLocks noChangeAspect="1"/>
                    </pic:cNvPicPr>
                  </pic:nvPicPr>
                  <pic:blipFill>
                    <a:blip r:embed="rId68" cstate="print"/>
                    <a:stretch>
                      <a:fillRect/>
                    </a:stretch>
                  </pic:blipFill>
                  <pic:spPr>
                    <a:xfrm>
                      <a:off x="0" y="0"/>
                      <a:ext cx="3255184" cy="2313432"/>
                    </a:xfrm>
                    <a:prstGeom prst="rect">
                      <a:avLst/>
                    </a:prstGeom>
                  </pic:spPr>
                </pic:pic>
              </a:graphicData>
            </a:graphic>
          </wp:anchor>
        </w:drawing>
      </w:r>
      <w:r>
        <w:rPr>
          <w:spacing w:val="-28"/>
        </w:rPr>
        <w:t xml:space="preserve">图 </w:t>
      </w:r>
      <w:r>
        <w:t>4.1.9-3</w:t>
      </w:r>
      <w:r>
        <w:rPr>
          <w:spacing w:val="-3"/>
        </w:rPr>
        <w:t xml:space="preserve"> 扇面式缘石坡道示意图</w:t>
      </w:r>
    </w:p>
    <w:p>
      <w:pPr>
        <w:pStyle w:val="5"/>
        <w:spacing w:before="35"/>
        <w:ind w:right="73"/>
        <w:jc w:val="center"/>
      </w:pPr>
      <w:r>
        <w:rPr>
          <w:spacing w:val="-28"/>
        </w:rPr>
        <w:t xml:space="preserve">图 </w:t>
      </w:r>
      <w:r>
        <w:t>4.1.9-4</w:t>
      </w:r>
      <w:r>
        <w:rPr>
          <w:spacing w:val="-3"/>
        </w:rPr>
        <w:t xml:space="preserve"> 平行式缘石坡道示意图</w:t>
      </w:r>
    </w:p>
    <w:p>
      <w:pPr>
        <w:spacing w:after="0"/>
        <w:jc w:val="center"/>
        <w:sectPr>
          <w:pgSz w:w="11910" w:h="16840"/>
          <w:pgMar w:top="1580" w:right="820" w:bottom="1280" w:left="920" w:header="0" w:footer="1095" w:gutter="0"/>
          <w:cols w:space="720" w:num="1"/>
        </w:sectPr>
      </w:pPr>
    </w:p>
    <w:p>
      <w:pPr>
        <w:pStyle w:val="5"/>
        <w:rPr>
          <w:sz w:val="9"/>
        </w:rPr>
      </w:pPr>
    </w:p>
    <w:p>
      <w:pPr>
        <w:pStyle w:val="5"/>
        <w:ind w:left="2320"/>
        <w:rPr>
          <w:sz w:val="20"/>
        </w:rPr>
      </w:pPr>
      <w:r>
        <w:rPr>
          <w:sz w:val="20"/>
        </w:rPr>
        <w:drawing>
          <wp:inline distT="0" distB="0" distL="0" distR="0">
            <wp:extent cx="3385820" cy="1910715"/>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4.jpeg"/>
                    <pic:cNvPicPr>
                      <a:picLocks noChangeAspect="1"/>
                    </pic:cNvPicPr>
                  </pic:nvPicPr>
                  <pic:blipFill>
                    <a:blip r:embed="rId69" cstate="print"/>
                    <a:stretch>
                      <a:fillRect/>
                    </a:stretch>
                  </pic:blipFill>
                  <pic:spPr>
                    <a:xfrm>
                      <a:off x="0" y="0"/>
                      <a:ext cx="3385872" cy="1911096"/>
                    </a:xfrm>
                    <a:prstGeom prst="rect">
                      <a:avLst/>
                    </a:prstGeom>
                  </pic:spPr>
                </pic:pic>
              </a:graphicData>
            </a:graphic>
          </wp:inline>
        </w:drawing>
      </w:r>
    </w:p>
    <w:p>
      <w:pPr>
        <w:pStyle w:val="5"/>
        <w:spacing w:before="12"/>
        <w:rPr>
          <w:sz w:val="16"/>
        </w:rPr>
      </w:pPr>
    </w:p>
    <w:p>
      <w:pPr>
        <w:pStyle w:val="5"/>
        <w:spacing w:before="70"/>
        <w:ind w:right="73"/>
        <w:jc w:val="center"/>
      </w:pPr>
      <w:r>
        <w:rPr>
          <w:spacing w:val="-28"/>
        </w:rPr>
        <w:t xml:space="preserve">图 </w:t>
      </w:r>
      <w:r>
        <w:t>4.1.9-5</w:t>
      </w:r>
      <w:r>
        <w:rPr>
          <w:spacing w:val="-3"/>
        </w:rPr>
        <w:t xml:space="preserve"> 整体式缘石坡道示意图</w:t>
      </w:r>
    </w:p>
    <w:p>
      <w:pPr>
        <w:pStyle w:val="5"/>
        <w:spacing w:before="3"/>
        <w:rPr>
          <w:sz w:val="13"/>
        </w:rPr>
      </w:pPr>
      <w:r>
        <w:drawing>
          <wp:anchor distT="0" distB="0" distL="0" distR="0" simplePos="0" relativeHeight="251659264" behindDoc="0" locked="0" layoutInCell="1" allowOverlap="1">
            <wp:simplePos x="0" y="0"/>
            <wp:positionH relativeFrom="page">
              <wp:posOffset>2190115</wp:posOffset>
            </wp:positionH>
            <wp:positionV relativeFrom="paragraph">
              <wp:posOffset>132080</wp:posOffset>
            </wp:positionV>
            <wp:extent cx="3254375" cy="2346960"/>
            <wp:effectExtent l="0" t="0" r="0" b="0"/>
            <wp:wrapTopAndBottom/>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5.jpeg"/>
                    <pic:cNvPicPr>
                      <a:picLocks noChangeAspect="1"/>
                    </pic:cNvPicPr>
                  </pic:nvPicPr>
                  <pic:blipFill>
                    <a:blip r:embed="rId70" cstate="print"/>
                    <a:stretch>
                      <a:fillRect/>
                    </a:stretch>
                  </pic:blipFill>
                  <pic:spPr>
                    <a:xfrm>
                      <a:off x="0" y="0"/>
                      <a:ext cx="3254156" cy="2346960"/>
                    </a:xfrm>
                    <a:prstGeom prst="rect">
                      <a:avLst/>
                    </a:prstGeom>
                  </pic:spPr>
                </pic:pic>
              </a:graphicData>
            </a:graphic>
          </wp:anchor>
        </w:drawing>
      </w:r>
    </w:p>
    <w:p>
      <w:pPr>
        <w:pStyle w:val="5"/>
        <w:spacing w:before="165"/>
        <w:ind w:right="71"/>
        <w:jc w:val="center"/>
      </w:pPr>
      <w:r>
        <w:rPr>
          <w:spacing w:val="-28"/>
        </w:rPr>
        <w:t xml:space="preserve">图 </w:t>
      </w:r>
      <w:r>
        <w:t>4.1.9-6</w:t>
      </w:r>
      <w:r>
        <w:rPr>
          <w:spacing w:val="-8"/>
        </w:rPr>
        <w:t xml:space="preserve"> 单面坡缘石坡道示意图</w:t>
      </w:r>
    </w:p>
    <w:p>
      <w:pPr>
        <w:pStyle w:val="5"/>
        <w:spacing w:before="123"/>
        <w:ind w:right="102"/>
        <w:jc w:val="center"/>
        <w:rPr>
          <w:rFonts w:hint="eastAsia" w:ascii="黑体" w:eastAsia="黑体"/>
        </w:rPr>
      </w:pPr>
      <w:bookmarkStart w:id="608" w:name="IV盲道"/>
      <w:bookmarkEnd w:id="608"/>
      <w:r>
        <w:rPr>
          <w:rFonts w:hint="eastAsia" w:ascii="黑体" w:eastAsia="黑体"/>
        </w:rPr>
        <w:t>IV 盲道</w:t>
      </w:r>
    </w:p>
    <w:p>
      <w:pPr>
        <w:pStyle w:val="5"/>
        <w:spacing w:before="6"/>
        <w:rPr>
          <w:rFonts w:ascii="黑体"/>
          <w:sz w:val="15"/>
        </w:rPr>
      </w:pPr>
    </w:p>
    <w:p>
      <w:pPr>
        <w:pStyle w:val="12"/>
        <w:numPr>
          <w:ilvl w:val="2"/>
          <w:numId w:val="138"/>
        </w:numPr>
        <w:tabs>
          <w:tab w:val="left" w:pos="1052"/>
          <w:tab w:val="left" w:pos="1053"/>
        </w:tabs>
        <w:spacing w:before="0" w:after="0" w:line="240" w:lineRule="auto"/>
        <w:ind w:left="1052" w:right="0" w:hanging="841"/>
        <w:jc w:val="left"/>
        <w:rPr>
          <w:sz w:val="21"/>
        </w:rPr>
      </w:pPr>
      <w:bookmarkStart w:id="609" w:name="4.1.10本条规定了盲道的设计要求。"/>
      <w:bookmarkEnd w:id="609"/>
      <w:bookmarkStart w:id="610" w:name="4.1.10本条规定了盲道的设计要求。"/>
      <w:bookmarkEnd w:id="610"/>
      <w:r>
        <w:rPr>
          <w:sz w:val="21"/>
        </w:rPr>
        <w:t>本条规定了盲道的设计要求。</w:t>
      </w:r>
    </w:p>
    <w:p>
      <w:pPr>
        <w:pStyle w:val="5"/>
        <w:spacing w:before="7"/>
        <w:rPr>
          <w:sz w:val="15"/>
        </w:rPr>
      </w:pPr>
    </w:p>
    <w:p>
      <w:pPr>
        <w:pStyle w:val="5"/>
        <w:tabs>
          <w:tab w:val="left" w:pos="1059"/>
        </w:tabs>
        <w:spacing w:line="417" w:lineRule="auto"/>
        <w:ind w:left="212" w:right="204" w:firstLine="427"/>
      </w:pPr>
      <w:r>
        <w:drawing>
          <wp:anchor distT="0" distB="0" distL="0" distR="0" simplePos="0" relativeHeight="251659264" behindDoc="0" locked="0" layoutInCell="1" allowOverlap="1">
            <wp:simplePos x="0" y="0"/>
            <wp:positionH relativeFrom="page">
              <wp:posOffset>1691640</wp:posOffset>
            </wp:positionH>
            <wp:positionV relativeFrom="paragraph">
              <wp:posOffset>922655</wp:posOffset>
            </wp:positionV>
            <wp:extent cx="1207135" cy="1408430"/>
            <wp:effectExtent l="0" t="0" r="0" b="0"/>
            <wp:wrapTopAndBottom/>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6.jpeg"/>
                    <pic:cNvPicPr>
                      <a:picLocks noChangeAspect="1"/>
                    </pic:cNvPicPr>
                  </pic:nvPicPr>
                  <pic:blipFill>
                    <a:blip r:embed="rId71" cstate="print"/>
                    <a:stretch>
                      <a:fillRect/>
                    </a:stretch>
                  </pic:blipFill>
                  <pic:spPr>
                    <a:xfrm>
                      <a:off x="0" y="0"/>
                      <a:ext cx="1207436" cy="1408176"/>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4751705</wp:posOffset>
            </wp:positionH>
            <wp:positionV relativeFrom="paragraph">
              <wp:posOffset>922655</wp:posOffset>
            </wp:positionV>
            <wp:extent cx="1203960" cy="1408430"/>
            <wp:effectExtent l="0" t="0" r="0" b="0"/>
            <wp:wrapTopAndBottom/>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7.jpeg"/>
                    <pic:cNvPicPr>
                      <a:picLocks noChangeAspect="1"/>
                    </pic:cNvPicPr>
                  </pic:nvPicPr>
                  <pic:blipFill>
                    <a:blip r:embed="rId72" cstate="print"/>
                    <a:stretch>
                      <a:fillRect/>
                    </a:stretch>
                  </pic:blipFill>
                  <pic:spPr>
                    <a:xfrm>
                      <a:off x="0" y="0"/>
                      <a:ext cx="1203956" cy="1408176"/>
                    </a:xfrm>
                    <a:prstGeom prst="rect">
                      <a:avLst/>
                    </a:prstGeom>
                  </pic:spPr>
                </pic:pic>
              </a:graphicData>
            </a:graphic>
          </wp:anchor>
        </w:drawing>
      </w:r>
      <w:r>
        <w:t>1</w:t>
      </w:r>
      <w:r>
        <w:tab/>
      </w:r>
      <w:r>
        <w:rPr>
          <w:spacing w:val="-4"/>
        </w:rPr>
        <w:t>盲道有两种类型，一种是行进盲道</w:t>
      </w:r>
      <w:r>
        <w:t>（</w:t>
      </w:r>
      <w:r>
        <w:rPr>
          <w:spacing w:val="-20"/>
        </w:rPr>
        <w:t xml:space="preserve">如图 </w:t>
      </w:r>
      <w:r>
        <w:rPr>
          <w:spacing w:val="-4"/>
        </w:rPr>
        <w:t>4.1.10-1）</w:t>
      </w:r>
      <w:r>
        <w:rPr>
          <w:spacing w:val="-2"/>
        </w:rPr>
        <w:t>，指引视觉障碍者安全行走和顺利到达无障</w:t>
      </w:r>
      <w:r>
        <w:rPr>
          <w:spacing w:val="-17"/>
          <w:w w:val="99"/>
        </w:rPr>
        <w:t>碍设施的位置，凸起呈条状；另一种是在行进盲道的起点、终点及拐弯处设置的提示盲道</w:t>
      </w:r>
      <w:r>
        <w:rPr>
          <w:spacing w:val="-1"/>
          <w:w w:val="99"/>
        </w:rPr>
        <w:t>（</w:t>
      </w:r>
      <w:r>
        <w:rPr>
          <w:spacing w:val="1"/>
          <w:w w:val="99"/>
        </w:rPr>
        <w:t>如图</w:t>
      </w:r>
      <w:r>
        <w:rPr>
          <w:spacing w:val="-53"/>
        </w:rPr>
        <w:t xml:space="preserve"> </w:t>
      </w:r>
      <w:r>
        <w:rPr>
          <w:spacing w:val="1"/>
          <w:w w:val="99"/>
        </w:rPr>
        <w:t>4.1</w:t>
      </w:r>
      <w:r>
        <w:rPr>
          <w:spacing w:val="-2"/>
          <w:w w:val="99"/>
        </w:rPr>
        <w:t>.</w:t>
      </w:r>
      <w:r>
        <w:rPr>
          <w:spacing w:val="1"/>
          <w:w w:val="99"/>
        </w:rPr>
        <w:t>10-</w:t>
      </w:r>
      <w:r>
        <w:rPr>
          <w:spacing w:val="-2"/>
          <w:w w:val="99"/>
        </w:rPr>
        <w:t>2</w:t>
      </w:r>
      <w:r>
        <w:rPr>
          <w:spacing w:val="-104"/>
          <w:w w:val="99"/>
        </w:rPr>
        <w:t>）</w:t>
      </w:r>
      <w:r>
        <w:rPr>
          <w:w w:val="99"/>
        </w:rPr>
        <w:t>，</w:t>
      </w:r>
      <w:r>
        <w:t>告知视觉障碍者前方路线的空间环境将发生变化，凸起呈圆点形。</w:t>
      </w:r>
    </w:p>
    <w:p>
      <w:pPr>
        <w:pStyle w:val="5"/>
        <w:spacing w:before="4"/>
        <w:rPr>
          <w:sz w:val="19"/>
        </w:rPr>
      </w:pPr>
    </w:p>
    <w:p>
      <w:pPr>
        <w:pStyle w:val="5"/>
        <w:tabs>
          <w:tab w:val="left" w:pos="6351"/>
        </w:tabs>
        <w:ind w:left="1191"/>
      </w:pPr>
      <w:r>
        <w:t>图</w:t>
      </w:r>
      <w:r>
        <w:rPr>
          <w:spacing w:val="-52"/>
        </w:rPr>
        <w:t xml:space="preserve"> </w:t>
      </w:r>
      <w:r>
        <w:t>4.1.10-1</w:t>
      </w:r>
      <w:r>
        <w:rPr>
          <w:spacing w:val="-5"/>
        </w:rPr>
        <w:t xml:space="preserve"> </w:t>
      </w:r>
      <w:r>
        <w:t>行进盲道砖示意图</w:t>
      </w:r>
      <w:r>
        <w:tab/>
      </w:r>
      <w:r>
        <w:t>图</w:t>
      </w:r>
      <w:r>
        <w:rPr>
          <w:spacing w:val="-50"/>
        </w:rPr>
        <w:t xml:space="preserve"> </w:t>
      </w:r>
      <w:r>
        <w:t>4.1.10-2</w:t>
      </w:r>
      <w:r>
        <w:rPr>
          <w:spacing w:val="-2"/>
        </w:rPr>
        <w:t xml:space="preserve"> </w:t>
      </w:r>
      <w:r>
        <w:t>提示盲道砖示意图</w:t>
      </w:r>
    </w:p>
    <w:p>
      <w:pPr>
        <w:spacing w:after="0"/>
        <w:sectPr>
          <w:pgSz w:w="11910" w:h="16840"/>
          <w:pgMar w:top="1580" w:right="820" w:bottom="1280" w:left="920" w:header="0" w:footer="1095" w:gutter="0"/>
          <w:cols w:space="720" w:num="1"/>
        </w:sectPr>
      </w:pPr>
    </w:p>
    <w:p>
      <w:pPr>
        <w:pStyle w:val="12"/>
        <w:numPr>
          <w:ilvl w:val="0"/>
          <w:numId w:val="139"/>
        </w:numPr>
        <w:tabs>
          <w:tab w:val="left" w:pos="1059"/>
          <w:tab w:val="left" w:pos="1060"/>
        </w:tabs>
        <w:spacing w:before="60" w:after="0" w:line="240" w:lineRule="auto"/>
        <w:ind w:left="1060" w:right="0" w:hanging="420"/>
        <w:jc w:val="left"/>
        <w:rPr>
          <w:sz w:val="21"/>
        </w:rPr>
      </w:pPr>
      <w:r>
        <w:rPr>
          <w:spacing w:val="-1"/>
          <w:sz w:val="21"/>
        </w:rPr>
        <w:t>盲道在人行道的设置位置要避开树木</w:t>
      </w:r>
      <w:r>
        <w:rPr>
          <w:sz w:val="21"/>
        </w:rPr>
        <w:t>（穴</w:t>
      </w:r>
      <w:r>
        <w:rPr>
          <w:spacing w:val="-5"/>
          <w:sz w:val="21"/>
        </w:rPr>
        <w:t>）</w:t>
      </w:r>
      <w:r>
        <w:rPr>
          <w:spacing w:val="-3"/>
          <w:sz w:val="21"/>
        </w:rPr>
        <w:t>、电线杆、拉线等障碍物，盲道上也不得设置其他设</w:t>
      </w:r>
    </w:p>
    <w:p>
      <w:pPr>
        <w:pStyle w:val="5"/>
        <w:spacing w:before="1"/>
        <w:rPr>
          <w:sz w:val="10"/>
        </w:rPr>
      </w:pPr>
    </w:p>
    <w:p>
      <w:pPr>
        <w:pStyle w:val="5"/>
        <w:spacing w:before="70"/>
        <w:ind w:left="212"/>
      </w:pPr>
      <w:r>
        <w:t>施。</w:t>
      </w:r>
    </w:p>
    <w:p>
      <w:pPr>
        <w:pStyle w:val="5"/>
        <w:spacing w:before="1"/>
        <w:rPr>
          <w:sz w:val="10"/>
        </w:rPr>
      </w:pPr>
    </w:p>
    <w:p>
      <w:pPr>
        <w:pStyle w:val="12"/>
        <w:numPr>
          <w:ilvl w:val="0"/>
          <w:numId w:val="139"/>
        </w:numPr>
        <w:tabs>
          <w:tab w:val="left" w:pos="1059"/>
          <w:tab w:val="left" w:pos="1060"/>
        </w:tabs>
        <w:spacing w:before="70" w:after="0" w:line="240" w:lineRule="auto"/>
        <w:ind w:left="1060" w:right="0" w:hanging="420"/>
        <w:jc w:val="left"/>
        <w:rPr>
          <w:sz w:val="21"/>
        </w:rPr>
      </w:pPr>
      <w:r>
        <w:rPr>
          <w:spacing w:val="-2"/>
          <w:sz w:val="21"/>
        </w:rPr>
        <w:t>部分视觉障碍者能够辨别光线及色觉的反差。因此，盲道的颜色或材质要与人行道的铺面形成差</w:t>
      </w:r>
    </w:p>
    <w:p>
      <w:pPr>
        <w:pStyle w:val="5"/>
        <w:spacing w:before="1"/>
        <w:rPr>
          <w:sz w:val="10"/>
        </w:rPr>
      </w:pPr>
    </w:p>
    <w:p>
      <w:pPr>
        <w:pStyle w:val="5"/>
        <w:spacing w:before="69"/>
        <w:ind w:left="212"/>
      </w:pPr>
      <w:r>
        <w:t>异。</w:t>
      </w:r>
    </w:p>
    <w:p>
      <w:pPr>
        <w:pStyle w:val="5"/>
        <w:spacing w:before="7"/>
        <w:rPr>
          <w:sz w:val="15"/>
        </w:rPr>
      </w:pPr>
    </w:p>
    <w:p>
      <w:pPr>
        <w:pStyle w:val="12"/>
        <w:numPr>
          <w:ilvl w:val="2"/>
          <w:numId w:val="138"/>
        </w:numPr>
        <w:tabs>
          <w:tab w:val="left" w:pos="1053"/>
        </w:tabs>
        <w:spacing w:before="0" w:after="0" w:line="240" w:lineRule="auto"/>
        <w:ind w:left="1052" w:right="0" w:hanging="841"/>
        <w:jc w:val="both"/>
        <w:rPr>
          <w:sz w:val="21"/>
        </w:rPr>
      </w:pPr>
      <w:bookmarkStart w:id="611" w:name="4.1.11本条规定了行进盲道的设计要求。"/>
      <w:bookmarkEnd w:id="611"/>
      <w:bookmarkStart w:id="612" w:name="4.1.11本条规定了行进盲道的设计要求。"/>
      <w:bookmarkEnd w:id="612"/>
      <w:r>
        <w:rPr>
          <w:sz w:val="21"/>
        </w:rPr>
        <w:t>本条规定了行进盲道的设计要求。</w:t>
      </w:r>
    </w:p>
    <w:p>
      <w:pPr>
        <w:pStyle w:val="5"/>
        <w:spacing w:before="7"/>
        <w:rPr>
          <w:sz w:val="15"/>
        </w:rPr>
      </w:pPr>
    </w:p>
    <w:p>
      <w:pPr>
        <w:pStyle w:val="12"/>
        <w:numPr>
          <w:ilvl w:val="3"/>
          <w:numId w:val="138"/>
        </w:numPr>
        <w:tabs>
          <w:tab w:val="left" w:pos="1053"/>
        </w:tabs>
        <w:spacing w:before="0" w:after="0" w:line="417" w:lineRule="auto"/>
        <w:ind w:left="212" w:right="310" w:firstLine="427"/>
        <w:jc w:val="both"/>
        <w:rPr>
          <w:sz w:val="21"/>
        </w:rPr>
      </w:pPr>
      <w:r>
        <w:rPr>
          <w:spacing w:val="-2"/>
          <w:w w:val="95"/>
          <w:sz w:val="21"/>
        </w:rPr>
        <w:t>行进盲道是保障视觉障碍者连续、安全通行的手段之一。在人流密集的公共场所及视觉障碍者集   中区域（</w:t>
      </w:r>
      <w:r>
        <w:rPr>
          <w:spacing w:val="-3"/>
          <w:w w:val="95"/>
          <w:sz w:val="21"/>
        </w:rPr>
        <w:t>如盲人学校、盲人工厂、医院等区域）</w:t>
      </w:r>
      <w:r>
        <w:rPr>
          <w:spacing w:val="-2"/>
          <w:w w:val="95"/>
          <w:sz w:val="21"/>
        </w:rPr>
        <w:t xml:space="preserve">周边人行道，需要设置行进盲道，行进盲道沿行走路线连   </w:t>
      </w:r>
      <w:r>
        <w:rPr>
          <w:spacing w:val="-5"/>
          <w:w w:val="95"/>
          <w:sz w:val="21"/>
        </w:rPr>
        <w:t xml:space="preserve">续布设，避免绕行或变化过多而造成视觉障碍者的出行困难。其他地段是否铺设行进盲道需根据实际需求   </w:t>
      </w:r>
      <w:r>
        <w:rPr>
          <w:spacing w:val="-5"/>
          <w:sz w:val="21"/>
        </w:rPr>
        <w:t>进行具体判断。</w:t>
      </w:r>
    </w:p>
    <w:p>
      <w:pPr>
        <w:pStyle w:val="12"/>
        <w:numPr>
          <w:ilvl w:val="3"/>
          <w:numId w:val="138"/>
        </w:numPr>
        <w:tabs>
          <w:tab w:val="left" w:pos="1053"/>
        </w:tabs>
        <w:spacing w:before="0" w:after="0" w:line="268" w:lineRule="exact"/>
        <w:ind w:left="1052" w:right="0" w:hanging="413"/>
        <w:jc w:val="both"/>
        <w:rPr>
          <w:sz w:val="21"/>
        </w:rPr>
      </w:pPr>
      <w:r>
        <w:rPr>
          <w:sz w:val="21"/>
        </w:rPr>
        <w:t>行进盲道宽度需满足一定的要求，且不影响其他通行空间。</w:t>
      </w:r>
    </w:p>
    <w:p>
      <w:pPr>
        <w:pStyle w:val="5"/>
        <w:spacing w:before="6"/>
        <w:rPr>
          <w:sz w:val="15"/>
        </w:rPr>
      </w:pPr>
    </w:p>
    <w:p>
      <w:pPr>
        <w:pStyle w:val="12"/>
        <w:numPr>
          <w:ilvl w:val="2"/>
          <w:numId w:val="138"/>
        </w:numPr>
        <w:tabs>
          <w:tab w:val="left" w:pos="1053"/>
        </w:tabs>
        <w:spacing w:before="1" w:after="0" w:line="240" w:lineRule="auto"/>
        <w:ind w:left="1052" w:right="0" w:hanging="841"/>
        <w:jc w:val="both"/>
        <w:rPr>
          <w:sz w:val="21"/>
        </w:rPr>
      </w:pPr>
      <w:bookmarkStart w:id="613" w:name="4.1.12本条规定了行进盲道的设计要求。"/>
      <w:bookmarkEnd w:id="613"/>
      <w:bookmarkStart w:id="614" w:name="4.1.12本条规定了行进盲道的设计要求。"/>
      <w:bookmarkEnd w:id="614"/>
      <w:r>
        <w:rPr>
          <w:sz w:val="21"/>
        </w:rPr>
        <w:t>本条规定了行进盲道的设计要求。</w:t>
      </w:r>
    </w:p>
    <w:p>
      <w:pPr>
        <w:pStyle w:val="5"/>
        <w:spacing w:before="6"/>
        <w:rPr>
          <w:sz w:val="15"/>
        </w:rPr>
      </w:pPr>
    </w:p>
    <w:p>
      <w:pPr>
        <w:pStyle w:val="12"/>
        <w:numPr>
          <w:ilvl w:val="0"/>
          <w:numId w:val="140"/>
        </w:numPr>
        <w:tabs>
          <w:tab w:val="left" w:pos="1053"/>
        </w:tabs>
        <w:spacing w:before="0" w:after="0" w:line="240" w:lineRule="auto"/>
        <w:ind w:left="1052" w:right="0" w:hanging="413"/>
        <w:jc w:val="both"/>
        <w:rPr>
          <w:sz w:val="21"/>
        </w:rPr>
      </w:pPr>
      <w:r>
        <w:rPr>
          <w:sz w:val="21"/>
        </w:rPr>
        <w:t>在行进盲道的特殊节点设置提示盲道。</w:t>
      </w:r>
    </w:p>
    <w:p>
      <w:pPr>
        <w:pStyle w:val="5"/>
        <w:spacing w:before="7"/>
        <w:rPr>
          <w:sz w:val="15"/>
        </w:rPr>
      </w:pPr>
    </w:p>
    <w:p>
      <w:pPr>
        <w:pStyle w:val="12"/>
        <w:numPr>
          <w:ilvl w:val="0"/>
          <w:numId w:val="140"/>
        </w:numPr>
        <w:tabs>
          <w:tab w:val="left" w:pos="1053"/>
        </w:tabs>
        <w:spacing w:before="0" w:after="0" w:line="417" w:lineRule="auto"/>
        <w:ind w:left="212" w:right="315" w:firstLine="427"/>
        <w:jc w:val="both"/>
        <w:rPr>
          <w:sz w:val="21"/>
        </w:rPr>
      </w:pPr>
      <w:r>
        <w:rPr>
          <w:spacing w:val="-2"/>
          <w:w w:val="95"/>
          <w:sz w:val="21"/>
        </w:rPr>
        <w:t xml:space="preserve">当人行道或其他场所未设置行进盲道时，为避免视觉障碍者通过时产生安全隐患，在行进规律发   </w:t>
      </w:r>
      <w:r>
        <w:rPr>
          <w:spacing w:val="-2"/>
          <w:sz w:val="21"/>
        </w:rPr>
        <w:t>生变化的地方需要设置提示盲道。</w:t>
      </w:r>
    </w:p>
    <w:p>
      <w:pPr>
        <w:pStyle w:val="12"/>
        <w:numPr>
          <w:ilvl w:val="0"/>
          <w:numId w:val="141"/>
        </w:numPr>
        <w:tabs>
          <w:tab w:val="left" w:pos="4586"/>
        </w:tabs>
        <w:spacing w:before="0" w:after="0" w:line="269" w:lineRule="exact"/>
        <w:ind w:left="4585" w:right="99" w:hanging="4586"/>
        <w:jc w:val="left"/>
        <w:rPr>
          <w:rFonts w:hint="eastAsia" w:ascii="黑体" w:eastAsia="黑体"/>
          <w:sz w:val="21"/>
        </w:rPr>
      </w:pPr>
      <w:bookmarkStart w:id="615" w:name="V无障碍通道"/>
      <w:bookmarkEnd w:id="615"/>
      <w:bookmarkStart w:id="616" w:name="V无障碍通道"/>
      <w:bookmarkEnd w:id="616"/>
      <w:r>
        <w:rPr>
          <w:rFonts w:hint="eastAsia" w:ascii="黑体" w:eastAsia="黑体"/>
          <w:sz w:val="21"/>
        </w:rPr>
        <w:t>无障碍通道</w:t>
      </w:r>
    </w:p>
    <w:p>
      <w:pPr>
        <w:pStyle w:val="5"/>
        <w:spacing w:before="7"/>
        <w:rPr>
          <w:rFonts w:ascii="黑体"/>
          <w:sz w:val="15"/>
        </w:rPr>
      </w:pPr>
    </w:p>
    <w:p>
      <w:pPr>
        <w:pStyle w:val="12"/>
        <w:numPr>
          <w:ilvl w:val="2"/>
          <w:numId w:val="138"/>
        </w:numPr>
        <w:tabs>
          <w:tab w:val="left" w:pos="1052"/>
          <w:tab w:val="left" w:pos="1053"/>
        </w:tabs>
        <w:spacing w:before="0" w:after="0" w:line="240" w:lineRule="auto"/>
        <w:ind w:left="1052" w:right="0" w:hanging="841"/>
        <w:jc w:val="left"/>
        <w:rPr>
          <w:sz w:val="21"/>
        </w:rPr>
      </w:pPr>
      <w:bookmarkStart w:id="617" w:name="4.1.13本条规定了无障碍通道的宽度要求。"/>
      <w:bookmarkEnd w:id="617"/>
      <w:bookmarkStart w:id="618" w:name="4.1.13本条规定了无障碍通道的宽度要求。"/>
      <w:bookmarkEnd w:id="618"/>
      <w:r>
        <w:rPr>
          <w:sz w:val="21"/>
        </w:rPr>
        <w:t>本条规定了无障碍通道的宽度要求。</w:t>
      </w:r>
    </w:p>
    <w:p>
      <w:pPr>
        <w:pStyle w:val="5"/>
        <w:spacing w:before="6"/>
        <w:rPr>
          <w:sz w:val="15"/>
        </w:rPr>
      </w:pPr>
    </w:p>
    <w:p>
      <w:pPr>
        <w:pStyle w:val="5"/>
        <w:spacing w:before="1" w:line="417" w:lineRule="auto"/>
        <w:ind w:left="212" w:right="237" w:firstLine="427"/>
      </w:pPr>
      <w:r>
        <w:rPr>
          <w:w w:val="95"/>
        </w:rPr>
        <w:t xml:space="preserve">满足轮椅通行和疏散是无障碍通道的重要功能。当设有扶手时无障碍通道的通行净宽为扶手内皮之间   </w:t>
      </w:r>
      <w:r>
        <w:t>的宽度。</w:t>
      </w:r>
    </w:p>
    <w:p>
      <w:pPr>
        <w:pStyle w:val="12"/>
        <w:numPr>
          <w:ilvl w:val="0"/>
          <w:numId w:val="142"/>
        </w:numPr>
        <w:tabs>
          <w:tab w:val="left" w:pos="1059"/>
          <w:tab w:val="left" w:pos="1060"/>
        </w:tabs>
        <w:spacing w:before="0" w:after="0" w:line="417" w:lineRule="auto"/>
        <w:ind w:left="212" w:right="204" w:firstLine="427"/>
        <w:jc w:val="left"/>
        <w:rPr>
          <w:rFonts w:ascii="Calibri" w:eastAsia="Calibri"/>
          <w:sz w:val="21"/>
        </w:rPr>
      </w:pPr>
      <w:r>
        <w:rPr>
          <w:spacing w:val="-7"/>
          <w:sz w:val="21"/>
        </w:rPr>
        <w:t xml:space="preserve">当通道宽度不小于 </w:t>
      </w:r>
      <w:r>
        <w:rPr>
          <w:sz w:val="21"/>
        </w:rPr>
        <w:t>1</w:t>
      </w:r>
      <w:r>
        <w:rPr>
          <w:rFonts w:ascii="Calibri" w:eastAsia="Calibri"/>
          <w:sz w:val="21"/>
        </w:rPr>
        <w:t>.</w:t>
      </w:r>
      <w:r>
        <w:rPr>
          <w:sz w:val="21"/>
        </w:rPr>
        <w:t>20</w:t>
      </w:r>
      <w:r>
        <w:rPr>
          <w:rFonts w:hint="eastAsia" w:ascii="仿宋" w:eastAsia="仿宋"/>
          <w:sz w:val="21"/>
        </w:rPr>
        <w:t>m</w:t>
      </w:r>
      <w:r>
        <w:rPr>
          <w:rFonts w:hint="eastAsia" w:ascii="仿宋" w:eastAsia="仿宋"/>
          <w:spacing w:val="-56"/>
          <w:sz w:val="21"/>
        </w:rPr>
        <w:t xml:space="preserve"> </w:t>
      </w:r>
      <w:r>
        <w:rPr>
          <w:spacing w:val="-7"/>
          <w:sz w:val="21"/>
        </w:rPr>
        <w:t xml:space="preserve">时，一般能容纳一辆轮椅和一个人侧身通行。通道宽度不小于 </w:t>
      </w:r>
      <w:r>
        <w:rPr>
          <w:sz w:val="21"/>
        </w:rPr>
        <w:t>1</w:t>
      </w:r>
      <w:r>
        <w:rPr>
          <w:rFonts w:ascii="Calibri" w:eastAsia="Calibri"/>
          <w:sz w:val="21"/>
        </w:rPr>
        <w:t>.</w:t>
      </w:r>
      <w:r>
        <w:rPr>
          <w:sz w:val="21"/>
        </w:rPr>
        <w:t>80</w:t>
      </w:r>
      <w:r>
        <w:rPr>
          <w:rFonts w:hint="eastAsia" w:ascii="仿宋" w:eastAsia="仿宋"/>
          <w:sz w:val="21"/>
        </w:rPr>
        <w:t>m</w:t>
      </w:r>
      <w:r>
        <w:rPr>
          <w:rFonts w:hint="eastAsia" w:ascii="仿宋" w:eastAsia="仿宋"/>
          <w:spacing w:val="-57"/>
          <w:sz w:val="21"/>
        </w:rPr>
        <w:t xml:space="preserve"> </w:t>
      </w:r>
      <w:r>
        <w:rPr>
          <w:sz w:val="21"/>
        </w:rPr>
        <w:t>时， 一般能容纳两辆轮椅正面相对通行。</w:t>
      </w:r>
    </w:p>
    <w:p>
      <w:pPr>
        <w:pStyle w:val="12"/>
        <w:numPr>
          <w:ilvl w:val="0"/>
          <w:numId w:val="142"/>
        </w:numPr>
        <w:tabs>
          <w:tab w:val="left" w:pos="1059"/>
          <w:tab w:val="left" w:pos="1060"/>
        </w:tabs>
        <w:spacing w:before="0" w:after="0" w:line="269" w:lineRule="exact"/>
        <w:ind w:left="1060" w:right="0" w:hanging="420"/>
        <w:jc w:val="left"/>
        <w:rPr>
          <w:sz w:val="21"/>
        </w:rPr>
      </w:pPr>
      <w:r>
        <w:rPr>
          <w:spacing w:val="-7"/>
          <w:sz w:val="21"/>
        </w:rPr>
        <w:t xml:space="preserve">当通道宽度不小于 </w:t>
      </w:r>
      <w:r>
        <w:rPr>
          <w:sz w:val="21"/>
        </w:rPr>
        <w:t>1</w:t>
      </w:r>
      <w:r>
        <w:rPr>
          <w:rFonts w:ascii="Calibri" w:eastAsia="Calibri"/>
          <w:sz w:val="21"/>
        </w:rPr>
        <w:t>.</w:t>
      </w:r>
      <w:r>
        <w:rPr>
          <w:sz w:val="21"/>
        </w:rPr>
        <w:t>50</w:t>
      </w:r>
      <w:r>
        <w:rPr>
          <w:rFonts w:hint="eastAsia" w:ascii="仿宋" w:eastAsia="仿宋"/>
          <w:sz w:val="21"/>
        </w:rPr>
        <w:t>m</w:t>
      </w:r>
      <w:r>
        <w:rPr>
          <w:rFonts w:hint="eastAsia" w:ascii="仿宋" w:eastAsia="仿宋"/>
          <w:spacing w:val="-54"/>
          <w:sz w:val="21"/>
        </w:rPr>
        <w:t xml:space="preserve"> </w:t>
      </w:r>
      <w:r>
        <w:rPr>
          <w:sz w:val="21"/>
        </w:rPr>
        <w:t>时，一般能容纳一辆轮椅和一个人正面相对通行。</w:t>
      </w:r>
    </w:p>
    <w:p>
      <w:pPr>
        <w:pStyle w:val="5"/>
        <w:spacing w:before="6"/>
        <w:rPr>
          <w:sz w:val="15"/>
        </w:rPr>
      </w:pPr>
    </w:p>
    <w:p>
      <w:pPr>
        <w:pStyle w:val="12"/>
        <w:numPr>
          <w:ilvl w:val="0"/>
          <w:numId w:val="142"/>
        </w:numPr>
        <w:tabs>
          <w:tab w:val="left" w:pos="1059"/>
          <w:tab w:val="left" w:pos="1060"/>
        </w:tabs>
        <w:spacing w:before="0" w:after="0" w:line="240" w:lineRule="auto"/>
        <w:ind w:left="1060" w:right="0" w:hanging="420"/>
        <w:jc w:val="left"/>
        <w:rPr>
          <w:sz w:val="21"/>
        </w:rPr>
      </w:pPr>
      <w:r>
        <w:rPr>
          <w:sz w:val="21"/>
        </w:rPr>
        <w:t>当公共场所设置检票及结算口时，应设轮椅、大件行李、推婴儿车能够通行的宽通道。</w:t>
      </w:r>
    </w:p>
    <w:p>
      <w:pPr>
        <w:pStyle w:val="5"/>
        <w:spacing w:before="7"/>
        <w:rPr>
          <w:sz w:val="15"/>
        </w:rPr>
      </w:pPr>
    </w:p>
    <w:p>
      <w:pPr>
        <w:pStyle w:val="12"/>
        <w:numPr>
          <w:ilvl w:val="2"/>
          <w:numId w:val="138"/>
        </w:numPr>
        <w:tabs>
          <w:tab w:val="left" w:pos="1052"/>
          <w:tab w:val="left" w:pos="1053"/>
        </w:tabs>
        <w:spacing w:before="0" w:after="0" w:line="240" w:lineRule="auto"/>
        <w:ind w:left="1052" w:right="0" w:hanging="841"/>
        <w:jc w:val="left"/>
        <w:rPr>
          <w:sz w:val="21"/>
        </w:rPr>
      </w:pPr>
      <w:bookmarkStart w:id="619" w:name="4.1.14本条规定了无障碍通道的设计要求。"/>
      <w:bookmarkEnd w:id="619"/>
      <w:bookmarkStart w:id="620" w:name="4.1.14本条规定了无障碍通道的设计要求。"/>
      <w:bookmarkEnd w:id="620"/>
      <w:r>
        <w:rPr>
          <w:sz w:val="21"/>
        </w:rPr>
        <w:t>本条规定了无障碍通道的设计要求。</w:t>
      </w:r>
    </w:p>
    <w:p>
      <w:pPr>
        <w:pStyle w:val="5"/>
        <w:spacing w:before="6"/>
        <w:rPr>
          <w:sz w:val="15"/>
        </w:rPr>
      </w:pPr>
    </w:p>
    <w:p>
      <w:pPr>
        <w:pStyle w:val="12"/>
        <w:numPr>
          <w:ilvl w:val="0"/>
          <w:numId w:val="143"/>
        </w:numPr>
        <w:tabs>
          <w:tab w:val="left" w:pos="1059"/>
          <w:tab w:val="left" w:pos="1060"/>
        </w:tabs>
        <w:spacing w:before="0" w:after="0" w:line="417" w:lineRule="auto"/>
        <w:ind w:left="212" w:right="204" w:firstLine="427"/>
        <w:jc w:val="left"/>
        <w:rPr>
          <w:sz w:val="21"/>
        </w:rPr>
      </w:pPr>
      <w:r>
        <w:rPr>
          <w:spacing w:val="-1"/>
          <w:sz w:val="21"/>
        </w:rPr>
        <w:t>滤水箅子的孔洞会对轮椅的通行和盲杖的使用带来不便和安全隐患，所以应尽量避免在无障碍通</w:t>
      </w:r>
      <w:r>
        <w:rPr>
          <w:spacing w:val="-8"/>
          <w:w w:val="95"/>
          <w:sz w:val="21"/>
        </w:rPr>
        <w:t xml:space="preserve">道上设置有孔洞的箅子。无法避免时，限定孔洞的宽度和走向，是为了防止卡住盲杖、轮椅小轮、高跟鞋，   </w:t>
      </w:r>
      <w:r>
        <w:rPr>
          <w:spacing w:val="-11"/>
          <w:sz w:val="21"/>
        </w:rPr>
        <w:t>或盲杖滑出带来危险。《无障碍设计规范》</w:t>
      </w:r>
      <w:r>
        <w:rPr>
          <w:rFonts w:hint="eastAsia" w:ascii="仿宋" w:hAnsi="仿宋" w:eastAsia="仿宋"/>
          <w:sz w:val="21"/>
        </w:rPr>
        <w:t>GB</w:t>
      </w:r>
      <w:r>
        <w:rPr>
          <w:sz w:val="21"/>
        </w:rPr>
        <w:t>50763-2012</w:t>
      </w:r>
      <w:r>
        <w:rPr>
          <w:spacing w:val="-37"/>
          <w:sz w:val="21"/>
        </w:rPr>
        <w:t xml:space="preserve"> 第 </w:t>
      </w:r>
      <w:r>
        <w:rPr>
          <w:sz w:val="21"/>
        </w:rPr>
        <w:t>3.5.1</w:t>
      </w:r>
      <w:r>
        <w:rPr>
          <w:spacing w:val="-29"/>
          <w:sz w:val="21"/>
        </w:rPr>
        <w:t xml:space="preserve"> 条第 </w:t>
      </w:r>
      <w:r>
        <w:rPr>
          <w:sz w:val="21"/>
        </w:rPr>
        <w:t>3</w:t>
      </w:r>
      <w:r>
        <w:rPr>
          <w:spacing w:val="-9"/>
          <w:sz w:val="21"/>
        </w:rPr>
        <w:t xml:space="preserve"> 款“室外通道上的雨水箅子的孔</w:t>
      </w:r>
      <w:r>
        <w:rPr>
          <w:spacing w:val="-15"/>
          <w:sz w:val="21"/>
        </w:rPr>
        <w:t xml:space="preserve">洞宽度不应大于 </w:t>
      </w:r>
      <w:r>
        <w:rPr>
          <w:spacing w:val="-3"/>
          <w:sz w:val="21"/>
        </w:rPr>
        <w:t>15</w:t>
      </w:r>
      <w:r>
        <w:rPr>
          <w:rFonts w:hint="eastAsia" w:ascii="仿宋" w:hAnsi="仿宋" w:eastAsia="仿宋"/>
          <w:spacing w:val="-3"/>
          <w:sz w:val="21"/>
        </w:rPr>
        <w:t>mm</w:t>
      </w:r>
      <w:r>
        <w:rPr>
          <w:spacing w:val="-8"/>
          <w:sz w:val="21"/>
        </w:rPr>
        <w:t>”。依据盲杖端头尺寸、轮椅小轮一般宽度、高跟鞋鞋跟一般尺寸，参照《澳门特区</w:t>
      </w:r>
      <w:r>
        <w:rPr>
          <w:spacing w:val="-5"/>
          <w:sz w:val="21"/>
        </w:rPr>
        <w:t xml:space="preserve">无障碍通用设计建筑指引》第 </w:t>
      </w:r>
      <w:r>
        <w:rPr>
          <w:sz w:val="21"/>
        </w:rPr>
        <w:t>2.2.1</w:t>
      </w:r>
      <w:r>
        <w:rPr>
          <w:spacing w:val="-10"/>
          <w:sz w:val="21"/>
        </w:rPr>
        <w:t xml:space="preserve"> 条“格栅的缝不得超过 </w:t>
      </w:r>
      <w:r>
        <w:rPr>
          <w:sz w:val="21"/>
        </w:rPr>
        <w:t>13</w:t>
      </w:r>
      <w:r>
        <w:rPr>
          <w:spacing w:val="-7"/>
          <w:sz w:val="21"/>
        </w:rPr>
        <w:t xml:space="preserve"> 毫米，格栅长边应该垂直于行走方向。” 因此，本条减小滤水箅子孔洞宽度，并规定布设方向。</w:t>
      </w:r>
    </w:p>
    <w:p>
      <w:pPr>
        <w:spacing w:after="0" w:line="417" w:lineRule="auto"/>
        <w:jc w:val="left"/>
        <w:rPr>
          <w:sz w:val="21"/>
        </w:rPr>
        <w:sectPr>
          <w:pgSz w:w="11910" w:h="16840"/>
          <w:pgMar w:top="1580" w:right="820" w:bottom="1280" w:left="920" w:header="0" w:footer="1095" w:gutter="0"/>
          <w:cols w:space="720" w:num="1"/>
        </w:sectPr>
      </w:pPr>
    </w:p>
    <w:p>
      <w:pPr>
        <w:pStyle w:val="12"/>
        <w:numPr>
          <w:ilvl w:val="0"/>
          <w:numId w:val="143"/>
        </w:numPr>
        <w:tabs>
          <w:tab w:val="left" w:pos="1060"/>
        </w:tabs>
        <w:spacing w:before="60" w:after="0" w:line="417" w:lineRule="auto"/>
        <w:ind w:left="212" w:right="309" w:firstLine="427"/>
        <w:jc w:val="both"/>
        <w:rPr>
          <w:sz w:val="21"/>
        </w:rPr>
      </w:pPr>
      <w:r>
        <w:rPr>
          <w:spacing w:val="-5"/>
          <w:w w:val="95"/>
          <w:sz w:val="21"/>
        </w:rPr>
        <w:t xml:space="preserve">自动扶梯、楼梯的下侧容易造成头部磕碰，盲杖无法探明。宜采取悬挂活动警示牌，结合地面围   </w:t>
      </w:r>
      <w:r>
        <w:rPr>
          <w:spacing w:val="-15"/>
          <w:w w:val="95"/>
          <w:sz w:val="21"/>
        </w:rPr>
        <w:t>挡等方式进行提示。对于设置的安全阻挡措施，需避免其自身带来伤害。《无障碍设计规范》</w:t>
      </w:r>
      <w:r>
        <w:rPr>
          <w:rFonts w:hint="eastAsia" w:ascii="仿宋" w:hAnsi="仿宋" w:eastAsia="仿宋"/>
          <w:w w:val="95"/>
          <w:sz w:val="21"/>
        </w:rPr>
        <w:t>GB</w:t>
      </w:r>
      <w:r>
        <w:rPr>
          <w:w w:val="95"/>
          <w:sz w:val="21"/>
        </w:rPr>
        <w:t xml:space="preserve">50763-2012   </w:t>
      </w:r>
      <w:r>
        <w:rPr>
          <w:spacing w:val="-28"/>
          <w:sz w:val="21"/>
        </w:rPr>
        <w:t xml:space="preserve">第 </w:t>
      </w:r>
      <w:r>
        <w:rPr>
          <w:sz w:val="21"/>
        </w:rPr>
        <w:t>3.5.2</w:t>
      </w:r>
      <w:r>
        <w:rPr>
          <w:spacing w:val="-30"/>
          <w:sz w:val="21"/>
        </w:rPr>
        <w:t xml:space="preserve"> 条第 </w:t>
      </w:r>
      <w:r>
        <w:rPr>
          <w:sz w:val="21"/>
        </w:rPr>
        <w:t>5</w:t>
      </w:r>
      <w:r>
        <w:rPr>
          <w:spacing w:val="-8"/>
          <w:sz w:val="21"/>
        </w:rPr>
        <w:t xml:space="preserve"> 款“斜向的自动扶梯、楼梯下部可以进入时，应设置安全挡牌”。本条在此基础上细化要求。</w:t>
      </w:r>
    </w:p>
    <w:p>
      <w:pPr>
        <w:pStyle w:val="12"/>
        <w:numPr>
          <w:ilvl w:val="0"/>
          <w:numId w:val="141"/>
        </w:numPr>
        <w:tabs>
          <w:tab w:val="left" w:pos="4744"/>
        </w:tabs>
        <w:spacing w:before="0" w:after="0" w:line="268" w:lineRule="exact"/>
        <w:ind w:left="4744" w:right="99" w:hanging="4744"/>
        <w:jc w:val="left"/>
        <w:rPr>
          <w:rFonts w:hint="eastAsia" w:ascii="黑体" w:eastAsia="黑体"/>
          <w:sz w:val="21"/>
        </w:rPr>
      </w:pPr>
      <w:bookmarkStart w:id="621" w:name="VI轮椅坡道"/>
      <w:bookmarkEnd w:id="621"/>
      <w:bookmarkStart w:id="622" w:name="VI轮椅坡道"/>
      <w:bookmarkEnd w:id="622"/>
      <w:r>
        <w:rPr>
          <w:rFonts w:hint="eastAsia" w:ascii="黑体" w:eastAsia="黑体"/>
          <w:sz w:val="21"/>
        </w:rPr>
        <w:t>轮椅坡道</w:t>
      </w:r>
    </w:p>
    <w:p>
      <w:pPr>
        <w:pStyle w:val="5"/>
        <w:spacing w:before="6"/>
        <w:rPr>
          <w:rFonts w:ascii="黑体"/>
          <w:sz w:val="15"/>
        </w:rPr>
      </w:pPr>
    </w:p>
    <w:p>
      <w:pPr>
        <w:pStyle w:val="5"/>
        <w:tabs>
          <w:tab w:val="left" w:pos="1052"/>
        </w:tabs>
        <w:spacing w:before="1" w:line="417" w:lineRule="auto"/>
        <w:ind w:left="212" w:right="208"/>
      </w:pPr>
      <w:r>
        <w:drawing>
          <wp:anchor distT="0" distB="0" distL="0" distR="0" simplePos="0" relativeHeight="251659264" behindDoc="0" locked="0" layoutInCell="1" allowOverlap="1">
            <wp:simplePos x="0" y="0"/>
            <wp:positionH relativeFrom="page">
              <wp:posOffset>2282825</wp:posOffset>
            </wp:positionH>
            <wp:positionV relativeFrom="paragraph">
              <wp:posOffset>951230</wp:posOffset>
            </wp:positionV>
            <wp:extent cx="2950210" cy="1173480"/>
            <wp:effectExtent l="0" t="0" r="0" b="0"/>
            <wp:wrapTopAndBottom/>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8.png"/>
                    <pic:cNvPicPr>
                      <a:picLocks noChangeAspect="1"/>
                    </pic:cNvPicPr>
                  </pic:nvPicPr>
                  <pic:blipFill>
                    <a:blip r:embed="rId73" cstate="print"/>
                    <a:stretch>
                      <a:fillRect/>
                    </a:stretch>
                  </pic:blipFill>
                  <pic:spPr>
                    <a:xfrm>
                      <a:off x="0" y="0"/>
                      <a:ext cx="2950370" cy="1173479"/>
                    </a:xfrm>
                    <a:prstGeom prst="rect">
                      <a:avLst/>
                    </a:prstGeom>
                  </pic:spPr>
                </pic:pic>
              </a:graphicData>
            </a:graphic>
          </wp:anchor>
        </w:drawing>
      </w:r>
      <w:r>
        <w:rPr>
          <w:b/>
        </w:rPr>
        <w:t>4.1.15</w:t>
      </w:r>
      <w:r>
        <w:rPr>
          <w:b/>
        </w:rPr>
        <w:tab/>
      </w:r>
      <w:bookmarkStart w:id="623" w:name="4.1.15轮椅坡道形式的设计应根据周边情况综合考虑（如图4.1.15-1、图4"/>
      <w:bookmarkEnd w:id="623"/>
      <w:r>
        <w:t>轮椅坡道形式的设计应根据周边情况综合考虑（</w:t>
      </w:r>
      <w:r>
        <w:rPr>
          <w:spacing w:val="-16"/>
        </w:rPr>
        <w:t xml:space="preserve">如图 </w:t>
      </w:r>
      <w:r>
        <w:t>4.1.15-1</w:t>
      </w:r>
      <w:r>
        <w:rPr>
          <w:spacing w:val="-16"/>
        </w:rPr>
        <w:t xml:space="preserve">、图 </w:t>
      </w:r>
      <w:r>
        <w:t>4.1.15-2</w:t>
      </w:r>
      <w:r>
        <w:rPr>
          <w:spacing w:val="-16"/>
        </w:rPr>
        <w:t xml:space="preserve">、图 </w:t>
      </w:r>
      <w:r>
        <w:t xml:space="preserve">4.1.15-3）， </w:t>
      </w:r>
      <w:r>
        <w:rPr>
          <w:spacing w:val="-8"/>
          <w:w w:val="95"/>
        </w:rPr>
        <w:t xml:space="preserve">不宜设计成圆形或弧形。坡面需保证坡面防滑，同时兼顾平整性，不宜加设防滑条或将坡面做成礓蹉形式，   </w:t>
      </w:r>
      <w:r>
        <w:rPr>
          <w:spacing w:val="-8"/>
        </w:rPr>
        <w:t>便于轮椅、婴儿车等通行。</w:t>
      </w:r>
    </w:p>
    <w:p>
      <w:pPr>
        <w:pStyle w:val="5"/>
        <w:spacing w:before="134"/>
        <w:ind w:right="73"/>
        <w:jc w:val="center"/>
      </w:pPr>
      <w:r>
        <w:rPr>
          <w:spacing w:val="-29"/>
        </w:rPr>
        <w:t xml:space="preserve">图 </w:t>
      </w:r>
      <w:r>
        <w:t>4.1.15-1</w:t>
      </w:r>
      <w:r>
        <w:rPr>
          <w:spacing w:val="-3"/>
        </w:rPr>
        <w:t xml:space="preserve"> 直线形轮椅坡道平面示意图</w:t>
      </w:r>
    </w:p>
    <w:p>
      <w:pPr>
        <w:pStyle w:val="5"/>
        <w:rPr>
          <w:sz w:val="20"/>
        </w:rPr>
      </w:pPr>
    </w:p>
    <w:p>
      <w:pPr>
        <w:pStyle w:val="5"/>
        <w:spacing w:before="5"/>
        <w:rPr>
          <w:sz w:val="12"/>
        </w:rPr>
      </w:pPr>
      <w:r>
        <w:drawing>
          <wp:anchor distT="0" distB="0" distL="0" distR="0" simplePos="0" relativeHeight="251659264" behindDoc="0" locked="0" layoutInCell="1" allowOverlap="1">
            <wp:simplePos x="0" y="0"/>
            <wp:positionH relativeFrom="page">
              <wp:posOffset>2216150</wp:posOffset>
            </wp:positionH>
            <wp:positionV relativeFrom="paragraph">
              <wp:posOffset>125730</wp:posOffset>
            </wp:positionV>
            <wp:extent cx="3051810" cy="1655445"/>
            <wp:effectExtent l="0" t="0" r="0" b="0"/>
            <wp:wrapTopAndBottom/>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9.jpeg"/>
                    <pic:cNvPicPr>
                      <a:picLocks noChangeAspect="1"/>
                    </pic:cNvPicPr>
                  </pic:nvPicPr>
                  <pic:blipFill>
                    <a:blip r:embed="rId74" cstate="print"/>
                    <a:stretch>
                      <a:fillRect/>
                    </a:stretch>
                  </pic:blipFill>
                  <pic:spPr>
                    <a:xfrm>
                      <a:off x="0" y="0"/>
                      <a:ext cx="3051586" cy="1655444"/>
                    </a:xfrm>
                    <a:prstGeom prst="rect">
                      <a:avLst/>
                    </a:prstGeom>
                  </pic:spPr>
                </pic:pic>
              </a:graphicData>
            </a:graphic>
          </wp:anchor>
        </w:drawing>
      </w:r>
    </w:p>
    <w:p>
      <w:pPr>
        <w:pStyle w:val="5"/>
        <w:spacing w:before="17"/>
        <w:ind w:right="73"/>
        <w:jc w:val="center"/>
      </w:pPr>
      <w:r>
        <w:rPr>
          <w:spacing w:val="-29"/>
        </w:rPr>
        <w:t xml:space="preserve">图 </w:t>
      </w:r>
      <w:r>
        <w:t>4.1.15-2</w:t>
      </w:r>
      <w:r>
        <w:rPr>
          <w:spacing w:val="-3"/>
        </w:rPr>
        <w:t xml:space="preserve"> 直角形轮椅坡道平面示意图</w:t>
      </w:r>
    </w:p>
    <w:p>
      <w:pPr>
        <w:pStyle w:val="5"/>
        <w:spacing w:before="2"/>
        <w:rPr>
          <w:sz w:val="20"/>
        </w:rPr>
      </w:pPr>
      <w:r>
        <w:drawing>
          <wp:anchor distT="0" distB="0" distL="0" distR="0" simplePos="0" relativeHeight="251659264" behindDoc="0" locked="0" layoutInCell="1" allowOverlap="1">
            <wp:simplePos x="0" y="0"/>
            <wp:positionH relativeFrom="page">
              <wp:posOffset>2092960</wp:posOffset>
            </wp:positionH>
            <wp:positionV relativeFrom="paragraph">
              <wp:posOffset>188595</wp:posOffset>
            </wp:positionV>
            <wp:extent cx="3183255" cy="1978025"/>
            <wp:effectExtent l="0" t="0" r="0" b="0"/>
            <wp:wrapTopAndBottom/>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0.jpeg"/>
                    <pic:cNvPicPr>
                      <a:picLocks noChangeAspect="1"/>
                    </pic:cNvPicPr>
                  </pic:nvPicPr>
                  <pic:blipFill>
                    <a:blip r:embed="rId75" cstate="print"/>
                    <a:stretch>
                      <a:fillRect/>
                    </a:stretch>
                  </pic:blipFill>
                  <pic:spPr>
                    <a:xfrm>
                      <a:off x="0" y="0"/>
                      <a:ext cx="3183262" cy="1978152"/>
                    </a:xfrm>
                    <a:prstGeom prst="rect">
                      <a:avLst/>
                    </a:prstGeom>
                  </pic:spPr>
                </pic:pic>
              </a:graphicData>
            </a:graphic>
          </wp:anchor>
        </w:drawing>
      </w:r>
    </w:p>
    <w:p>
      <w:pPr>
        <w:pStyle w:val="5"/>
        <w:spacing w:before="144"/>
        <w:ind w:right="73"/>
        <w:jc w:val="center"/>
      </w:pPr>
      <w:r>
        <w:rPr>
          <w:spacing w:val="-29"/>
        </w:rPr>
        <w:t xml:space="preserve">图 </w:t>
      </w:r>
      <w:r>
        <w:t>4.1.15-3</w:t>
      </w:r>
      <w:r>
        <w:rPr>
          <w:spacing w:val="-3"/>
        </w:rPr>
        <w:t xml:space="preserve"> 折返形轮椅坡道平面示意图</w:t>
      </w:r>
    </w:p>
    <w:p>
      <w:pPr>
        <w:spacing w:after="0"/>
        <w:jc w:val="center"/>
        <w:sectPr>
          <w:pgSz w:w="11910" w:h="16840"/>
          <w:pgMar w:top="1580" w:right="820" w:bottom="1280" w:left="920" w:header="0" w:footer="1095" w:gutter="0"/>
          <w:cols w:space="720" w:num="1"/>
        </w:sectPr>
      </w:pPr>
    </w:p>
    <w:p>
      <w:pPr>
        <w:pStyle w:val="12"/>
        <w:numPr>
          <w:ilvl w:val="2"/>
          <w:numId w:val="144"/>
        </w:numPr>
        <w:tabs>
          <w:tab w:val="left" w:pos="1053"/>
        </w:tabs>
        <w:spacing w:before="60" w:after="0" w:line="240" w:lineRule="auto"/>
        <w:ind w:left="1052" w:right="0" w:hanging="841"/>
        <w:jc w:val="both"/>
        <w:rPr>
          <w:sz w:val="21"/>
        </w:rPr>
      </w:pPr>
      <w:bookmarkStart w:id="624" w:name="4.1.16本条规定了轮椅坡道的坡度、最大提升高度和水平长度的要求。"/>
      <w:bookmarkEnd w:id="624"/>
      <w:bookmarkStart w:id="625" w:name="4.1.16本条规定了轮椅坡道的坡度、最大提升高度和水平长度的要求。"/>
      <w:bookmarkEnd w:id="625"/>
      <w:r>
        <w:rPr>
          <w:sz w:val="21"/>
        </w:rPr>
        <w:t>本条规定了轮椅坡道的坡度、最大提升高度和水平长度的要求。</w:t>
      </w:r>
    </w:p>
    <w:p>
      <w:pPr>
        <w:pStyle w:val="5"/>
        <w:spacing w:before="6"/>
        <w:rPr>
          <w:sz w:val="15"/>
        </w:rPr>
      </w:pPr>
    </w:p>
    <w:p>
      <w:pPr>
        <w:pStyle w:val="12"/>
        <w:numPr>
          <w:ilvl w:val="3"/>
          <w:numId w:val="144"/>
        </w:numPr>
        <w:tabs>
          <w:tab w:val="left" w:pos="1053"/>
        </w:tabs>
        <w:spacing w:before="1" w:after="0" w:line="417" w:lineRule="auto"/>
        <w:ind w:left="212" w:right="310" w:firstLine="420"/>
        <w:jc w:val="both"/>
        <w:rPr>
          <w:sz w:val="21"/>
        </w:rPr>
      </w:pPr>
      <w:r>
        <w:rPr>
          <w:spacing w:val="-2"/>
          <w:w w:val="95"/>
          <w:sz w:val="21"/>
        </w:rPr>
        <w:t xml:space="preserve">对轮椅坡道横向坡度的控制，目的在于保证乘轮椅者平稳向下或向下通行，防止乘轮椅者横向滑   </w:t>
      </w:r>
      <w:r>
        <w:rPr>
          <w:spacing w:val="-2"/>
          <w:sz w:val="21"/>
        </w:rPr>
        <w:t>行。《无障碍设计规范》</w:t>
      </w:r>
      <w:r>
        <w:rPr>
          <w:rFonts w:hint="eastAsia" w:ascii="仿宋" w:eastAsia="仿宋"/>
          <w:spacing w:val="-2"/>
          <w:sz w:val="21"/>
        </w:rPr>
        <w:t>GB</w:t>
      </w:r>
      <w:r>
        <w:rPr>
          <w:rFonts w:hint="eastAsia" w:ascii="仿宋" w:eastAsia="仿宋"/>
          <w:spacing w:val="5"/>
          <w:sz w:val="21"/>
        </w:rPr>
        <w:t xml:space="preserve"> </w:t>
      </w:r>
      <w:r>
        <w:rPr>
          <w:sz w:val="21"/>
        </w:rPr>
        <w:t>50763-2012</w:t>
      </w:r>
      <w:r>
        <w:rPr>
          <w:spacing w:val="-33"/>
          <w:sz w:val="21"/>
        </w:rPr>
        <w:t xml:space="preserve"> 第 </w:t>
      </w:r>
      <w:r>
        <w:rPr>
          <w:sz w:val="21"/>
        </w:rPr>
        <w:t>3.4.4</w:t>
      </w:r>
      <w:r>
        <w:rPr>
          <w:spacing w:val="-8"/>
          <w:sz w:val="21"/>
        </w:rPr>
        <w:t xml:space="preserve"> 条规定轮椅坡道坡度可根据场地情况和提升高度进行选</w:t>
      </w:r>
      <w:r>
        <w:rPr>
          <w:spacing w:val="-7"/>
          <w:sz w:val="21"/>
        </w:rPr>
        <w:t xml:space="preserve">用，坡度范围在 </w:t>
      </w:r>
      <w:r>
        <w:rPr>
          <w:sz w:val="21"/>
        </w:rPr>
        <w:t>1:8～1:20</w:t>
      </w:r>
      <w:r>
        <w:rPr>
          <w:spacing w:val="-9"/>
          <w:sz w:val="21"/>
        </w:rPr>
        <w:t xml:space="preserve"> 之间，最大水平长度在 </w:t>
      </w:r>
      <w:r>
        <w:rPr>
          <w:sz w:val="21"/>
        </w:rPr>
        <w:t>2.40</w:t>
      </w:r>
      <w:r>
        <w:rPr>
          <w:rFonts w:hint="eastAsia" w:ascii="仿宋" w:eastAsia="仿宋"/>
          <w:sz w:val="21"/>
        </w:rPr>
        <w:t>m</w:t>
      </w:r>
      <w:r>
        <w:rPr>
          <w:sz w:val="21"/>
        </w:rPr>
        <w:t>～24.0</w:t>
      </w:r>
      <w:r>
        <w:rPr>
          <w:rFonts w:hint="eastAsia" w:ascii="仿宋" w:eastAsia="仿宋"/>
          <w:sz w:val="21"/>
        </w:rPr>
        <w:t>m</w:t>
      </w:r>
      <w:r>
        <w:rPr>
          <w:rFonts w:hint="eastAsia" w:ascii="仿宋" w:eastAsia="仿宋"/>
          <w:spacing w:val="-48"/>
          <w:sz w:val="21"/>
        </w:rPr>
        <w:t xml:space="preserve"> </w:t>
      </w:r>
      <w:r>
        <w:rPr>
          <w:sz w:val="21"/>
        </w:rPr>
        <w:t>之间；条文说明中标明在有条件的情况</w:t>
      </w:r>
      <w:r>
        <w:rPr>
          <w:spacing w:val="-5"/>
          <w:sz w:val="21"/>
        </w:rPr>
        <w:t xml:space="preserve">下坡道坡度宜小于 </w:t>
      </w:r>
      <w:r>
        <w:rPr>
          <w:sz w:val="21"/>
        </w:rPr>
        <w:t>1:12。据乘轮椅者反馈，1:12</w:t>
      </w:r>
      <w:r>
        <w:rPr>
          <w:spacing w:val="-5"/>
          <w:sz w:val="21"/>
        </w:rPr>
        <w:t xml:space="preserve"> 以下坡度，难以在无辅助情况下通行。因此，本条规定</w:t>
      </w:r>
      <w:r>
        <w:rPr>
          <w:spacing w:val="-9"/>
          <w:sz w:val="21"/>
        </w:rPr>
        <w:t xml:space="preserve">一般情况下轮椅坡道纵坡不大于 </w:t>
      </w:r>
      <w:r>
        <w:rPr>
          <w:sz w:val="21"/>
        </w:rPr>
        <w:t>1:12</w:t>
      </w:r>
      <w:r>
        <w:rPr>
          <w:spacing w:val="-4"/>
          <w:sz w:val="21"/>
        </w:rPr>
        <w:t xml:space="preserve">，当条件受限且高差不大于 </w:t>
      </w:r>
      <w:r>
        <w:rPr>
          <w:sz w:val="21"/>
        </w:rPr>
        <w:t>150</w:t>
      </w:r>
      <w:r>
        <w:rPr>
          <w:rFonts w:hint="eastAsia" w:ascii="仿宋" w:eastAsia="仿宋"/>
          <w:sz w:val="21"/>
        </w:rPr>
        <w:t>mm</w:t>
      </w:r>
      <w:r>
        <w:rPr>
          <w:rFonts w:hint="eastAsia" w:ascii="仿宋" w:eastAsia="仿宋"/>
          <w:spacing w:val="-53"/>
          <w:sz w:val="21"/>
        </w:rPr>
        <w:t xml:space="preserve"> </w:t>
      </w:r>
      <w:r>
        <w:rPr>
          <w:sz w:val="21"/>
        </w:rPr>
        <w:t>时，可适当放宽要求。</w:t>
      </w:r>
    </w:p>
    <w:p>
      <w:pPr>
        <w:pStyle w:val="12"/>
        <w:numPr>
          <w:ilvl w:val="3"/>
          <w:numId w:val="144"/>
        </w:numPr>
        <w:tabs>
          <w:tab w:val="left" w:pos="1052"/>
          <w:tab w:val="left" w:pos="1053"/>
        </w:tabs>
        <w:spacing w:before="0" w:after="0" w:line="417" w:lineRule="auto"/>
        <w:ind w:left="212" w:right="204" w:firstLine="420"/>
        <w:jc w:val="left"/>
        <w:rPr>
          <w:sz w:val="21"/>
        </w:rPr>
      </w:pPr>
      <w:r>
        <w:rPr>
          <w:spacing w:val="-1"/>
          <w:sz w:val="21"/>
        </w:rPr>
        <w:t>每段坡道的提升高度需考虑使用者的体力情况，每提升一定的高度需要设置一个平台提供短暂休</w:t>
      </w:r>
      <w:r>
        <w:rPr>
          <w:spacing w:val="-4"/>
          <w:sz w:val="21"/>
        </w:rPr>
        <w:t>息。《无障碍设计规范》</w:t>
      </w:r>
      <w:r>
        <w:rPr>
          <w:rFonts w:hint="eastAsia" w:ascii="仿宋" w:eastAsia="仿宋"/>
          <w:sz w:val="21"/>
        </w:rPr>
        <w:t>GB</w:t>
      </w:r>
      <w:r>
        <w:rPr>
          <w:rFonts w:hint="eastAsia" w:ascii="仿宋" w:eastAsia="仿宋"/>
          <w:spacing w:val="-57"/>
          <w:sz w:val="21"/>
        </w:rPr>
        <w:t xml:space="preserve"> </w:t>
      </w:r>
      <w:r>
        <w:rPr>
          <w:sz w:val="21"/>
        </w:rPr>
        <w:t>50763-2012</w:t>
      </w:r>
      <w:r>
        <w:rPr>
          <w:spacing w:val="-39"/>
          <w:sz w:val="21"/>
        </w:rPr>
        <w:t xml:space="preserve"> 第 </w:t>
      </w:r>
      <w:r>
        <w:rPr>
          <w:sz w:val="21"/>
        </w:rPr>
        <w:t>3.4.4</w:t>
      </w:r>
      <w:r>
        <w:rPr>
          <w:spacing w:val="-8"/>
          <w:sz w:val="21"/>
        </w:rPr>
        <w:t xml:space="preserve"> 条规定不同坡度下，最大提升高度和水平长度数值不同， </w:t>
      </w:r>
      <w:r>
        <w:rPr>
          <w:spacing w:val="-10"/>
          <w:sz w:val="21"/>
        </w:rPr>
        <w:t xml:space="preserve">均较国际标准偏大。因此，本标准参照实际建设情况简化计算，并统一每段坡道最大提升高度为 </w:t>
      </w:r>
      <w:r>
        <w:rPr>
          <w:sz w:val="21"/>
        </w:rPr>
        <w:t>750</w:t>
      </w:r>
      <w:r>
        <w:rPr>
          <w:rFonts w:hint="eastAsia" w:ascii="仿宋" w:eastAsia="仿宋"/>
          <w:sz w:val="21"/>
        </w:rPr>
        <w:t>mm</w:t>
      </w:r>
      <w:r>
        <w:rPr>
          <w:sz w:val="21"/>
        </w:rPr>
        <w:t>。</w:t>
      </w:r>
    </w:p>
    <w:p>
      <w:pPr>
        <w:pStyle w:val="12"/>
        <w:numPr>
          <w:ilvl w:val="2"/>
          <w:numId w:val="144"/>
        </w:numPr>
        <w:tabs>
          <w:tab w:val="left" w:pos="1052"/>
          <w:tab w:val="left" w:pos="1053"/>
        </w:tabs>
        <w:spacing w:before="0" w:after="0" w:line="269" w:lineRule="exact"/>
        <w:ind w:left="1052" w:right="0" w:hanging="841"/>
        <w:jc w:val="left"/>
        <w:rPr>
          <w:sz w:val="21"/>
        </w:rPr>
      </w:pPr>
      <w:bookmarkStart w:id="626" w:name="4.1.17本条规定了轮椅坡道的设计要求。"/>
      <w:bookmarkEnd w:id="626"/>
      <w:bookmarkStart w:id="627" w:name="4.1.17本条规定了轮椅坡道的设计要求。"/>
      <w:bookmarkEnd w:id="627"/>
      <w:r>
        <w:rPr>
          <w:sz w:val="21"/>
        </w:rPr>
        <w:t>本条规定了轮椅坡道的设计要求。</w:t>
      </w:r>
    </w:p>
    <w:p>
      <w:pPr>
        <w:pStyle w:val="5"/>
        <w:spacing w:before="5"/>
        <w:rPr>
          <w:sz w:val="15"/>
        </w:rPr>
      </w:pPr>
    </w:p>
    <w:p>
      <w:pPr>
        <w:pStyle w:val="12"/>
        <w:numPr>
          <w:ilvl w:val="0"/>
          <w:numId w:val="145"/>
        </w:numPr>
        <w:tabs>
          <w:tab w:val="left" w:pos="1060"/>
        </w:tabs>
        <w:spacing w:before="1" w:after="0" w:line="240" w:lineRule="auto"/>
        <w:ind w:left="1060" w:right="0" w:hanging="420"/>
        <w:jc w:val="both"/>
        <w:rPr>
          <w:sz w:val="21"/>
        </w:rPr>
      </w:pPr>
      <w:r>
        <w:rPr>
          <w:spacing w:val="-2"/>
          <w:sz w:val="21"/>
        </w:rPr>
        <w:t xml:space="preserve">无障碍出入口的轮椅坡道需满足轮椅和行人两股人流同时通行，净宽不应小于 </w:t>
      </w:r>
      <w:r>
        <w:rPr>
          <w:sz w:val="21"/>
        </w:rPr>
        <w:t>1.20</w:t>
      </w:r>
      <w:r>
        <w:rPr>
          <w:rFonts w:hint="eastAsia" w:ascii="仿宋" w:eastAsia="仿宋"/>
          <w:sz w:val="21"/>
        </w:rPr>
        <w:t>m</w:t>
      </w:r>
      <w:r>
        <w:rPr>
          <w:sz w:val="21"/>
        </w:rPr>
        <w:t>。</w:t>
      </w:r>
    </w:p>
    <w:p>
      <w:pPr>
        <w:pStyle w:val="5"/>
        <w:spacing w:before="6"/>
        <w:rPr>
          <w:sz w:val="15"/>
        </w:rPr>
      </w:pPr>
    </w:p>
    <w:p>
      <w:pPr>
        <w:pStyle w:val="12"/>
        <w:numPr>
          <w:ilvl w:val="0"/>
          <w:numId w:val="145"/>
        </w:numPr>
        <w:tabs>
          <w:tab w:val="left" w:pos="1060"/>
        </w:tabs>
        <w:spacing w:before="0" w:after="0" w:line="417" w:lineRule="auto"/>
        <w:ind w:left="212" w:right="286" w:firstLine="427"/>
        <w:jc w:val="both"/>
        <w:rPr>
          <w:sz w:val="21"/>
        </w:rPr>
      </w:pPr>
      <w:r>
        <w:rPr>
          <w:w w:val="95"/>
          <w:sz w:val="21"/>
        </w:rPr>
        <w:t xml:space="preserve">对于轮椅坡道的起终点和中间休息平台的通行净宽提出要求，目的是保证轮椅坡道的通行宽度。   </w:t>
      </w:r>
      <w:r>
        <w:rPr>
          <w:spacing w:val="-3"/>
          <w:sz w:val="21"/>
        </w:rPr>
        <w:t>当设有扶手时，净宽度为扶手内侧之间的宽度。乘轮椅者、推婴儿车者在进入坡道之前和行驶完成后，需</w:t>
      </w:r>
      <w:r>
        <w:rPr>
          <w:spacing w:val="-2"/>
          <w:sz w:val="21"/>
        </w:rPr>
        <w:t xml:space="preserve">要一段水平行驶用来调整轮椅、婴儿车，平台长度不小于 </w:t>
      </w:r>
      <w:r>
        <w:rPr>
          <w:sz w:val="21"/>
        </w:rPr>
        <w:t>1</w:t>
      </w:r>
      <w:r>
        <w:rPr>
          <w:rFonts w:ascii="Calibri" w:eastAsia="Calibri"/>
          <w:sz w:val="21"/>
        </w:rPr>
        <w:t>.</w:t>
      </w:r>
      <w:r>
        <w:rPr>
          <w:sz w:val="21"/>
        </w:rPr>
        <w:t>50</w:t>
      </w:r>
      <w:r>
        <w:rPr>
          <w:rFonts w:hint="eastAsia" w:ascii="仿宋" w:eastAsia="仿宋"/>
          <w:sz w:val="21"/>
        </w:rPr>
        <w:t>m</w:t>
      </w:r>
      <w:r>
        <w:rPr>
          <w:sz w:val="21"/>
        </w:rPr>
        <w:t>，可满足乘轮椅者、推婴儿车者调整方向或者短暂休息。</w:t>
      </w:r>
    </w:p>
    <w:p>
      <w:pPr>
        <w:pStyle w:val="5"/>
        <w:spacing w:line="417" w:lineRule="auto"/>
        <w:ind w:left="212" w:right="312" w:firstLine="427"/>
        <w:jc w:val="both"/>
      </w:pPr>
      <w:r>
        <w:t>4 轮椅坡道的侧面临空时，为了防止拐杖和轮椅前侧小轮滑出坡道，应设置安全阻挡措施。安全阻</w:t>
      </w:r>
      <w:r>
        <w:rPr>
          <w:spacing w:val="-2"/>
        </w:rPr>
        <w:t xml:space="preserve">挡措施可采用以下做法中的至少一种：坡道和平台边缘设置高度不小于 </w:t>
      </w:r>
      <w:r>
        <w:t>50</w:t>
      </w:r>
      <w:r>
        <w:rPr>
          <w:rFonts w:hint="eastAsia" w:ascii="仿宋" w:eastAsia="仿宋"/>
        </w:rPr>
        <w:t xml:space="preserve">mm </w:t>
      </w:r>
      <w:r>
        <w:t>的安全挡台；坡道和平台设</w:t>
      </w:r>
      <w:r>
        <w:rPr>
          <w:spacing w:val="-4"/>
        </w:rPr>
        <w:t xml:space="preserve">置距离坡道面和平台面不大于 </w:t>
      </w:r>
      <w:r>
        <w:t>100</w:t>
      </w:r>
      <w:r>
        <w:rPr>
          <w:rFonts w:hint="eastAsia" w:ascii="仿宋" w:eastAsia="仿宋"/>
        </w:rPr>
        <w:t>mm</w:t>
      </w:r>
      <w:r>
        <w:rPr>
          <w:rFonts w:hint="eastAsia" w:ascii="仿宋" w:eastAsia="仿宋"/>
          <w:spacing w:val="-56"/>
        </w:rPr>
        <w:t xml:space="preserve"> </w:t>
      </w:r>
      <w:r>
        <w:rPr>
          <w:spacing w:val="-3"/>
        </w:rPr>
        <w:t xml:space="preserve">的斜向栏杆；坡道面和平台面从扶手外边缘向外扩宽 </w:t>
      </w:r>
      <w:r>
        <w:t>300</w:t>
      </w:r>
      <w:r>
        <w:rPr>
          <w:rFonts w:hint="eastAsia" w:ascii="仿宋" w:eastAsia="仿宋"/>
        </w:rPr>
        <w:t>mm</w:t>
      </w:r>
      <w:r>
        <w:t>。</w:t>
      </w:r>
    </w:p>
    <w:p>
      <w:pPr>
        <w:pStyle w:val="12"/>
        <w:numPr>
          <w:ilvl w:val="0"/>
          <w:numId w:val="141"/>
        </w:numPr>
        <w:tabs>
          <w:tab w:val="left" w:pos="4586"/>
        </w:tabs>
        <w:spacing w:before="0" w:after="0" w:line="269" w:lineRule="exact"/>
        <w:ind w:left="4585" w:right="102" w:hanging="4586"/>
        <w:jc w:val="left"/>
        <w:rPr>
          <w:rFonts w:hint="eastAsia" w:ascii="黑体" w:eastAsia="黑体"/>
          <w:sz w:val="21"/>
        </w:rPr>
      </w:pPr>
      <w:bookmarkStart w:id="628" w:name="VII无障碍出入口"/>
      <w:bookmarkEnd w:id="628"/>
      <w:bookmarkStart w:id="629" w:name="VII无障碍出入口"/>
      <w:bookmarkEnd w:id="629"/>
      <w:r>
        <w:rPr>
          <w:rFonts w:hint="eastAsia" w:ascii="黑体" w:eastAsia="黑体"/>
          <w:sz w:val="21"/>
        </w:rPr>
        <w:t>无障碍出入口</w:t>
      </w:r>
    </w:p>
    <w:p>
      <w:pPr>
        <w:pStyle w:val="5"/>
        <w:spacing w:before="6"/>
        <w:rPr>
          <w:rFonts w:ascii="黑体"/>
          <w:sz w:val="15"/>
        </w:rPr>
      </w:pPr>
    </w:p>
    <w:p>
      <w:pPr>
        <w:pStyle w:val="12"/>
        <w:numPr>
          <w:ilvl w:val="2"/>
          <w:numId w:val="144"/>
        </w:numPr>
        <w:tabs>
          <w:tab w:val="left" w:pos="1053"/>
        </w:tabs>
        <w:spacing w:before="0" w:after="0" w:line="240" w:lineRule="auto"/>
        <w:ind w:left="1052" w:right="0" w:hanging="841"/>
        <w:jc w:val="both"/>
        <w:rPr>
          <w:sz w:val="21"/>
        </w:rPr>
      </w:pPr>
      <w:bookmarkStart w:id="630" w:name="4.1.18本条规定了无障碍出入口的基本配置。"/>
      <w:bookmarkEnd w:id="630"/>
      <w:bookmarkStart w:id="631" w:name="4.1.18本条规定了无障碍出入口的基本配置。"/>
      <w:bookmarkEnd w:id="631"/>
      <w:r>
        <w:rPr>
          <w:sz w:val="21"/>
        </w:rPr>
        <w:t>本条规定了无障碍出入口的基本配置。</w:t>
      </w:r>
    </w:p>
    <w:p>
      <w:pPr>
        <w:pStyle w:val="5"/>
        <w:spacing w:before="7"/>
        <w:rPr>
          <w:sz w:val="15"/>
        </w:rPr>
      </w:pPr>
    </w:p>
    <w:p>
      <w:pPr>
        <w:pStyle w:val="12"/>
        <w:numPr>
          <w:ilvl w:val="0"/>
          <w:numId w:val="146"/>
        </w:numPr>
        <w:tabs>
          <w:tab w:val="left" w:pos="1058"/>
        </w:tabs>
        <w:spacing w:before="0" w:after="0" w:line="417" w:lineRule="auto"/>
        <w:ind w:left="212" w:right="310" w:firstLine="424"/>
        <w:jc w:val="both"/>
        <w:rPr>
          <w:sz w:val="21"/>
        </w:rPr>
      </w:pPr>
      <w:r>
        <w:rPr>
          <w:spacing w:val="-3"/>
          <w:sz w:val="21"/>
        </w:rPr>
        <w:t>平坡出入口是通行最为便捷的无障碍出入口，体现了通用设计的原则，建议在工程中，特别是大</w:t>
      </w:r>
      <w:r>
        <w:rPr>
          <w:spacing w:val="-5"/>
          <w:w w:val="95"/>
          <w:sz w:val="21"/>
        </w:rPr>
        <w:t xml:space="preserve">型公共建筑中优先选用。调查表明，坡面越平缓，人们越容易自主地使用坡道。平坡入口的地面坡度应结   </w:t>
      </w:r>
      <w:r>
        <w:rPr>
          <w:spacing w:val="-6"/>
          <w:w w:val="95"/>
          <w:sz w:val="21"/>
        </w:rPr>
        <w:t xml:space="preserve">合排水需求、室内外高差、建筑所在地的具体情况等综合选定适宜坡度。当场地条件比较好时，平坡出入   </w:t>
      </w:r>
      <w:r>
        <w:rPr>
          <w:spacing w:val="-11"/>
          <w:sz w:val="21"/>
        </w:rPr>
        <w:t xml:space="preserve">口的地面坡度不宜大于 </w:t>
      </w:r>
      <w:r>
        <w:rPr>
          <w:sz w:val="21"/>
        </w:rPr>
        <w:t>1</w:t>
      </w:r>
      <w:r>
        <w:rPr>
          <w:rFonts w:ascii="Calibri" w:eastAsia="Calibri"/>
          <w:sz w:val="21"/>
        </w:rPr>
        <w:t>:</w:t>
      </w:r>
      <w:r>
        <w:rPr>
          <w:sz w:val="21"/>
        </w:rPr>
        <w:t>30。</w:t>
      </w:r>
    </w:p>
    <w:p>
      <w:pPr>
        <w:pStyle w:val="12"/>
        <w:numPr>
          <w:ilvl w:val="0"/>
          <w:numId w:val="146"/>
        </w:numPr>
        <w:tabs>
          <w:tab w:val="left" w:pos="1058"/>
        </w:tabs>
        <w:spacing w:before="0" w:after="0" w:line="417" w:lineRule="auto"/>
        <w:ind w:left="212" w:right="312" w:firstLine="424"/>
        <w:jc w:val="both"/>
        <w:rPr>
          <w:sz w:val="21"/>
        </w:rPr>
      </w:pPr>
      <w:r>
        <w:rPr>
          <w:spacing w:val="-3"/>
          <w:w w:val="95"/>
          <w:sz w:val="21"/>
        </w:rPr>
        <w:t xml:space="preserve">与平坡出入口相比，轮椅坡道的坡度比较陡，对于部分行动不便的人士来说，走轮椅坡道比上台   </w:t>
      </w:r>
      <w:r>
        <w:rPr>
          <w:spacing w:val="-6"/>
          <w:sz w:val="21"/>
        </w:rPr>
        <w:t>阶更加困难，此外，下雨等天气条件下在轮椅坡道上滑倒的风险增大，因此在出入口同时设置台阶和轮椅坡道更加合理。</w:t>
      </w:r>
    </w:p>
    <w:p>
      <w:pPr>
        <w:pStyle w:val="12"/>
        <w:numPr>
          <w:ilvl w:val="0"/>
          <w:numId w:val="146"/>
        </w:numPr>
        <w:tabs>
          <w:tab w:val="left" w:pos="1058"/>
        </w:tabs>
        <w:spacing w:before="0" w:after="0" w:line="417" w:lineRule="auto"/>
        <w:ind w:left="212" w:right="315" w:firstLine="424"/>
        <w:jc w:val="both"/>
        <w:rPr>
          <w:sz w:val="21"/>
        </w:rPr>
      </w:pPr>
      <w:r>
        <w:rPr>
          <w:spacing w:val="-1"/>
          <w:w w:val="95"/>
          <w:sz w:val="21"/>
        </w:rPr>
        <w:t xml:space="preserve">同时设置台阶和升降平台的做法主要适用于建筑出入口进行无障碍改造，因为场地条件有限而无   </w:t>
      </w:r>
      <w:r>
        <w:rPr>
          <w:spacing w:val="-3"/>
          <w:w w:val="95"/>
          <w:sz w:val="21"/>
        </w:rPr>
        <w:t>法修建轮椅坡道时，可以采用占地面积小的升降平台以取代轮椅坡道的做法。一般的新建建筑及有条件的</w:t>
      </w:r>
    </w:p>
    <w:p>
      <w:pPr>
        <w:spacing w:after="0" w:line="417" w:lineRule="auto"/>
        <w:jc w:val="both"/>
        <w:rPr>
          <w:sz w:val="21"/>
        </w:rPr>
        <w:sectPr>
          <w:pgSz w:w="11910" w:h="16840"/>
          <w:pgMar w:top="1580" w:right="820" w:bottom="1280" w:left="920" w:header="0" w:footer="1095" w:gutter="0"/>
          <w:cols w:space="720" w:num="1"/>
        </w:sectPr>
      </w:pPr>
    </w:p>
    <w:p>
      <w:pPr>
        <w:pStyle w:val="5"/>
        <w:spacing w:before="60"/>
        <w:ind w:left="212"/>
      </w:pPr>
      <w:r>
        <w:t>改造工程不提倡此种做法。</w:t>
      </w:r>
    </w:p>
    <w:p>
      <w:pPr>
        <w:pStyle w:val="5"/>
        <w:spacing w:before="6"/>
        <w:rPr>
          <w:sz w:val="15"/>
        </w:rPr>
      </w:pPr>
    </w:p>
    <w:p>
      <w:pPr>
        <w:pStyle w:val="12"/>
        <w:numPr>
          <w:ilvl w:val="2"/>
          <w:numId w:val="144"/>
        </w:numPr>
        <w:tabs>
          <w:tab w:val="left" w:pos="1159"/>
        </w:tabs>
        <w:spacing w:before="1" w:after="0" w:line="240" w:lineRule="auto"/>
        <w:ind w:left="1158" w:right="0" w:hanging="947"/>
        <w:jc w:val="both"/>
        <w:rPr>
          <w:sz w:val="21"/>
        </w:rPr>
      </w:pPr>
      <w:bookmarkStart w:id="632" w:name="4.1.19 本条规定了无障碍出入口的设计要求。"/>
      <w:bookmarkEnd w:id="632"/>
      <w:bookmarkStart w:id="633" w:name="4.1.19 本条规定了无障碍出入口的设计要求。"/>
      <w:bookmarkEnd w:id="633"/>
      <w:r>
        <w:rPr>
          <w:sz w:val="21"/>
        </w:rPr>
        <w:t>本条规定了无障碍出入口的设计要求。</w:t>
      </w:r>
    </w:p>
    <w:p>
      <w:pPr>
        <w:pStyle w:val="5"/>
        <w:spacing w:before="6"/>
        <w:rPr>
          <w:sz w:val="15"/>
        </w:rPr>
      </w:pPr>
    </w:p>
    <w:p>
      <w:pPr>
        <w:pStyle w:val="12"/>
        <w:numPr>
          <w:ilvl w:val="0"/>
          <w:numId w:val="147"/>
        </w:numPr>
        <w:tabs>
          <w:tab w:val="left" w:pos="1065"/>
        </w:tabs>
        <w:spacing w:before="0" w:after="0" w:line="417" w:lineRule="auto"/>
        <w:ind w:left="212" w:right="310" w:firstLine="420"/>
        <w:jc w:val="both"/>
        <w:rPr>
          <w:sz w:val="21"/>
        </w:rPr>
      </w:pPr>
      <w:r>
        <w:rPr>
          <w:spacing w:val="4"/>
          <w:sz w:val="21"/>
        </w:rPr>
        <w:t>《无障碍设计规范》</w:t>
      </w:r>
      <w:r>
        <w:rPr>
          <w:rFonts w:hint="eastAsia" w:ascii="仿宋" w:hAnsi="仿宋" w:eastAsia="仿宋"/>
          <w:sz w:val="21"/>
        </w:rPr>
        <w:t>GB</w:t>
      </w:r>
      <w:r>
        <w:rPr>
          <w:sz w:val="21"/>
        </w:rPr>
        <w:t>50763-2012</w:t>
      </w:r>
      <w:r>
        <w:rPr>
          <w:spacing w:val="-37"/>
          <w:sz w:val="21"/>
        </w:rPr>
        <w:t xml:space="preserve"> 第 </w:t>
      </w:r>
      <w:r>
        <w:rPr>
          <w:sz w:val="21"/>
        </w:rPr>
        <w:t>3.3.2</w:t>
      </w:r>
      <w:r>
        <w:rPr>
          <w:spacing w:val="-27"/>
          <w:sz w:val="21"/>
        </w:rPr>
        <w:t xml:space="preserve"> 条第 </w:t>
      </w:r>
      <w:r>
        <w:rPr>
          <w:sz w:val="21"/>
        </w:rPr>
        <w:t>2</w:t>
      </w:r>
      <w:r>
        <w:rPr>
          <w:spacing w:val="-4"/>
          <w:sz w:val="21"/>
        </w:rPr>
        <w:t xml:space="preserve"> 款“室外地面滤水箅子的孔洞宽度不应大于</w:t>
      </w:r>
      <w:r>
        <w:rPr>
          <w:spacing w:val="-4"/>
          <w:w w:val="95"/>
          <w:sz w:val="21"/>
        </w:rPr>
        <w:t>15</w:t>
      </w:r>
      <w:r>
        <w:rPr>
          <w:rFonts w:hint="eastAsia" w:ascii="仿宋" w:hAnsi="仿宋" w:eastAsia="仿宋"/>
          <w:spacing w:val="-4"/>
          <w:w w:val="95"/>
          <w:sz w:val="21"/>
        </w:rPr>
        <w:t>mm</w:t>
      </w:r>
      <w:r>
        <w:rPr>
          <w:spacing w:val="-4"/>
          <w:w w:val="95"/>
          <w:sz w:val="21"/>
        </w:rPr>
        <w:t xml:space="preserve">”。依据盲杖端头尺寸、轮椅小轮一般宽度、高跟鞋鞋跟一般尺寸，参照《澳门特区无障碍通用设计   </w:t>
      </w:r>
      <w:r>
        <w:rPr>
          <w:spacing w:val="-7"/>
          <w:sz w:val="21"/>
        </w:rPr>
        <w:t xml:space="preserve">建筑指引》第 </w:t>
      </w:r>
      <w:r>
        <w:rPr>
          <w:sz w:val="21"/>
        </w:rPr>
        <w:t>2.2.1</w:t>
      </w:r>
      <w:r>
        <w:rPr>
          <w:spacing w:val="-10"/>
          <w:sz w:val="21"/>
        </w:rPr>
        <w:t xml:space="preserve"> 条“格栅的缝不得超过 </w:t>
      </w:r>
      <w:r>
        <w:rPr>
          <w:sz w:val="21"/>
        </w:rPr>
        <w:t>13</w:t>
      </w:r>
      <w:r>
        <w:rPr>
          <w:spacing w:val="-6"/>
          <w:sz w:val="21"/>
        </w:rPr>
        <w:t xml:space="preserve"> 毫米，格栅长边应该垂直于行走方向。”因此，本条减小滤水箅子孔洞宽度。</w:t>
      </w:r>
    </w:p>
    <w:p>
      <w:pPr>
        <w:pStyle w:val="12"/>
        <w:numPr>
          <w:ilvl w:val="0"/>
          <w:numId w:val="147"/>
        </w:numPr>
        <w:tabs>
          <w:tab w:val="left" w:pos="1053"/>
        </w:tabs>
        <w:spacing w:before="0" w:after="0" w:line="268" w:lineRule="exact"/>
        <w:ind w:left="1052" w:right="0" w:hanging="421"/>
        <w:jc w:val="both"/>
        <w:rPr>
          <w:sz w:val="21"/>
        </w:rPr>
      </w:pPr>
      <w:r>
        <w:rPr>
          <w:sz w:val="21"/>
        </w:rPr>
        <w:t>入口平台的深度不仅要能够满足轮椅的回转和通行，还要考虑其他人通行的安全和便利；</w:t>
      </w:r>
    </w:p>
    <w:p>
      <w:pPr>
        <w:pStyle w:val="5"/>
        <w:spacing w:before="7"/>
        <w:rPr>
          <w:sz w:val="15"/>
        </w:rPr>
      </w:pPr>
    </w:p>
    <w:p>
      <w:pPr>
        <w:pStyle w:val="12"/>
        <w:numPr>
          <w:ilvl w:val="0"/>
          <w:numId w:val="148"/>
        </w:numPr>
        <w:tabs>
          <w:tab w:val="left" w:pos="1053"/>
        </w:tabs>
        <w:spacing w:before="0" w:after="0" w:line="417" w:lineRule="auto"/>
        <w:ind w:left="212" w:right="312" w:firstLine="420"/>
        <w:jc w:val="both"/>
        <w:rPr>
          <w:sz w:val="21"/>
        </w:rPr>
      </w:pPr>
      <w:r>
        <w:rPr>
          <w:spacing w:val="-2"/>
          <w:w w:val="95"/>
          <w:sz w:val="21"/>
        </w:rPr>
        <w:t xml:space="preserve">入口上方设置雨篷既能够有效防止上空坠物，也能够在雨天为出入的人群提供过渡空间，避免出   </w:t>
      </w:r>
      <w:r>
        <w:rPr>
          <w:spacing w:val="-2"/>
          <w:sz w:val="21"/>
        </w:rPr>
        <w:t>入口地面湿滑，造成滑倒的危险。</w:t>
      </w:r>
    </w:p>
    <w:p>
      <w:pPr>
        <w:pStyle w:val="12"/>
        <w:numPr>
          <w:ilvl w:val="0"/>
          <w:numId w:val="148"/>
        </w:numPr>
        <w:tabs>
          <w:tab w:val="left" w:pos="1058"/>
        </w:tabs>
        <w:spacing w:before="0" w:after="0" w:line="269" w:lineRule="exact"/>
        <w:ind w:left="1057" w:right="0" w:hanging="421"/>
        <w:jc w:val="both"/>
        <w:rPr>
          <w:sz w:val="21"/>
        </w:rPr>
      </w:pPr>
      <w:r>
        <w:rPr>
          <w:sz w:val="21"/>
        </w:rPr>
        <w:t>当出入口设置闸机时，应设轮椅、大件行李、婴儿车能够通行的通道。</w:t>
      </w:r>
    </w:p>
    <w:p>
      <w:pPr>
        <w:pStyle w:val="5"/>
        <w:spacing w:before="7"/>
        <w:rPr>
          <w:sz w:val="15"/>
        </w:rPr>
      </w:pPr>
    </w:p>
    <w:p>
      <w:pPr>
        <w:pStyle w:val="12"/>
        <w:numPr>
          <w:ilvl w:val="0"/>
          <w:numId w:val="141"/>
        </w:numPr>
        <w:tabs>
          <w:tab w:val="left" w:pos="5164"/>
        </w:tabs>
        <w:spacing w:before="0" w:after="0" w:line="240" w:lineRule="auto"/>
        <w:ind w:left="5164" w:right="99" w:hanging="5164"/>
        <w:jc w:val="left"/>
        <w:rPr>
          <w:rFonts w:hint="eastAsia" w:ascii="黑体" w:eastAsia="黑体"/>
          <w:sz w:val="21"/>
        </w:rPr>
      </w:pPr>
      <w:bookmarkStart w:id="634" w:name="VIII门"/>
      <w:bookmarkEnd w:id="634"/>
      <w:bookmarkStart w:id="635" w:name="VIII门"/>
      <w:bookmarkEnd w:id="635"/>
      <w:r>
        <w:rPr>
          <w:rFonts w:hint="eastAsia" w:ascii="黑体" w:eastAsia="黑体"/>
          <w:w w:val="99"/>
          <w:sz w:val="21"/>
        </w:rPr>
        <w:t>门</w:t>
      </w:r>
    </w:p>
    <w:p>
      <w:pPr>
        <w:pStyle w:val="5"/>
        <w:spacing w:before="6"/>
        <w:rPr>
          <w:rFonts w:ascii="黑体"/>
          <w:sz w:val="15"/>
        </w:rPr>
      </w:pPr>
    </w:p>
    <w:p>
      <w:pPr>
        <w:pStyle w:val="12"/>
        <w:numPr>
          <w:ilvl w:val="2"/>
          <w:numId w:val="144"/>
        </w:numPr>
        <w:tabs>
          <w:tab w:val="left" w:pos="1053"/>
        </w:tabs>
        <w:spacing w:before="1" w:after="0" w:line="240" w:lineRule="auto"/>
        <w:ind w:left="1052" w:right="0" w:hanging="841"/>
        <w:jc w:val="both"/>
        <w:rPr>
          <w:sz w:val="21"/>
        </w:rPr>
      </w:pPr>
      <w:bookmarkStart w:id="636" w:name="4.1.20本条规定了满足无障碍要求门的设计要求。"/>
      <w:bookmarkEnd w:id="636"/>
      <w:bookmarkStart w:id="637" w:name="4.1.20本条规定了满足无障碍要求门的设计要求。"/>
      <w:bookmarkEnd w:id="637"/>
      <w:r>
        <w:rPr>
          <w:sz w:val="21"/>
        </w:rPr>
        <w:t>本条规定了满足无障碍要求门的设计要求。</w:t>
      </w:r>
    </w:p>
    <w:p>
      <w:pPr>
        <w:pStyle w:val="5"/>
        <w:spacing w:before="6"/>
        <w:rPr>
          <w:sz w:val="15"/>
        </w:rPr>
      </w:pPr>
    </w:p>
    <w:p>
      <w:pPr>
        <w:pStyle w:val="5"/>
        <w:ind w:left="632"/>
        <w:jc w:val="both"/>
      </w:pPr>
      <w:r>
        <w:t>1 满足无障碍要求的门应具有方便识别、便于开关和通过的综合性能。</w:t>
      </w:r>
    </w:p>
    <w:p>
      <w:pPr>
        <w:pStyle w:val="5"/>
        <w:spacing w:before="7"/>
        <w:rPr>
          <w:sz w:val="15"/>
        </w:rPr>
      </w:pPr>
    </w:p>
    <w:p>
      <w:pPr>
        <w:pStyle w:val="12"/>
        <w:numPr>
          <w:ilvl w:val="0"/>
          <w:numId w:val="149"/>
        </w:numPr>
        <w:tabs>
          <w:tab w:val="left" w:pos="1053"/>
        </w:tabs>
        <w:spacing w:before="0" w:after="0" w:line="417" w:lineRule="auto"/>
        <w:ind w:left="212" w:right="310" w:firstLine="427"/>
        <w:jc w:val="both"/>
        <w:rPr>
          <w:sz w:val="21"/>
        </w:rPr>
      </w:pPr>
      <w:r>
        <w:rPr>
          <w:spacing w:val="-4"/>
          <w:sz w:val="21"/>
        </w:rPr>
        <w:t>旋转门无法满足无障碍的功能要求。对于行动障碍者、视觉障碍者、老年人、携婴儿车者、需要</w:t>
      </w:r>
      <w:r>
        <w:rPr>
          <w:spacing w:val="-6"/>
          <w:w w:val="95"/>
          <w:sz w:val="21"/>
        </w:rPr>
        <w:t xml:space="preserve">导盲犬陪同的人士等，旋转门都会存在障碍和风险。在无障碍通道经过处如有旋转门，旁边需同时设置满   </w:t>
      </w:r>
      <w:r>
        <w:rPr>
          <w:spacing w:val="-6"/>
          <w:sz w:val="21"/>
        </w:rPr>
        <w:t>足本节要求的平开门，作为无障碍通道路线。</w:t>
      </w:r>
    </w:p>
    <w:p>
      <w:pPr>
        <w:pStyle w:val="12"/>
        <w:numPr>
          <w:ilvl w:val="0"/>
          <w:numId w:val="149"/>
        </w:numPr>
        <w:tabs>
          <w:tab w:val="left" w:pos="1060"/>
        </w:tabs>
        <w:spacing w:before="0" w:after="0" w:line="269" w:lineRule="exact"/>
        <w:ind w:left="1060" w:right="0" w:hanging="420"/>
        <w:jc w:val="both"/>
        <w:rPr>
          <w:sz w:val="21"/>
        </w:rPr>
      </w:pPr>
      <w:r>
        <w:rPr>
          <w:sz w:val="21"/>
        </w:rPr>
        <w:t>考虑到乘轮椅者的通行需求，无障碍门扇内外留有轮椅回转空间以便轮椅调整方向。</w:t>
      </w:r>
    </w:p>
    <w:p>
      <w:pPr>
        <w:pStyle w:val="5"/>
        <w:spacing w:before="7"/>
        <w:rPr>
          <w:sz w:val="15"/>
        </w:rPr>
      </w:pPr>
    </w:p>
    <w:p>
      <w:pPr>
        <w:pStyle w:val="12"/>
        <w:numPr>
          <w:ilvl w:val="0"/>
          <w:numId w:val="149"/>
        </w:numPr>
        <w:tabs>
          <w:tab w:val="left" w:pos="1060"/>
        </w:tabs>
        <w:spacing w:before="0" w:after="0" w:line="240" w:lineRule="auto"/>
        <w:ind w:left="1060" w:right="0" w:hanging="420"/>
        <w:jc w:val="both"/>
        <w:rPr>
          <w:sz w:val="21"/>
        </w:rPr>
      </w:pPr>
      <w:r>
        <w:rPr>
          <w:sz w:val="21"/>
        </w:rPr>
        <w:t>串联排列的两道门之间的距离要考虑乘轮椅者、携婴儿车者开关门和通过所需的空间。</w:t>
      </w:r>
    </w:p>
    <w:p>
      <w:pPr>
        <w:pStyle w:val="5"/>
        <w:spacing w:before="6"/>
        <w:rPr>
          <w:sz w:val="15"/>
        </w:rPr>
      </w:pPr>
    </w:p>
    <w:p>
      <w:pPr>
        <w:pStyle w:val="12"/>
        <w:numPr>
          <w:ilvl w:val="0"/>
          <w:numId w:val="149"/>
        </w:numPr>
        <w:tabs>
          <w:tab w:val="left" w:pos="1052"/>
          <w:tab w:val="left" w:pos="1053"/>
        </w:tabs>
        <w:spacing w:before="1" w:after="0" w:line="240" w:lineRule="auto"/>
        <w:ind w:left="1052" w:right="0" w:hanging="421"/>
        <w:jc w:val="left"/>
        <w:rPr>
          <w:sz w:val="21"/>
        </w:rPr>
      </w:pPr>
      <w:r>
        <w:rPr>
          <w:sz w:val="21"/>
        </w:rPr>
        <w:t>无障碍门内外尽量做到无高差，不设挡块和门槛，存在高差时以斜面过渡。</w:t>
      </w:r>
    </w:p>
    <w:p>
      <w:pPr>
        <w:pStyle w:val="5"/>
        <w:spacing w:before="6"/>
        <w:rPr>
          <w:sz w:val="15"/>
        </w:rPr>
      </w:pPr>
    </w:p>
    <w:p>
      <w:pPr>
        <w:pStyle w:val="12"/>
        <w:numPr>
          <w:ilvl w:val="0"/>
          <w:numId w:val="149"/>
        </w:numPr>
        <w:tabs>
          <w:tab w:val="left" w:pos="1052"/>
          <w:tab w:val="left" w:pos="1053"/>
        </w:tabs>
        <w:spacing w:before="0" w:after="0" w:line="417" w:lineRule="auto"/>
        <w:ind w:left="212" w:right="312" w:firstLine="420"/>
        <w:jc w:val="left"/>
        <w:rPr>
          <w:sz w:val="21"/>
        </w:rPr>
      </w:pPr>
      <w:r>
        <w:rPr>
          <w:spacing w:val="-3"/>
          <w:w w:val="95"/>
          <w:sz w:val="21"/>
        </w:rPr>
        <w:t xml:space="preserve">对于双向开启的门，使用者需要看到其他使用者从反方向接近，为双方留出反应的时间，避免发   </w:t>
      </w:r>
      <w:r>
        <w:rPr>
          <w:spacing w:val="-3"/>
          <w:sz w:val="21"/>
        </w:rPr>
        <w:t>生碰撞。观察窗的高度应该能够满足乘轮椅者以及身高矮小者的视野要求。</w:t>
      </w:r>
    </w:p>
    <w:p>
      <w:pPr>
        <w:pStyle w:val="12"/>
        <w:numPr>
          <w:ilvl w:val="0"/>
          <w:numId w:val="149"/>
        </w:numPr>
        <w:tabs>
          <w:tab w:val="left" w:pos="1052"/>
          <w:tab w:val="left" w:pos="1053"/>
        </w:tabs>
        <w:spacing w:before="0" w:after="0" w:line="269" w:lineRule="exact"/>
        <w:ind w:left="1052" w:right="0" w:hanging="421"/>
        <w:jc w:val="left"/>
        <w:rPr>
          <w:sz w:val="21"/>
        </w:rPr>
      </w:pPr>
      <w:r>
        <w:rPr>
          <w:sz w:val="21"/>
        </w:rPr>
        <w:t>考虑到行动障碍人群移动缓慢的特点，做出本款规定。</w:t>
      </w:r>
    </w:p>
    <w:p>
      <w:pPr>
        <w:pStyle w:val="5"/>
        <w:spacing w:before="7"/>
        <w:rPr>
          <w:sz w:val="15"/>
        </w:rPr>
      </w:pPr>
    </w:p>
    <w:p>
      <w:pPr>
        <w:pStyle w:val="12"/>
        <w:numPr>
          <w:ilvl w:val="2"/>
          <w:numId w:val="144"/>
        </w:numPr>
        <w:tabs>
          <w:tab w:val="left" w:pos="1052"/>
          <w:tab w:val="left" w:pos="1053"/>
        </w:tabs>
        <w:spacing w:before="0" w:after="0" w:line="240" w:lineRule="auto"/>
        <w:ind w:left="1052" w:right="0" w:hanging="841"/>
        <w:jc w:val="left"/>
        <w:rPr>
          <w:sz w:val="21"/>
        </w:rPr>
      </w:pPr>
      <w:bookmarkStart w:id="638" w:name="4.1.21本条规定了满足无障碍要求的手动门的设计要求。"/>
      <w:bookmarkEnd w:id="638"/>
      <w:bookmarkStart w:id="639" w:name="4.1.21本条规定了满足无障碍要求的手动门的设计要求。"/>
      <w:bookmarkEnd w:id="639"/>
      <w:r>
        <w:rPr>
          <w:sz w:val="21"/>
        </w:rPr>
        <w:t>本条规定了满足无障碍要求的手动门的设计要求。</w:t>
      </w:r>
    </w:p>
    <w:p>
      <w:pPr>
        <w:pStyle w:val="5"/>
        <w:spacing w:before="7"/>
        <w:rPr>
          <w:sz w:val="15"/>
        </w:rPr>
      </w:pPr>
    </w:p>
    <w:p>
      <w:pPr>
        <w:pStyle w:val="5"/>
        <w:ind w:left="632"/>
        <w:jc w:val="both"/>
      </w:pPr>
      <w:r>
        <w:t>1 目前部分型号的电动轮椅的宽度有所增大，当有条件时，宜将门的净宽度做到 900</w:t>
      </w:r>
      <w:r>
        <w:rPr>
          <w:rFonts w:hint="eastAsia" w:ascii="仿宋" w:eastAsia="仿宋"/>
        </w:rPr>
        <w:t>mm</w:t>
      </w:r>
      <w:r>
        <w:t>。</w:t>
      </w:r>
    </w:p>
    <w:p>
      <w:pPr>
        <w:pStyle w:val="5"/>
        <w:spacing w:before="6"/>
        <w:rPr>
          <w:sz w:val="15"/>
        </w:rPr>
      </w:pPr>
    </w:p>
    <w:p>
      <w:pPr>
        <w:pStyle w:val="12"/>
        <w:numPr>
          <w:ilvl w:val="0"/>
          <w:numId w:val="150"/>
        </w:numPr>
        <w:tabs>
          <w:tab w:val="left" w:pos="1053"/>
        </w:tabs>
        <w:spacing w:before="1" w:after="0" w:line="417" w:lineRule="auto"/>
        <w:ind w:left="212" w:right="310" w:firstLine="420"/>
        <w:jc w:val="both"/>
        <w:rPr>
          <w:sz w:val="21"/>
        </w:rPr>
      </w:pPr>
      <w:r>
        <w:rPr>
          <w:spacing w:val="-4"/>
          <w:w w:val="95"/>
          <w:sz w:val="21"/>
        </w:rPr>
        <w:t xml:space="preserve">考虑到上肢力量较差人群的使用，门把手需能够单手握拳操作，不需要紧抓、捏、旋转等手指配   </w:t>
      </w:r>
      <w:r>
        <w:rPr>
          <w:spacing w:val="-6"/>
          <w:w w:val="95"/>
          <w:sz w:val="21"/>
        </w:rPr>
        <w:t xml:space="preserve">合动作。球形门把手不能满足上述要求，应选择满足上述要求的杠杆式门把手。门把手上安装的盲文铭牌   </w:t>
      </w:r>
      <w:r>
        <w:rPr>
          <w:spacing w:val="-6"/>
          <w:sz w:val="21"/>
        </w:rPr>
        <w:t>可告知视觉障碍者门的开启方向等信息。</w:t>
      </w:r>
    </w:p>
    <w:p>
      <w:pPr>
        <w:pStyle w:val="12"/>
        <w:numPr>
          <w:ilvl w:val="0"/>
          <w:numId w:val="150"/>
        </w:numPr>
        <w:tabs>
          <w:tab w:val="left" w:pos="1053"/>
        </w:tabs>
        <w:spacing w:before="0" w:after="0" w:line="269" w:lineRule="exact"/>
        <w:ind w:left="1052" w:right="0" w:hanging="421"/>
        <w:jc w:val="both"/>
        <w:rPr>
          <w:sz w:val="21"/>
        </w:rPr>
      </w:pPr>
      <w:r>
        <w:rPr>
          <w:sz w:val="21"/>
        </w:rPr>
        <w:t>在门扇下方安装护门板是为了防止轮椅搁脚板将门扇碰坏。</w:t>
      </w:r>
    </w:p>
    <w:p>
      <w:pPr>
        <w:pStyle w:val="5"/>
        <w:spacing w:before="6"/>
        <w:rPr>
          <w:sz w:val="15"/>
        </w:rPr>
      </w:pPr>
    </w:p>
    <w:p>
      <w:pPr>
        <w:pStyle w:val="12"/>
        <w:numPr>
          <w:ilvl w:val="0"/>
          <w:numId w:val="150"/>
        </w:numPr>
        <w:tabs>
          <w:tab w:val="left" w:pos="1052"/>
          <w:tab w:val="left" w:pos="1053"/>
        </w:tabs>
        <w:spacing w:before="0" w:after="0" w:line="240" w:lineRule="auto"/>
        <w:ind w:left="1052" w:right="0" w:hanging="421"/>
        <w:jc w:val="left"/>
        <w:rPr>
          <w:sz w:val="21"/>
        </w:rPr>
      </w:pPr>
      <w:r>
        <w:rPr>
          <w:spacing w:val="-2"/>
          <w:sz w:val="21"/>
        </w:rPr>
        <w:t>手动门需要使用者用一定的力量才能完成开门动作，考虑到上肢力量较差人群的使用，做出本款</w:t>
      </w:r>
    </w:p>
    <w:p>
      <w:pPr>
        <w:spacing w:after="0" w:line="240" w:lineRule="auto"/>
        <w:jc w:val="left"/>
        <w:rPr>
          <w:sz w:val="21"/>
        </w:rPr>
        <w:sectPr>
          <w:pgSz w:w="11910" w:h="16840"/>
          <w:pgMar w:top="1580" w:right="820" w:bottom="1280" w:left="920" w:header="0" w:footer="1095" w:gutter="0"/>
          <w:cols w:space="720" w:num="1"/>
        </w:sectPr>
      </w:pPr>
    </w:p>
    <w:p>
      <w:pPr>
        <w:pStyle w:val="5"/>
        <w:spacing w:before="60"/>
        <w:ind w:left="212"/>
      </w:pPr>
      <w:r>
        <w:t>规定。</w:t>
      </w:r>
    </w:p>
    <w:p>
      <w:pPr>
        <w:pStyle w:val="5"/>
        <w:spacing w:before="6"/>
        <w:rPr>
          <w:sz w:val="15"/>
        </w:rPr>
      </w:pPr>
    </w:p>
    <w:p>
      <w:pPr>
        <w:pStyle w:val="12"/>
        <w:numPr>
          <w:ilvl w:val="2"/>
          <w:numId w:val="144"/>
        </w:numPr>
        <w:tabs>
          <w:tab w:val="left" w:pos="1052"/>
          <w:tab w:val="left" w:pos="1053"/>
        </w:tabs>
        <w:spacing w:before="1" w:after="0" w:line="417" w:lineRule="auto"/>
        <w:ind w:left="212" w:right="312" w:firstLine="0"/>
        <w:jc w:val="left"/>
        <w:rPr>
          <w:sz w:val="21"/>
        </w:rPr>
      </w:pPr>
      <w:bookmarkStart w:id="640" w:name="4.1.22本条规定了满足无障碍要求的自动门的设计要求。满足无障碍要求的自动门要"/>
      <w:bookmarkEnd w:id="640"/>
      <w:bookmarkStart w:id="641" w:name="4.1.22本条规定了满足无障碍要求的自动门的设计要求。满足无障碍要求的自动门要"/>
      <w:bookmarkEnd w:id="641"/>
      <w:r>
        <w:rPr>
          <w:spacing w:val="-2"/>
          <w:w w:val="95"/>
          <w:sz w:val="21"/>
        </w:rPr>
        <w:t xml:space="preserve">本条规定了满足无障碍要求的自动门的设计要求。满足无障碍要求的自动门要考虑其安全性、通   </w:t>
      </w:r>
      <w:r>
        <w:rPr>
          <w:spacing w:val="-2"/>
          <w:sz w:val="21"/>
        </w:rPr>
        <w:t>行的宽度以及手动启闭装置的安装高度。</w:t>
      </w:r>
    </w:p>
    <w:p>
      <w:pPr>
        <w:pStyle w:val="5"/>
        <w:tabs>
          <w:tab w:val="left" w:pos="1052"/>
        </w:tabs>
        <w:spacing w:line="417" w:lineRule="auto"/>
        <w:ind w:left="212" w:right="312" w:firstLine="420"/>
      </w:pPr>
      <w:r>
        <w:t>3</w:t>
      </w:r>
      <w:r>
        <w:tab/>
      </w:r>
      <w:r>
        <w:rPr>
          <w:spacing w:val="-4"/>
          <w:w w:val="95"/>
        </w:rPr>
        <w:t xml:space="preserve">手动启闭控制装置包括按钮、刷卡、密码锁等。考虑到乘轮椅者以及身高矮小者的使用，本条规   </w:t>
      </w:r>
      <w:r>
        <w:rPr>
          <w:spacing w:val="-8"/>
        </w:rPr>
        <w:t xml:space="preserve">定手动启闭装置的高度为 </w:t>
      </w:r>
      <w:r>
        <w:t>0.85</w:t>
      </w:r>
      <w:r>
        <w:rPr>
          <w:rFonts w:hint="eastAsia" w:ascii="仿宋" w:eastAsia="仿宋"/>
        </w:rPr>
        <w:t>m</w:t>
      </w:r>
      <w:r>
        <w:t>～1.10</w:t>
      </w:r>
      <w:r>
        <w:rPr>
          <w:rFonts w:hint="eastAsia" w:ascii="仿宋" w:eastAsia="仿宋"/>
        </w:rPr>
        <w:t>m</w:t>
      </w:r>
      <w:r>
        <w:t>。</w:t>
      </w:r>
    </w:p>
    <w:p>
      <w:pPr>
        <w:pStyle w:val="12"/>
        <w:numPr>
          <w:ilvl w:val="2"/>
          <w:numId w:val="144"/>
        </w:numPr>
        <w:tabs>
          <w:tab w:val="left" w:pos="1052"/>
          <w:tab w:val="left" w:pos="1053"/>
        </w:tabs>
        <w:spacing w:before="0" w:after="0" w:line="269" w:lineRule="exact"/>
        <w:ind w:left="1052" w:right="0" w:hanging="841"/>
        <w:jc w:val="left"/>
        <w:rPr>
          <w:sz w:val="21"/>
        </w:rPr>
      </w:pPr>
      <w:bookmarkStart w:id="642" w:name="4.1.23本条规定了全玻璃门的设计要求。"/>
      <w:bookmarkEnd w:id="642"/>
      <w:bookmarkStart w:id="643" w:name="4.1.23本条规定了全玻璃门的设计要求。"/>
      <w:bookmarkEnd w:id="643"/>
      <w:r>
        <w:rPr>
          <w:sz w:val="21"/>
        </w:rPr>
        <w:t>本条规定了全玻璃门的设计要求。</w:t>
      </w:r>
    </w:p>
    <w:p>
      <w:pPr>
        <w:pStyle w:val="5"/>
        <w:spacing w:before="6"/>
        <w:rPr>
          <w:sz w:val="15"/>
        </w:rPr>
      </w:pPr>
    </w:p>
    <w:p>
      <w:pPr>
        <w:pStyle w:val="5"/>
        <w:tabs>
          <w:tab w:val="left" w:pos="1359"/>
        </w:tabs>
        <w:ind w:left="632"/>
      </w:pPr>
      <w:r>
        <w:t>1</w:t>
      </w:r>
      <w:r>
        <w:rPr>
          <w:spacing w:val="-8"/>
        </w:rPr>
        <w:t>、</w:t>
      </w:r>
      <w:r>
        <w:t>2</w:t>
      </w:r>
      <w:r>
        <w:tab/>
      </w:r>
      <w:r>
        <w:t>防撞提示措施包括但不限于防撞提示标志</w:t>
      </w:r>
      <w:r>
        <w:rPr>
          <w:spacing w:val="-8"/>
        </w:rPr>
        <w:t>，</w:t>
      </w:r>
      <w:r>
        <w:t>颜色要考虑背景光线条件变化的情况</w:t>
      </w:r>
      <w:r>
        <w:rPr>
          <w:spacing w:val="-8"/>
        </w:rPr>
        <w:t>，</w:t>
      </w:r>
      <w:r>
        <w:t>易于察觉。</w:t>
      </w:r>
    </w:p>
    <w:p>
      <w:pPr>
        <w:pStyle w:val="5"/>
        <w:spacing w:before="7"/>
        <w:rPr>
          <w:sz w:val="15"/>
        </w:rPr>
      </w:pPr>
    </w:p>
    <w:p>
      <w:pPr>
        <w:pStyle w:val="5"/>
        <w:ind w:left="632"/>
        <w:jc w:val="both"/>
      </w:pPr>
      <w:r>
        <w:t>3 防撞提示宽度应覆盖完整的玻璃宽度，设置在人坐姿和站姿均能方便识别的高度范围。</w:t>
      </w:r>
    </w:p>
    <w:p>
      <w:pPr>
        <w:pStyle w:val="5"/>
        <w:spacing w:before="6"/>
        <w:rPr>
          <w:sz w:val="15"/>
        </w:rPr>
      </w:pPr>
    </w:p>
    <w:p>
      <w:pPr>
        <w:pStyle w:val="12"/>
        <w:numPr>
          <w:ilvl w:val="0"/>
          <w:numId w:val="141"/>
        </w:numPr>
        <w:tabs>
          <w:tab w:val="left" w:pos="4113"/>
        </w:tabs>
        <w:spacing w:before="1" w:after="0" w:line="240" w:lineRule="auto"/>
        <w:ind w:left="4112" w:right="102" w:hanging="4113"/>
        <w:jc w:val="left"/>
        <w:rPr>
          <w:rFonts w:hint="eastAsia" w:ascii="黑体" w:eastAsia="黑体"/>
          <w:sz w:val="21"/>
        </w:rPr>
      </w:pPr>
      <w:bookmarkStart w:id="644" w:name="IX无障碍电梯与升降平台"/>
      <w:bookmarkEnd w:id="644"/>
      <w:bookmarkStart w:id="645" w:name="IX无障碍电梯与升降平台"/>
      <w:bookmarkEnd w:id="645"/>
      <w:r>
        <w:rPr>
          <w:rFonts w:hint="eastAsia" w:ascii="黑体" w:eastAsia="黑体"/>
          <w:sz w:val="21"/>
        </w:rPr>
        <w:t>无障碍电梯与升降平台</w:t>
      </w:r>
    </w:p>
    <w:p>
      <w:pPr>
        <w:pStyle w:val="5"/>
        <w:spacing w:before="6"/>
        <w:rPr>
          <w:rFonts w:ascii="黑体"/>
          <w:sz w:val="15"/>
        </w:rPr>
      </w:pPr>
    </w:p>
    <w:p>
      <w:pPr>
        <w:pStyle w:val="12"/>
        <w:numPr>
          <w:ilvl w:val="2"/>
          <w:numId w:val="144"/>
        </w:numPr>
        <w:tabs>
          <w:tab w:val="left" w:pos="1052"/>
          <w:tab w:val="left" w:pos="1053"/>
        </w:tabs>
        <w:spacing w:before="0" w:after="0" w:line="240" w:lineRule="auto"/>
        <w:ind w:left="1052" w:right="0" w:hanging="841"/>
        <w:jc w:val="left"/>
        <w:rPr>
          <w:sz w:val="21"/>
        </w:rPr>
      </w:pPr>
      <w:bookmarkStart w:id="646" w:name="4.1.24本条规定了无障碍电梯候梯厅的设计要求（如图4.1.28-1～图4.1"/>
      <w:bookmarkEnd w:id="646"/>
      <w:bookmarkStart w:id="647" w:name="4.1.24本条规定了无障碍电梯候梯厅的设计要求（如图4.1.28-1～图4.1"/>
      <w:bookmarkEnd w:id="647"/>
      <w:r>
        <w:rPr>
          <w:sz w:val="21"/>
        </w:rPr>
        <w:t>本条规定了无障碍电梯候梯厅的设计要求（</w:t>
      </w:r>
      <w:r>
        <w:rPr>
          <w:spacing w:val="-17"/>
          <w:sz w:val="21"/>
        </w:rPr>
        <w:t xml:space="preserve">如图 </w:t>
      </w:r>
      <w:r>
        <w:rPr>
          <w:sz w:val="21"/>
        </w:rPr>
        <w:t>4.1.28-1～</w:t>
      </w:r>
      <w:r>
        <w:rPr>
          <w:spacing w:val="-26"/>
          <w:sz w:val="21"/>
        </w:rPr>
        <w:t xml:space="preserve">图 </w:t>
      </w:r>
      <w:r>
        <w:rPr>
          <w:sz w:val="21"/>
        </w:rPr>
        <w:t>4.1.28-2）。</w:t>
      </w:r>
    </w:p>
    <w:p>
      <w:pPr>
        <w:pStyle w:val="5"/>
        <w:spacing w:before="10"/>
      </w:pPr>
      <w:r>
        <w:drawing>
          <wp:anchor distT="0" distB="0" distL="0" distR="0" simplePos="0" relativeHeight="251659264" behindDoc="0" locked="0" layoutInCell="1" allowOverlap="1">
            <wp:simplePos x="0" y="0"/>
            <wp:positionH relativeFrom="page">
              <wp:posOffset>1130300</wp:posOffset>
            </wp:positionH>
            <wp:positionV relativeFrom="paragraph">
              <wp:posOffset>201930</wp:posOffset>
            </wp:positionV>
            <wp:extent cx="2246630" cy="1508760"/>
            <wp:effectExtent l="0" t="0" r="0" b="0"/>
            <wp:wrapTopAndBottom/>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1.jpeg"/>
                    <pic:cNvPicPr>
                      <a:picLocks noChangeAspect="1"/>
                    </pic:cNvPicPr>
                  </pic:nvPicPr>
                  <pic:blipFill>
                    <a:blip r:embed="rId76" cstate="print"/>
                    <a:stretch>
                      <a:fillRect/>
                    </a:stretch>
                  </pic:blipFill>
                  <pic:spPr>
                    <a:xfrm>
                      <a:off x="0" y="0"/>
                      <a:ext cx="2246790" cy="150876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4410075</wp:posOffset>
            </wp:positionH>
            <wp:positionV relativeFrom="paragraph">
              <wp:posOffset>455295</wp:posOffset>
            </wp:positionV>
            <wp:extent cx="1778000" cy="1265555"/>
            <wp:effectExtent l="0" t="0" r="0" b="0"/>
            <wp:wrapTopAndBottom/>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2.jpeg"/>
                    <pic:cNvPicPr>
                      <a:picLocks noChangeAspect="1"/>
                    </pic:cNvPicPr>
                  </pic:nvPicPr>
                  <pic:blipFill>
                    <a:blip r:embed="rId77" cstate="print"/>
                    <a:stretch>
                      <a:fillRect/>
                    </a:stretch>
                  </pic:blipFill>
                  <pic:spPr>
                    <a:xfrm>
                      <a:off x="0" y="0"/>
                      <a:ext cx="1778090" cy="1265681"/>
                    </a:xfrm>
                    <a:prstGeom prst="rect">
                      <a:avLst/>
                    </a:prstGeom>
                  </pic:spPr>
                </pic:pic>
              </a:graphicData>
            </a:graphic>
          </wp:anchor>
        </w:drawing>
      </w:r>
    </w:p>
    <w:p>
      <w:pPr>
        <w:pStyle w:val="5"/>
        <w:spacing w:before="8"/>
        <w:rPr>
          <w:sz w:val="24"/>
        </w:rPr>
      </w:pPr>
    </w:p>
    <w:p>
      <w:pPr>
        <w:pStyle w:val="5"/>
        <w:tabs>
          <w:tab w:val="left" w:pos="5382"/>
        </w:tabs>
        <w:ind w:left="563"/>
      </w:pPr>
      <w:r>
        <w:t>图</w:t>
      </w:r>
      <w:r>
        <w:rPr>
          <w:spacing w:val="-55"/>
        </w:rPr>
        <w:t xml:space="preserve"> </w:t>
      </w:r>
      <w:r>
        <w:t>4.1.24-1</w:t>
      </w:r>
      <w:r>
        <w:rPr>
          <w:spacing w:val="-5"/>
        </w:rPr>
        <w:t xml:space="preserve"> </w:t>
      </w:r>
      <w:r>
        <w:t>无障碍电梯及电梯厅平面示意图</w:t>
      </w:r>
      <w:r>
        <w:tab/>
      </w:r>
      <w:r>
        <w:t>图</w:t>
      </w:r>
      <w:r>
        <w:rPr>
          <w:spacing w:val="-53"/>
        </w:rPr>
        <w:t xml:space="preserve"> </w:t>
      </w:r>
      <w:r>
        <w:t>4.1.24-2</w:t>
      </w:r>
      <w:r>
        <w:rPr>
          <w:spacing w:val="-3"/>
        </w:rPr>
        <w:t xml:space="preserve"> </w:t>
      </w:r>
      <w:r>
        <w:t>无障碍电梯侯梯厅正立面示意图</w:t>
      </w:r>
    </w:p>
    <w:p>
      <w:pPr>
        <w:pStyle w:val="5"/>
        <w:spacing w:before="6"/>
        <w:rPr>
          <w:sz w:val="19"/>
        </w:rPr>
      </w:pPr>
    </w:p>
    <w:p>
      <w:pPr>
        <w:pStyle w:val="12"/>
        <w:numPr>
          <w:ilvl w:val="0"/>
          <w:numId w:val="151"/>
        </w:numPr>
        <w:tabs>
          <w:tab w:val="left" w:pos="1053"/>
        </w:tabs>
        <w:spacing w:before="0" w:after="0" w:line="417" w:lineRule="auto"/>
        <w:ind w:left="212" w:right="312" w:firstLine="420"/>
        <w:jc w:val="both"/>
        <w:rPr>
          <w:sz w:val="21"/>
        </w:rPr>
      </w:pPr>
      <w:r>
        <w:rPr>
          <w:spacing w:val="-1"/>
          <w:w w:val="95"/>
          <w:sz w:val="21"/>
        </w:rPr>
        <w:t xml:space="preserve">电梯是包括乘轮椅者在内的行动障碍人群使用最为频繁和方便的垂直交通设施。乘轮椅者在到达   </w:t>
      </w:r>
      <w:r>
        <w:rPr>
          <w:spacing w:val="-2"/>
          <w:sz w:val="21"/>
        </w:rPr>
        <w:t xml:space="preserve">电梯厅后，要转换位置和等候，因此候梯厅的深度净尺寸宜为 </w:t>
      </w:r>
      <w:r>
        <w:rPr>
          <w:sz w:val="21"/>
        </w:rPr>
        <w:t>1</w:t>
      </w:r>
      <w:r>
        <w:rPr>
          <w:rFonts w:ascii="Calibri" w:eastAsia="Calibri"/>
          <w:sz w:val="21"/>
        </w:rPr>
        <w:t>.</w:t>
      </w:r>
      <w:r>
        <w:rPr>
          <w:sz w:val="21"/>
        </w:rPr>
        <w:t>80</w:t>
      </w:r>
      <w:r>
        <w:rPr>
          <w:rFonts w:hint="eastAsia" w:ascii="仿宋" w:eastAsia="仿宋"/>
          <w:sz w:val="21"/>
        </w:rPr>
        <w:t>m</w:t>
      </w:r>
      <w:r>
        <w:rPr>
          <w:sz w:val="21"/>
        </w:rPr>
        <w:t>。在空间相对较小时，候梯厅的深度</w:t>
      </w:r>
      <w:r>
        <w:rPr>
          <w:spacing w:val="-10"/>
          <w:sz w:val="21"/>
        </w:rPr>
        <w:t xml:space="preserve">也不应小于 </w:t>
      </w:r>
      <w:r>
        <w:rPr>
          <w:spacing w:val="-6"/>
          <w:sz w:val="21"/>
        </w:rPr>
        <w:t>1</w:t>
      </w:r>
      <w:r>
        <w:rPr>
          <w:rFonts w:ascii="Calibri" w:eastAsia="Calibri"/>
          <w:spacing w:val="-6"/>
          <w:sz w:val="21"/>
        </w:rPr>
        <w:t>.</w:t>
      </w:r>
      <w:r>
        <w:rPr>
          <w:spacing w:val="-6"/>
          <w:sz w:val="21"/>
        </w:rPr>
        <w:t>50</w:t>
      </w:r>
      <w:r>
        <w:rPr>
          <w:rFonts w:hint="eastAsia" w:ascii="仿宋" w:eastAsia="仿宋"/>
          <w:spacing w:val="-6"/>
          <w:sz w:val="21"/>
        </w:rPr>
        <w:t>m</w:t>
      </w:r>
      <w:r>
        <w:rPr>
          <w:spacing w:val="-8"/>
          <w:sz w:val="21"/>
        </w:rPr>
        <w:t xml:space="preserve">，以满足轮椅回转空间。改造项目如因条件限制候梯厅无法满足直径不小于 </w:t>
      </w:r>
      <w:r>
        <w:rPr>
          <w:sz w:val="21"/>
        </w:rPr>
        <w:t>1</w:t>
      </w:r>
      <w:r>
        <w:rPr>
          <w:rFonts w:ascii="Calibri" w:eastAsia="Calibri"/>
          <w:sz w:val="21"/>
        </w:rPr>
        <w:t>.</w:t>
      </w:r>
      <w:r>
        <w:rPr>
          <w:sz w:val="21"/>
        </w:rPr>
        <w:t>50</w:t>
      </w:r>
      <w:r>
        <w:rPr>
          <w:rFonts w:hint="eastAsia" w:ascii="仿宋" w:eastAsia="仿宋"/>
          <w:sz w:val="21"/>
        </w:rPr>
        <w:t>m</w:t>
      </w:r>
      <w:r>
        <w:rPr>
          <w:rFonts w:hint="eastAsia" w:ascii="仿宋" w:eastAsia="仿宋"/>
          <w:spacing w:val="-61"/>
          <w:sz w:val="21"/>
        </w:rPr>
        <w:t xml:space="preserve"> </w:t>
      </w:r>
      <w:r>
        <w:rPr>
          <w:sz w:val="21"/>
        </w:rPr>
        <w:t>的轮椅回转空间时，宜采取其他措施保证乘轮椅者方便乘坐电梯。</w:t>
      </w:r>
    </w:p>
    <w:p>
      <w:pPr>
        <w:pStyle w:val="12"/>
        <w:numPr>
          <w:ilvl w:val="0"/>
          <w:numId w:val="151"/>
        </w:numPr>
        <w:tabs>
          <w:tab w:val="left" w:pos="1053"/>
        </w:tabs>
        <w:spacing w:before="0" w:after="0" w:line="417" w:lineRule="auto"/>
        <w:ind w:left="212" w:right="312" w:firstLine="420"/>
        <w:jc w:val="both"/>
        <w:rPr>
          <w:sz w:val="21"/>
        </w:rPr>
      </w:pPr>
      <w:r>
        <w:rPr>
          <w:spacing w:val="-1"/>
          <w:w w:val="95"/>
          <w:sz w:val="21"/>
        </w:rPr>
        <w:t xml:space="preserve">呼叫按钮应设置在能让乘轮椅者及其他行动不便人士易于触碰的位置。当呼叫按钮一侧有垂直墙   </w:t>
      </w:r>
      <w:r>
        <w:rPr>
          <w:spacing w:val="-1"/>
          <w:sz w:val="21"/>
        </w:rPr>
        <w:t>面时，设置的位置需要距离墙面有一定的距离，以方便乘轮椅者进行操作。</w:t>
      </w:r>
    </w:p>
    <w:p>
      <w:pPr>
        <w:pStyle w:val="12"/>
        <w:numPr>
          <w:ilvl w:val="0"/>
          <w:numId w:val="151"/>
        </w:numPr>
        <w:tabs>
          <w:tab w:val="left" w:pos="1053"/>
        </w:tabs>
        <w:spacing w:before="0" w:after="0" w:line="269" w:lineRule="exact"/>
        <w:ind w:left="1052" w:right="0" w:hanging="421"/>
        <w:jc w:val="both"/>
        <w:rPr>
          <w:sz w:val="21"/>
        </w:rPr>
      </w:pPr>
      <w:r>
        <w:rPr>
          <w:sz w:val="21"/>
        </w:rPr>
        <w:t>在呼叫按钮前设置提示盲道，可以辅助视觉障碍者分辨呼叫按钮所在位置。</w:t>
      </w:r>
    </w:p>
    <w:p>
      <w:pPr>
        <w:pStyle w:val="5"/>
        <w:spacing w:before="6"/>
        <w:rPr>
          <w:sz w:val="15"/>
        </w:rPr>
      </w:pPr>
    </w:p>
    <w:p>
      <w:pPr>
        <w:pStyle w:val="12"/>
        <w:numPr>
          <w:ilvl w:val="0"/>
          <w:numId w:val="151"/>
        </w:numPr>
        <w:tabs>
          <w:tab w:val="left" w:pos="1053"/>
        </w:tabs>
        <w:spacing w:before="0" w:after="0" w:line="417" w:lineRule="auto"/>
        <w:ind w:left="212" w:right="312" w:firstLine="420"/>
        <w:jc w:val="both"/>
        <w:rPr>
          <w:sz w:val="21"/>
        </w:rPr>
      </w:pPr>
      <w:r>
        <w:rPr>
          <w:spacing w:val="-2"/>
          <w:w w:val="95"/>
          <w:sz w:val="21"/>
        </w:rPr>
        <w:t xml:space="preserve">为方便听觉障碍者辨别电梯停靠楼层和运行信息，设置显示装置对其进行提示；为方便视力障碍   </w:t>
      </w:r>
      <w:r>
        <w:rPr>
          <w:spacing w:val="-2"/>
          <w:sz w:val="21"/>
        </w:rPr>
        <w:t>者辨别电梯停靠楼层，设置抵达音响对其进行提示。</w:t>
      </w:r>
    </w:p>
    <w:p>
      <w:pPr>
        <w:pStyle w:val="12"/>
        <w:numPr>
          <w:ilvl w:val="2"/>
          <w:numId w:val="144"/>
        </w:numPr>
        <w:tabs>
          <w:tab w:val="left" w:pos="1053"/>
        </w:tabs>
        <w:spacing w:before="0" w:after="0" w:line="269" w:lineRule="exact"/>
        <w:ind w:left="1052" w:right="0" w:hanging="841"/>
        <w:jc w:val="both"/>
        <w:rPr>
          <w:sz w:val="21"/>
        </w:rPr>
      </w:pPr>
      <w:bookmarkStart w:id="648" w:name="4.1.25本条规定了无障碍电梯轿厢的设计要求 (如图4.1.25-1～图4.1"/>
      <w:bookmarkEnd w:id="648"/>
      <w:bookmarkStart w:id="649" w:name="4.1.25本条规定了无障碍电梯轿厢的设计要求 (如图4.1.25-1～图4.1"/>
      <w:bookmarkEnd w:id="649"/>
      <w:r>
        <w:rPr>
          <w:spacing w:val="-3"/>
          <w:sz w:val="21"/>
        </w:rPr>
        <w:t xml:space="preserve">本条规定了无障碍电梯轿厢的设计要求 (如图 </w:t>
      </w:r>
      <w:r>
        <w:rPr>
          <w:sz w:val="21"/>
        </w:rPr>
        <w:t>4.1.25-1～</w:t>
      </w:r>
      <w:r>
        <w:rPr>
          <w:spacing w:val="-26"/>
          <w:sz w:val="21"/>
        </w:rPr>
        <w:t xml:space="preserve">图 </w:t>
      </w:r>
      <w:r>
        <w:rPr>
          <w:sz w:val="21"/>
        </w:rPr>
        <w:t>4.1.25-2)。</w:t>
      </w:r>
    </w:p>
    <w:p>
      <w:pPr>
        <w:spacing w:after="0" w:line="269" w:lineRule="exact"/>
        <w:jc w:val="both"/>
        <w:rPr>
          <w:sz w:val="21"/>
        </w:rPr>
        <w:sectPr>
          <w:pgSz w:w="11910" w:h="16840"/>
          <w:pgMar w:top="1580" w:right="820" w:bottom="1280" w:left="920" w:header="0" w:footer="1095" w:gutter="0"/>
          <w:cols w:space="720" w:num="1"/>
        </w:sectPr>
      </w:pPr>
    </w:p>
    <w:p>
      <w:pPr>
        <w:pStyle w:val="5"/>
        <w:spacing w:before="4"/>
        <w:rPr>
          <w:sz w:val="6"/>
        </w:rPr>
      </w:pPr>
    </w:p>
    <w:p>
      <w:pPr>
        <w:tabs>
          <w:tab w:val="left" w:pos="5989"/>
        </w:tabs>
        <w:spacing w:line="240" w:lineRule="auto"/>
        <w:ind w:left="1588" w:right="0" w:firstLine="0"/>
        <w:rPr>
          <w:sz w:val="20"/>
        </w:rPr>
      </w:pPr>
      <w:r>
        <w:rPr>
          <w:position w:val="9"/>
          <w:sz w:val="20"/>
        </w:rPr>
        <w:drawing>
          <wp:inline distT="0" distB="0" distL="0" distR="0">
            <wp:extent cx="1541780" cy="1125855"/>
            <wp:effectExtent l="0" t="0" r="0" b="0"/>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3.jpeg"/>
                    <pic:cNvPicPr>
                      <a:picLocks noChangeAspect="1"/>
                    </pic:cNvPicPr>
                  </pic:nvPicPr>
                  <pic:blipFill>
                    <a:blip r:embed="rId78" cstate="print"/>
                    <a:stretch>
                      <a:fillRect/>
                    </a:stretch>
                  </pic:blipFill>
                  <pic:spPr>
                    <a:xfrm>
                      <a:off x="0" y="0"/>
                      <a:ext cx="1541961" cy="1126331"/>
                    </a:xfrm>
                    <a:prstGeom prst="rect">
                      <a:avLst/>
                    </a:prstGeom>
                  </pic:spPr>
                </pic:pic>
              </a:graphicData>
            </a:graphic>
          </wp:inline>
        </w:drawing>
      </w:r>
      <w:r>
        <w:rPr>
          <w:position w:val="9"/>
          <w:sz w:val="20"/>
        </w:rPr>
        <w:tab/>
      </w:r>
      <w:r>
        <w:rPr>
          <w:sz w:val="20"/>
        </w:rPr>
        <w:drawing>
          <wp:inline distT="0" distB="0" distL="0" distR="0">
            <wp:extent cx="1742440" cy="1277620"/>
            <wp:effectExtent l="0" t="0" r="0" b="0"/>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4.jpeg"/>
                    <pic:cNvPicPr>
                      <a:picLocks noChangeAspect="1"/>
                    </pic:cNvPicPr>
                  </pic:nvPicPr>
                  <pic:blipFill>
                    <a:blip r:embed="rId79" cstate="print"/>
                    <a:stretch>
                      <a:fillRect/>
                    </a:stretch>
                  </pic:blipFill>
                  <pic:spPr>
                    <a:xfrm>
                      <a:off x="0" y="0"/>
                      <a:ext cx="1742602" cy="1278254"/>
                    </a:xfrm>
                    <a:prstGeom prst="rect">
                      <a:avLst/>
                    </a:prstGeom>
                  </pic:spPr>
                </pic:pic>
              </a:graphicData>
            </a:graphic>
          </wp:inline>
        </w:drawing>
      </w:r>
    </w:p>
    <w:p>
      <w:pPr>
        <w:pStyle w:val="5"/>
        <w:rPr>
          <w:sz w:val="10"/>
        </w:rPr>
      </w:pPr>
    </w:p>
    <w:p>
      <w:pPr>
        <w:pStyle w:val="5"/>
        <w:tabs>
          <w:tab w:val="left" w:pos="5487"/>
        </w:tabs>
        <w:spacing w:before="70"/>
        <w:ind w:left="668"/>
      </w:pPr>
      <w:r>
        <w:t>图</w:t>
      </w:r>
      <w:r>
        <w:rPr>
          <w:spacing w:val="-55"/>
        </w:rPr>
        <w:t xml:space="preserve"> </w:t>
      </w:r>
      <w:r>
        <w:t>4.1.25-1</w:t>
      </w:r>
      <w:r>
        <w:rPr>
          <w:spacing w:val="-4"/>
        </w:rPr>
        <w:t xml:space="preserve"> </w:t>
      </w:r>
      <w:r>
        <w:t>无障碍电梯轿厢正立面示意图</w:t>
      </w:r>
      <w:r>
        <w:tab/>
      </w:r>
      <w:r>
        <w:t>图</w:t>
      </w:r>
      <w:r>
        <w:rPr>
          <w:spacing w:val="-53"/>
        </w:rPr>
        <w:t xml:space="preserve"> </w:t>
      </w:r>
      <w:r>
        <w:t>4.1.25-2</w:t>
      </w:r>
      <w:r>
        <w:rPr>
          <w:spacing w:val="-2"/>
        </w:rPr>
        <w:t xml:space="preserve"> </w:t>
      </w:r>
      <w:r>
        <w:t>无障碍电梯轿厢侧立面示意图</w:t>
      </w:r>
    </w:p>
    <w:p>
      <w:pPr>
        <w:pStyle w:val="5"/>
        <w:spacing w:before="6"/>
        <w:rPr>
          <w:sz w:val="19"/>
        </w:rPr>
      </w:pPr>
    </w:p>
    <w:p>
      <w:pPr>
        <w:pStyle w:val="5"/>
        <w:spacing w:line="417" w:lineRule="auto"/>
        <w:ind w:left="212" w:right="310" w:firstLine="420"/>
        <w:jc w:val="both"/>
      </w:pPr>
      <w:r>
        <w:t>2</w:t>
      </w:r>
      <w:r>
        <w:rPr>
          <w:spacing w:val="-1"/>
        </w:rPr>
        <w:t xml:space="preserve"> 考虑到乘轮椅者、推婴儿车者、老年人等群体出入无障碍电梯需要一定时间，本款规定了轿厢门完全开启时保持的最短时间要求。</w:t>
      </w:r>
    </w:p>
    <w:p>
      <w:pPr>
        <w:pStyle w:val="5"/>
        <w:spacing w:line="417" w:lineRule="auto"/>
        <w:ind w:left="212" w:right="310" w:firstLine="420"/>
        <w:jc w:val="both"/>
      </w:pPr>
      <w:r>
        <w:drawing>
          <wp:anchor distT="0" distB="0" distL="0" distR="0" simplePos="0" relativeHeight="251659264" behindDoc="0" locked="0" layoutInCell="1" allowOverlap="1">
            <wp:simplePos x="0" y="0"/>
            <wp:positionH relativeFrom="page">
              <wp:posOffset>956310</wp:posOffset>
            </wp:positionH>
            <wp:positionV relativeFrom="paragraph">
              <wp:posOffset>955675</wp:posOffset>
            </wp:positionV>
            <wp:extent cx="2513965" cy="1743710"/>
            <wp:effectExtent l="0" t="0" r="0" b="0"/>
            <wp:wrapTopAndBottom/>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5.jpeg"/>
                    <pic:cNvPicPr>
                      <a:picLocks noChangeAspect="1"/>
                    </pic:cNvPicPr>
                  </pic:nvPicPr>
                  <pic:blipFill>
                    <a:blip r:embed="rId80" cstate="print"/>
                    <a:stretch>
                      <a:fillRect/>
                    </a:stretch>
                  </pic:blipFill>
                  <pic:spPr>
                    <a:xfrm>
                      <a:off x="0" y="0"/>
                      <a:ext cx="2514011" cy="174345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4016375</wp:posOffset>
            </wp:positionH>
            <wp:positionV relativeFrom="paragraph">
              <wp:posOffset>955675</wp:posOffset>
            </wp:positionV>
            <wp:extent cx="2513965" cy="1743710"/>
            <wp:effectExtent l="0" t="0" r="0" b="0"/>
            <wp:wrapTopAndBottom/>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6.jpeg"/>
                    <pic:cNvPicPr>
                      <a:picLocks noChangeAspect="1"/>
                    </pic:cNvPicPr>
                  </pic:nvPicPr>
                  <pic:blipFill>
                    <a:blip r:embed="rId81" cstate="print"/>
                    <a:stretch>
                      <a:fillRect/>
                    </a:stretch>
                  </pic:blipFill>
                  <pic:spPr>
                    <a:xfrm>
                      <a:off x="0" y="0"/>
                      <a:ext cx="2514011" cy="1743455"/>
                    </a:xfrm>
                    <a:prstGeom prst="rect">
                      <a:avLst/>
                    </a:prstGeom>
                  </pic:spPr>
                </pic:pic>
              </a:graphicData>
            </a:graphic>
          </wp:anchor>
        </w:drawing>
      </w:r>
      <w:r>
        <w:t>5</w:t>
      </w:r>
      <w:r>
        <w:rPr>
          <w:spacing w:val="-2"/>
        </w:rPr>
        <w:t xml:space="preserve"> 现有部分电梯在内部增加临时座椅，满足有需要的人休息应急需求。但临时座椅存在滑动、不安</w:t>
      </w:r>
      <w:r>
        <w:t>全等风险，且占用空间。本款提出轿厢内可结合扶手设置可折叠座椅（</w:t>
      </w:r>
      <w:r>
        <w:rPr>
          <w:spacing w:val="-16"/>
        </w:rPr>
        <w:t xml:space="preserve">如图 </w:t>
      </w:r>
      <w:r>
        <w:t>4.1.25-3</w:t>
      </w:r>
      <w:r>
        <w:rPr>
          <w:spacing w:val="-16"/>
        </w:rPr>
        <w:t xml:space="preserve">、图 </w:t>
      </w:r>
      <w:r>
        <w:t>4.1.25-4）， 不占轿厢空间，且满足无障碍需求。</w:t>
      </w:r>
    </w:p>
    <w:p>
      <w:pPr>
        <w:pStyle w:val="5"/>
        <w:spacing w:before="7"/>
        <w:rPr>
          <w:sz w:val="7"/>
        </w:rPr>
      </w:pPr>
    </w:p>
    <w:p>
      <w:pPr>
        <w:spacing w:after="0"/>
        <w:rPr>
          <w:sz w:val="7"/>
        </w:rPr>
        <w:sectPr>
          <w:pgSz w:w="11910" w:h="16840"/>
          <w:pgMar w:top="1580" w:right="820" w:bottom="1280" w:left="920" w:header="0" w:footer="1095" w:gutter="0"/>
          <w:cols w:space="720" w:num="1"/>
        </w:sectPr>
      </w:pPr>
    </w:p>
    <w:p>
      <w:pPr>
        <w:pStyle w:val="5"/>
        <w:spacing w:before="70"/>
        <w:ind w:left="523"/>
        <w:jc w:val="center"/>
      </w:pPr>
      <w:r>
        <w:t>图 4.1.25-3 轿厢内结合扶手设置可折叠座椅</w:t>
      </w:r>
    </w:p>
    <w:p>
      <w:pPr>
        <w:pStyle w:val="5"/>
        <w:spacing w:before="43"/>
        <w:ind w:left="525"/>
        <w:jc w:val="center"/>
      </w:pPr>
      <w:r>
        <w:t>（平常状态）</w:t>
      </w:r>
    </w:p>
    <w:p>
      <w:pPr>
        <w:pStyle w:val="5"/>
        <w:spacing w:before="70"/>
        <w:ind w:left="518" w:right="591"/>
        <w:jc w:val="center"/>
      </w:pPr>
      <w:r>
        <w:br w:type="column"/>
      </w:r>
      <w:r>
        <w:t>图 4.1.25-4 轿厢内结合扶手设置可折叠座椅</w:t>
      </w:r>
    </w:p>
    <w:p>
      <w:pPr>
        <w:pStyle w:val="5"/>
        <w:spacing w:before="43"/>
        <w:ind w:left="516" w:right="591"/>
        <w:jc w:val="center"/>
      </w:pPr>
      <w:r>
        <w:t>（工作状态）</w:t>
      </w:r>
    </w:p>
    <w:p>
      <w:pPr>
        <w:spacing w:after="0"/>
        <w:jc w:val="center"/>
        <w:sectPr>
          <w:type w:val="continuous"/>
          <w:pgSz w:w="11910" w:h="16840"/>
          <w:pgMar w:top="1580" w:right="820" w:bottom="280" w:left="920" w:header="720" w:footer="720" w:gutter="0"/>
          <w:cols w:equalWidth="0" w:num="2">
            <w:col w:w="4749" w:space="71"/>
            <w:col w:w="5350"/>
          </w:cols>
        </w:sectPr>
      </w:pPr>
    </w:p>
    <w:p>
      <w:pPr>
        <w:pStyle w:val="5"/>
        <w:spacing w:before="119" w:line="417" w:lineRule="auto"/>
        <w:ind w:left="212" w:right="310" w:firstLine="420"/>
        <w:jc w:val="both"/>
      </w:pPr>
      <w:r>
        <w:t>8</w:t>
      </w:r>
      <w:r>
        <w:rPr>
          <w:spacing w:val="-2"/>
        </w:rPr>
        <w:t xml:space="preserve"> 轿厢的规格应依据建筑性质和使用要求的不同而选用。</w:t>
      </w:r>
      <w:r>
        <w:t>1.40</w:t>
      </w:r>
      <w:r>
        <w:rPr>
          <w:rFonts w:hint="eastAsia" w:ascii="仿宋" w:hAnsi="仿宋" w:eastAsia="仿宋"/>
        </w:rPr>
        <w:t>m</w:t>
      </w:r>
      <w:r>
        <w:t>×1.10</w:t>
      </w:r>
      <w:r>
        <w:rPr>
          <w:rFonts w:hint="eastAsia" w:ascii="仿宋" w:hAnsi="仿宋" w:eastAsia="仿宋"/>
        </w:rPr>
        <w:t>m</w:t>
      </w:r>
      <w:r>
        <w:rPr>
          <w:rFonts w:hint="eastAsia" w:ascii="仿宋" w:hAnsi="仿宋" w:eastAsia="仿宋"/>
          <w:spacing w:val="-56"/>
        </w:rPr>
        <w:t xml:space="preserve"> </w:t>
      </w:r>
      <w:r>
        <w:rPr>
          <w:spacing w:val="-6"/>
        </w:rPr>
        <w:t>的小型轿厢，轮椅进入电梯后不能回转。</w:t>
      </w:r>
    </w:p>
    <w:p>
      <w:pPr>
        <w:pStyle w:val="12"/>
        <w:numPr>
          <w:ilvl w:val="2"/>
          <w:numId w:val="144"/>
        </w:numPr>
        <w:tabs>
          <w:tab w:val="left" w:pos="1053"/>
        </w:tabs>
        <w:spacing w:before="0" w:after="0" w:line="417" w:lineRule="auto"/>
        <w:ind w:left="212" w:right="310" w:firstLine="0"/>
        <w:jc w:val="both"/>
        <w:rPr>
          <w:sz w:val="21"/>
        </w:rPr>
      </w:pPr>
      <w:bookmarkStart w:id="650" w:name="4.1.26升降平台存在操作复杂、运行缓慢的缺点，一般情况下不作为首选的无障碍设"/>
      <w:bookmarkEnd w:id="650"/>
      <w:bookmarkStart w:id="651" w:name="4.1.26升降平台存在操作复杂、运行缓慢的缺点，一般情况下不作为首选的无障碍设"/>
      <w:bookmarkEnd w:id="651"/>
      <w:r>
        <w:rPr>
          <w:spacing w:val="-3"/>
          <w:sz w:val="21"/>
        </w:rPr>
        <w:t>升降平台存在操作复杂、运行缓慢的缺点，一般情况下不作为首选的无障碍设施。特定条件限制</w:t>
      </w:r>
      <w:r>
        <w:rPr>
          <w:spacing w:val="-5"/>
          <w:w w:val="95"/>
          <w:sz w:val="21"/>
        </w:rPr>
        <w:t xml:space="preserve">指在入口或无障碍通道上存在高差，没有空间设置轮椅坡道或无障碍电梯，同时又无法扩大空间的改造项   </w:t>
      </w:r>
      <w:r>
        <w:rPr>
          <w:spacing w:val="-5"/>
          <w:sz w:val="21"/>
        </w:rPr>
        <w:t>目，如列入文物保护范围的建筑、历史名城中心的小块场地、高差附近为无法拆除的承重墙柱等。</w:t>
      </w:r>
    </w:p>
    <w:p>
      <w:pPr>
        <w:pStyle w:val="12"/>
        <w:numPr>
          <w:ilvl w:val="2"/>
          <w:numId w:val="144"/>
        </w:numPr>
        <w:tabs>
          <w:tab w:val="left" w:pos="1053"/>
        </w:tabs>
        <w:spacing w:before="0" w:after="0" w:line="269" w:lineRule="exact"/>
        <w:ind w:left="1052" w:right="0" w:hanging="841"/>
        <w:jc w:val="both"/>
        <w:rPr>
          <w:sz w:val="21"/>
        </w:rPr>
      </w:pPr>
      <w:bookmarkStart w:id="652" w:name="4.1.27本条规定了升降平台的设计要求。"/>
      <w:bookmarkEnd w:id="652"/>
      <w:bookmarkStart w:id="653" w:name="4.1.27本条规定了升降平台的设计要求。"/>
      <w:bookmarkEnd w:id="653"/>
      <w:r>
        <w:rPr>
          <w:sz w:val="21"/>
        </w:rPr>
        <w:t>本条规定了升降平台的设计要求。</w:t>
      </w:r>
    </w:p>
    <w:p>
      <w:pPr>
        <w:pStyle w:val="5"/>
        <w:spacing w:before="7"/>
        <w:rPr>
          <w:sz w:val="15"/>
        </w:rPr>
      </w:pPr>
    </w:p>
    <w:p>
      <w:pPr>
        <w:pStyle w:val="5"/>
        <w:spacing w:line="417" w:lineRule="auto"/>
        <w:ind w:left="212" w:right="208" w:firstLine="420"/>
      </w:pPr>
      <w:r>
        <w:t>无障碍升降平台包括垂直升降平台和安装于楼梯一侧的斜向升降平台，垂直升降平台在改造工程中因</w:t>
      </w:r>
      <w:r>
        <w:rPr>
          <w:w w:val="95"/>
        </w:rPr>
        <w:t>场地限制而应用较多。升降平台的下部、传送装置等易造成伤害的部位应采取围挡等形式的安全防护措施。</w:t>
      </w:r>
    </w:p>
    <w:p>
      <w:pPr>
        <w:pStyle w:val="12"/>
        <w:numPr>
          <w:ilvl w:val="0"/>
          <w:numId w:val="141"/>
        </w:numPr>
        <w:tabs>
          <w:tab w:val="left" w:pos="4272"/>
        </w:tabs>
        <w:spacing w:before="0" w:after="0" w:line="269" w:lineRule="exact"/>
        <w:ind w:left="4271" w:right="102" w:hanging="4272"/>
        <w:jc w:val="left"/>
        <w:rPr>
          <w:rFonts w:hint="eastAsia" w:ascii="黑体" w:eastAsia="黑体"/>
          <w:sz w:val="21"/>
        </w:rPr>
      </w:pPr>
      <w:bookmarkStart w:id="654" w:name="X无障碍楼梯与台阶"/>
      <w:bookmarkEnd w:id="654"/>
      <w:bookmarkStart w:id="655" w:name="X无障碍楼梯与台阶"/>
      <w:bookmarkEnd w:id="655"/>
      <w:r>
        <w:rPr>
          <w:rFonts w:hint="eastAsia" w:ascii="黑体" w:eastAsia="黑体"/>
          <w:sz w:val="21"/>
        </w:rPr>
        <w:t>无障碍楼梯与台阶</w:t>
      </w:r>
    </w:p>
    <w:p>
      <w:pPr>
        <w:pStyle w:val="5"/>
        <w:spacing w:before="6"/>
        <w:rPr>
          <w:rFonts w:ascii="黑体"/>
          <w:sz w:val="15"/>
        </w:rPr>
      </w:pPr>
    </w:p>
    <w:p>
      <w:pPr>
        <w:pStyle w:val="12"/>
        <w:numPr>
          <w:ilvl w:val="2"/>
          <w:numId w:val="144"/>
        </w:numPr>
        <w:tabs>
          <w:tab w:val="left" w:pos="1053"/>
        </w:tabs>
        <w:spacing w:before="1" w:after="0" w:line="240" w:lineRule="auto"/>
        <w:ind w:left="1052" w:right="0" w:hanging="841"/>
        <w:jc w:val="both"/>
        <w:rPr>
          <w:sz w:val="21"/>
        </w:rPr>
      </w:pPr>
      <w:bookmarkStart w:id="656" w:name="4.1.28本条规定了无障碍楼梯的设计要求（如图4.1.28）。"/>
      <w:bookmarkEnd w:id="656"/>
      <w:bookmarkStart w:id="657" w:name="4.1.28本条规定了无障碍楼梯的设计要求（如图4.1.28）。"/>
      <w:bookmarkEnd w:id="657"/>
      <w:r>
        <w:rPr>
          <w:sz w:val="21"/>
        </w:rPr>
        <w:t>本条规定了无障碍楼梯的设计要求（</w:t>
      </w:r>
      <w:r>
        <w:rPr>
          <w:spacing w:val="-18"/>
          <w:sz w:val="21"/>
        </w:rPr>
        <w:t xml:space="preserve">如图 </w:t>
      </w:r>
      <w:r>
        <w:rPr>
          <w:sz w:val="21"/>
        </w:rPr>
        <w:t>4.1.28）。</w:t>
      </w:r>
    </w:p>
    <w:p>
      <w:pPr>
        <w:spacing w:after="0" w:line="240" w:lineRule="auto"/>
        <w:jc w:val="both"/>
        <w:rPr>
          <w:sz w:val="21"/>
        </w:rPr>
        <w:sectPr>
          <w:type w:val="continuous"/>
          <w:pgSz w:w="11910" w:h="16840"/>
          <w:pgMar w:top="1580" w:right="820" w:bottom="280" w:left="920" w:header="720" w:footer="720" w:gutter="0"/>
          <w:cols w:space="720" w:num="1"/>
        </w:sectPr>
      </w:pPr>
    </w:p>
    <w:p>
      <w:pPr>
        <w:pStyle w:val="5"/>
        <w:spacing w:before="9"/>
        <w:rPr>
          <w:sz w:val="6"/>
        </w:rPr>
      </w:pPr>
    </w:p>
    <w:p>
      <w:pPr>
        <w:pStyle w:val="5"/>
        <w:ind w:left="2777"/>
        <w:rPr>
          <w:sz w:val="20"/>
        </w:rPr>
      </w:pPr>
      <w:r>
        <w:rPr>
          <w:sz w:val="20"/>
        </w:rPr>
        <w:drawing>
          <wp:inline distT="0" distB="0" distL="0" distR="0">
            <wp:extent cx="2676525" cy="1038860"/>
            <wp:effectExtent l="0" t="0" r="0" b="0"/>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7.jpeg"/>
                    <pic:cNvPicPr>
                      <a:picLocks noChangeAspect="1"/>
                    </pic:cNvPicPr>
                  </pic:nvPicPr>
                  <pic:blipFill>
                    <a:blip r:embed="rId82" cstate="print"/>
                    <a:stretch>
                      <a:fillRect/>
                    </a:stretch>
                  </pic:blipFill>
                  <pic:spPr>
                    <a:xfrm>
                      <a:off x="0" y="0"/>
                      <a:ext cx="2677126" cy="1039368"/>
                    </a:xfrm>
                    <a:prstGeom prst="rect">
                      <a:avLst/>
                    </a:prstGeom>
                  </pic:spPr>
                </pic:pic>
              </a:graphicData>
            </a:graphic>
          </wp:inline>
        </w:drawing>
      </w:r>
    </w:p>
    <w:p>
      <w:pPr>
        <w:pStyle w:val="5"/>
        <w:spacing w:before="8"/>
        <w:rPr>
          <w:sz w:val="14"/>
        </w:rPr>
      </w:pPr>
    </w:p>
    <w:p>
      <w:pPr>
        <w:pStyle w:val="5"/>
        <w:spacing w:before="70"/>
        <w:ind w:right="73"/>
        <w:jc w:val="center"/>
      </w:pPr>
      <w:r>
        <w:t>图 4.1.28 无障碍楼梯平面示意图</w:t>
      </w:r>
    </w:p>
    <w:p>
      <w:pPr>
        <w:pStyle w:val="5"/>
        <w:spacing w:before="5"/>
        <w:rPr>
          <w:sz w:val="19"/>
        </w:rPr>
      </w:pPr>
    </w:p>
    <w:p>
      <w:pPr>
        <w:pStyle w:val="12"/>
        <w:numPr>
          <w:ilvl w:val="0"/>
          <w:numId w:val="152"/>
        </w:numPr>
        <w:tabs>
          <w:tab w:val="left" w:pos="1052"/>
          <w:tab w:val="left" w:pos="1053"/>
        </w:tabs>
        <w:spacing w:before="1" w:after="0" w:line="240" w:lineRule="auto"/>
        <w:ind w:left="1052" w:right="0" w:hanging="421"/>
        <w:jc w:val="left"/>
        <w:rPr>
          <w:sz w:val="21"/>
        </w:rPr>
      </w:pPr>
      <w:r>
        <w:rPr>
          <w:sz w:val="21"/>
        </w:rPr>
        <w:t>非直线形楼梯会给残障人士带来恐惧感，宜发生事故。</w:t>
      </w:r>
    </w:p>
    <w:p>
      <w:pPr>
        <w:pStyle w:val="5"/>
        <w:spacing w:before="6"/>
        <w:rPr>
          <w:sz w:val="15"/>
        </w:rPr>
      </w:pPr>
    </w:p>
    <w:p>
      <w:pPr>
        <w:pStyle w:val="12"/>
        <w:numPr>
          <w:ilvl w:val="0"/>
          <w:numId w:val="152"/>
        </w:numPr>
        <w:tabs>
          <w:tab w:val="left" w:pos="1052"/>
          <w:tab w:val="left" w:pos="1053"/>
        </w:tabs>
        <w:spacing w:before="0" w:after="0" w:line="240" w:lineRule="auto"/>
        <w:ind w:left="1052" w:right="0" w:hanging="421"/>
        <w:jc w:val="left"/>
        <w:rPr>
          <w:sz w:val="21"/>
        </w:rPr>
      </w:pPr>
      <w:r>
        <w:rPr>
          <w:sz w:val="21"/>
        </w:rPr>
        <w:t>楼梯两侧的无障碍双层扶手可同时满足儿童的使用需求。</w:t>
      </w:r>
    </w:p>
    <w:p>
      <w:pPr>
        <w:pStyle w:val="5"/>
        <w:spacing w:before="7"/>
        <w:rPr>
          <w:sz w:val="15"/>
        </w:rPr>
      </w:pPr>
    </w:p>
    <w:p>
      <w:pPr>
        <w:pStyle w:val="12"/>
        <w:numPr>
          <w:ilvl w:val="0"/>
          <w:numId w:val="152"/>
        </w:numPr>
        <w:tabs>
          <w:tab w:val="left" w:pos="1052"/>
          <w:tab w:val="left" w:pos="1053"/>
        </w:tabs>
        <w:spacing w:before="0" w:after="0" w:line="240" w:lineRule="auto"/>
        <w:ind w:left="1052" w:right="0" w:hanging="421"/>
        <w:jc w:val="left"/>
        <w:rPr>
          <w:sz w:val="21"/>
        </w:rPr>
      </w:pPr>
      <w:r>
        <w:rPr>
          <w:sz w:val="21"/>
        </w:rPr>
        <w:t>栏杆式楼梯在栏杆下方的安全阻挡措施，可防止拐杖向侧面滑出造成摔伤。</w:t>
      </w:r>
    </w:p>
    <w:p>
      <w:pPr>
        <w:pStyle w:val="5"/>
        <w:spacing w:before="7"/>
        <w:rPr>
          <w:sz w:val="15"/>
        </w:rPr>
      </w:pPr>
    </w:p>
    <w:p>
      <w:pPr>
        <w:pStyle w:val="12"/>
        <w:numPr>
          <w:ilvl w:val="0"/>
          <w:numId w:val="153"/>
        </w:numPr>
        <w:tabs>
          <w:tab w:val="left" w:pos="1052"/>
          <w:tab w:val="left" w:pos="1053"/>
        </w:tabs>
        <w:spacing w:before="0" w:after="0" w:line="417" w:lineRule="auto"/>
        <w:ind w:left="212" w:right="310" w:firstLine="420"/>
        <w:jc w:val="left"/>
        <w:rPr>
          <w:sz w:val="21"/>
        </w:rPr>
      </w:pPr>
      <w:r>
        <w:rPr>
          <w:spacing w:val="-4"/>
          <w:w w:val="95"/>
          <w:sz w:val="21"/>
        </w:rPr>
        <w:t xml:space="preserve">踏步规格如不统一，行进过程中易绊倒，造成危险。不同楼层之间可能因为层高不同，难以做到   </w:t>
      </w:r>
      <w:r>
        <w:rPr>
          <w:spacing w:val="-4"/>
          <w:sz w:val="21"/>
        </w:rPr>
        <w:t>踏步规格统一，不同的楼梯也可能踏步规格不同，本款规定同一楼层中同一部楼梯的踏步规格统一。</w:t>
      </w:r>
    </w:p>
    <w:p>
      <w:pPr>
        <w:pStyle w:val="12"/>
        <w:numPr>
          <w:ilvl w:val="0"/>
          <w:numId w:val="153"/>
        </w:numPr>
        <w:tabs>
          <w:tab w:val="left" w:pos="951"/>
          <w:tab w:val="left" w:pos="952"/>
        </w:tabs>
        <w:spacing w:before="0" w:after="0" w:line="417" w:lineRule="auto"/>
        <w:ind w:left="212" w:right="312" w:firstLine="420"/>
        <w:jc w:val="left"/>
        <w:rPr>
          <w:sz w:val="21"/>
        </w:rPr>
      </w:pPr>
      <w:r>
        <w:rPr>
          <w:sz w:val="21"/>
        </w:rPr>
        <w:t>楼梯的踏面的前缘如有突出部分，应设计成圆弧形，不应设计成直角形，以防将拐杖头绊落、对鞋面刮碰。</w:t>
      </w:r>
    </w:p>
    <w:p>
      <w:pPr>
        <w:pStyle w:val="12"/>
        <w:numPr>
          <w:ilvl w:val="0"/>
          <w:numId w:val="141"/>
        </w:numPr>
        <w:tabs>
          <w:tab w:val="left" w:pos="4113"/>
        </w:tabs>
        <w:spacing w:before="0" w:after="0" w:line="269" w:lineRule="exact"/>
        <w:ind w:left="4112" w:right="102" w:hanging="4113"/>
        <w:jc w:val="left"/>
        <w:rPr>
          <w:rFonts w:hint="eastAsia" w:ascii="黑体" w:eastAsia="黑体"/>
          <w:sz w:val="21"/>
        </w:rPr>
      </w:pPr>
      <w:bookmarkStart w:id="658" w:name="XI自动扶梯与自动人行道"/>
      <w:bookmarkEnd w:id="658"/>
      <w:bookmarkStart w:id="659" w:name="XI自动扶梯与自动人行道"/>
      <w:bookmarkEnd w:id="659"/>
      <w:r>
        <w:rPr>
          <w:rFonts w:hint="eastAsia" w:ascii="黑体" w:eastAsia="黑体"/>
          <w:sz w:val="21"/>
        </w:rPr>
        <w:t>自动扶梯与自动人行道</w:t>
      </w:r>
    </w:p>
    <w:p>
      <w:pPr>
        <w:pStyle w:val="5"/>
        <w:spacing w:before="6"/>
        <w:rPr>
          <w:rFonts w:ascii="黑体"/>
          <w:sz w:val="15"/>
        </w:rPr>
      </w:pPr>
    </w:p>
    <w:p>
      <w:pPr>
        <w:tabs>
          <w:tab w:val="left" w:pos="1711"/>
        </w:tabs>
        <w:spacing w:before="0"/>
        <w:ind w:left="0" w:right="89" w:firstLine="0"/>
        <w:jc w:val="center"/>
        <w:rPr>
          <w:rFonts w:hint="eastAsia" w:ascii="仿宋" w:eastAsia="仿宋"/>
          <w:sz w:val="21"/>
        </w:rPr>
      </w:pPr>
      <w:bookmarkStart w:id="660" w:name="4.1.30、4.1.31  自动扶梯与自动人行道是无障碍楼梯及电梯以外的通行设"/>
      <w:bookmarkEnd w:id="660"/>
      <w:r>
        <w:rPr>
          <w:b/>
          <w:sz w:val="21"/>
        </w:rPr>
        <w:t>4.1.30</w:t>
      </w:r>
      <w:r>
        <w:rPr>
          <w:spacing w:val="4"/>
          <w:sz w:val="21"/>
        </w:rPr>
        <w:t>、</w:t>
      </w:r>
      <w:r>
        <w:rPr>
          <w:b/>
          <w:sz w:val="21"/>
        </w:rPr>
        <w:t>4.1.31</w:t>
      </w:r>
      <w:r>
        <w:rPr>
          <w:b/>
          <w:sz w:val="21"/>
        </w:rPr>
        <w:tab/>
      </w:r>
      <w:r>
        <w:rPr>
          <w:spacing w:val="4"/>
          <w:sz w:val="21"/>
        </w:rPr>
        <w:t>自</w:t>
      </w:r>
      <w:r>
        <w:rPr>
          <w:spacing w:val="7"/>
          <w:sz w:val="21"/>
        </w:rPr>
        <w:t>动</w:t>
      </w:r>
      <w:r>
        <w:rPr>
          <w:spacing w:val="4"/>
          <w:sz w:val="21"/>
        </w:rPr>
        <w:t>扶</w:t>
      </w:r>
      <w:r>
        <w:rPr>
          <w:spacing w:val="7"/>
          <w:sz w:val="21"/>
        </w:rPr>
        <w:t>梯</w:t>
      </w:r>
      <w:r>
        <w:rPr>
          <w:spacing w:val="4"/>
          <w:sz w:val="21"/>
        </w:rPr>
        <w:t>与</w:t>
      </w:r>
      <w:r>
        <w:rPr>
          <w:spacing w:val="7"/>
          <w:sz w:val="21"/>
        </w:rPr>
        <w:t>自</w:t>
      </w:r>
      <w:r>
        <w:rPr>
          <w:spacing w:val="4"/>
          <w:sz w:val="21"/>
        </w:rPr>
        <w:t>动</w:t>
      </w:r>
      <w:r>
        <w:rPr>
          <w:spacing w:val="7"/>
          <w:sz w:val="21"/>
        </w:rPr>
        <w:t>人</w:t>
      </w:r>
      <w:r>
        <w:rPr>
          <w:spacing w:val="4"/>
          <w:sz w:val="21"/>
        </w:rPr>
        <w:t>行</w:t>
      </w:r>
      <w:r>
        <w:rPr>
          <w:spacing w:val="7"/>
          <w:sz w:val="21"/>
        </w:rPr>
        <w:t>道</w:t>
      </w:r>
      <w:r>
        <w:rPr>
          <w:spacing w:val="4"/>
          <w:sz w:val="21"/>
        </w:rPr>
        <w:t>是无</w:t>
      </w:r>
      <w:r>
        <w:rPr>
          <w:spacing w:val="7"/>
          <w:sz w:val="21"/>
        </w:rPr>
        <w:t>障</w:t>
      </w:r>
      <w:r>
        <w:rPr>
          <w:spacing w:val="4"/>
          <w:sz w:val="21"/>
        </w:rPr>
        <w:t>碍</w:t>
      </w:r>
      <w:r>
        <w:rPr>
          <w:spacing w:val="7"/>
          <w:sz w:val="21"/>
        </w:rPr>
        <w:t>楼</w:t>
      </w:r>
      <w:r>
        <w:rPr>
          <w:spacing w:val="4"/>
          <w:sz w:val="21"/>
        </w:rPr>
        <w:t>梯</w:t>
      </w:r>
      <w:r>
        <w:rPr>
          <w:spacing w:val="7"/>
          <w:sz w:val="21"/>
        </w:rPr>
        <w:t>及</w:t>
      </w:r>
      <w:r>
        <w:rPr>
          <w:spacing w:val="4"/>
          <w:sz w:val="21"/>
        </w:rPr>
        <w:t>电</w:t>
      </w:r>
      <w:r>
        <w:rPr>
          <w:spacing w:val="7"/>
          <w:sz w:val="21"/>
        </w:rPr>
        <w:t>梯</w:t>
      </w:r>
      <w:r>
        <w:rPr>
          <w:spacing w:val="4"/>
          <w:sz w:val="21"/>
        </w:rPr>
        <w:t>以</w:t>
      </w:r>
      <w:r>
        <w:rPr>
          <w:spacing w:val="7"/>
          <w:sz w:val="21"/>
        </w:rPr>
        <w:t>外</w:t>
      </w:r>
      <w:r>
        <w:rPr>
          <w:spacing w:val="4"/>
          <w:sz w:val="21"/>
        </w:rPr>
        <w:t>的</w:t>
      </w:r>
      <w:r>
        <w:rPr>
          <w:spacing w:val="7"/>
          <w:sz w:val="21"/>
        </w:rPr>
        <w:t>通</w:t>
      </w:r>
      <w:r>
        <w:rPr>
          <w:spacing w:val="4"/>
          <w:sz w:val="21"/>
        </w:rPr>
        <w:t>行设</w:t>
      </w:r>
      <w:r>
        <w:rPr>
          <w:spacing w:val="7"/>
          <w:sz w:val="21"/>
        </w:rPr>
        <w:t>施</w:t>
      </w:r>
      <w:r>
        <w:rPr>
          <w:spacing w:val="4"/>
          <w:sz w:val="21"/>
        </w:rPr>
        <w:t>。</w:t>
      </w:r>
      <w:r>
        <w:rPr>
          <w:spacing w:val="7"/>
          <w:sz w:val="21"/>
        </w:rPr>
        <w:t>《</w:t>
      </w:r>
      <w:r>
        <w:rPr>
          <w:spacing w:val="4"/>
          <w:sz w:val="21"/>
        </w:rPr>
        <w:t>无</w:t>
      </w:r>
      <w:r>
        <w:rPr>
          <w:spacing w:val="7"/>
          <w:sz w:val="21"/>
        </w:rPr>
        <w:t>障</w:t>
      </w:r>
      <w:r>
        <w:rPr>
          <w:spacing w:val="4"/>
          <w:sz w:val="21"/>
        </w:rPr>
        <w:t>碍</w:t>
      </w:r>
      <w:r>
        <w:rPr>
          <w:spacing w:val="7"/>
          <w:sz w:val="21"/>
        </w:rPr>
        <w:t>设</w:t>
      </w:r>
      <w:r>
        <w:rPr>
          <w:spacing w:val="4"/>
          <w:sz w:val="21"/>
        </w:rPr>
        <w:t>计</w:t>
      </w:r>
      <w:r>
        <w:rPr>
          <w:spacing w:val="7"/>
          <w:sz w:val="21"/>
        </w:rPr>
        <w:t>规</w:t>
      </w:r>
      <w:r>
        <w:rPr>
          <w:spacing w:val="4"/>
          <w:sz w:val="21"/>
        </w:rPr>
        <w:t>范》</w:t>
      </w:r>
      <w:r>
        <w:rPr>
          <w:rFonts w:hint="eastAsia" w:ascii="仿宋" w:eastAsia="仿宋"/>
          <w:sz w:val="21"/>
        </w:rPr>
        <w:t>GB</w:t>
      </w:r>
    </w:p>
    <w:p>
      <w:pPr>
        <w:pStyle w:val="5"/>
        <w:spacing w:before="7"/>
        <w:rPr>
          <w:rFonts w:ascii="仿宋"/>
          <w:sz w:val="15"/>
        </w:rPr>
      </w:pPr>
    </w:p>
    <w:p>
      <w:pPr>
        <w:pStyle w:val="5"/>
        <w:ind w:left="212"/>
        <w:jc w:val="both"/>
      </w:pPr>
      <w:r>
        <w:t>50763-2012</w:t>
      </w:r>
      <w:r>
        <w:rPr>
          <w:spacing w:val="-15"/>
        </w:rPr>
        <w:t xml:space="preserve"> 无自动扶梯与自动人行道的设计要求，考虑到通用设计的原则，参照《民用建筑设计统一标准》</w:t>
      </w:r>
    </w:p>
    <w:p>
      <w:pPr>
        <w:pStyle w:val="5"/>
        <w:spacing w:before="7"/>
        <w:rPr>
          <w:sz w:val="15"/>
        </w:rPr>
      </w:pPr>
    </w:p>
    <w:p>
      <w:pPr>
        <w:pStyle w:val="5"/>
        <w:spacing w:line="417" w:lineRule="auto"/>
        <w:ind w:left="212" w:right="310"/>
        <w:jc w:val="both"/>
      </w:pPr>
      <w:r>
        <w:drawing>
          <wp:anchor distT="0" distB="0" distL="0" distR="0" simplePos="0" relativeHeight="251659264" behindDoc="0" locked="0" layoutInCell="1" allowOverlap="1">
            <wp:simplePos x="0" y="0"/>
            <wp:positionH relativeFrom="page">
              <wp:posOffset>2081530</wp:posOffset>
            </wp:positionH>
            <wp:positionV relativeFrom="paragraph">
              <wp:posOffset>949960</wp:posOffset>
            </wp:positionV>
            <wp:extent cx="2877820" cy="2359660"/>
            <wp:effectExtent l="0" t="0" r="0" b="0"/>
            <wp:wrapTopAndBottom/>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8.jpeg"/>
                    <pic:cNvPicPr>
                      <a:picLocks noChangeAspect="1"/>
                    </pic:cNvPicPr>
                  </pic:nvPicPr>
                  <pic:blipFill>
                    <a:blip r:embed="rId83" cstate="print"/>
                    <a:stretch>
                      <a:fillRect/>
                    </a:stretch>
                  </pic:blipFill>
                  <pic:spPr>
                    <a:xfrm>
                      <a:off x="0" y="0"/>
                      <a:ext cx="2878027" cy="2359533"/>
                    </a:xfrm>
                    <a:prstGeom prst="rect">
                      <a:avLst/>
                    </a:prstGeom>
                  </pic:spPr>
                </pic:pic>
              </a:graphicData>
            </a:graphic>
          </wp:anchor>
        </w:drawing>
      </w:r>
      <w:r>
        <w:rPr>
          <w:rFonts w:hint="eastAsia" w:ascii="仿宋" w:eastAsia="仿宋"/>
        </w:rPr>
        <w:t xml:space="preserve">GB </w:t>
      </w:r>
      <w:r>
        <w:t>50352-2019</w:t>
      </w:r>
      <w:r>
        <w:rPr>
          <w:spacing w:val="-34"/>
        </w:rPr>
        <w:t xml:space="preserve"> 第 </w:t>
      </w:r>
      <w:r>
        <w:t>6.9.2</w:t>
      </w:r>
      <w:r>
        <w:rPr>
          <w:spacing w:val="-8"/>
        </w:rPr>
        <w:t xml:space="preserve"> 条规定，本条增加设计要求。自动扶梯与自动人行道的设置不得影响通道疏散宽</w:t>
      </w:r>
      <w:r>
        <w:rPr>
          <w:spacing w:val="-5"/>
          <w:w w:val="95"/>
        </w:rPr>
        <w:t xml:space="preserve">度、高度，自动扶梯不得作为跨楼层的唯一通行方式。自动扶梯与自动人行道运行速度不宜过快。自动扶   </w:t>
      </w:r>
      <w:r>
        <w:rPr>
          <w:spacing w:val="-5"/>
        </w:rPr>
        <w:t>梯与自动人行道起终点地面下装有启动滚轮设备，提示盲道宜设置在地面盖板外缘（</w:t>
      </w:r>
      <w:r>
        <w:rPr>
          <w:spacing w:val="-21"/>
        </w:rPr>
        <w:t xml:space="preserve">如图 </w:t>
      </w:r>
      <w:r>
        <w:t>4.1.30）。</w:t>
      </w:r>
    </w:p>
    <w:p>
      <w:pPr>
        <w:pStyle w:val="5"/>
        <w:spacing w:before="12"/>
        <w:rPr>
          <w:sz w:val="20"/>
        </w:rPr>
      </w:pPr>
    </w:p>
    <w:p>
      <w:pPr>
        <w:pStyle w:val="5"/>
        <w:spacing w:before="1"/>
        <w:ind w:right="73"/>
        <w:jc w:val="center"/>
      </w:pPr>
      <w:r>
        <w:t>图 4.1.34 自动扶梯处提示盲道平面示意图</w:t>
      </w:r>
    </w:p>
    <w:p>
      <w:pPr>
        <w:pStyle w:val="5"/>
        <w:spacing w:before="3"/>
        <w:rPr>
          <w:sz w:val="19"/>
        </w:rPr>
      </w:pPr>
    </w:p>
    <w:p>
      <w:pPr>
        <w:pStyle w:val="12"/>
        <w:numPr>
          <w:ilvl w:val="0"/>
          <w:numId w:val="141"/>
        </w:numPr>
        <w:tabs>
          <w:tab w:val="left" w:pos="5006"/>
        </w:tabs>
        <w:spacing w:before="0" w:after="0" w:line="240" w:lineRule="auto"/>
        <w:ind w:left="5005" w:right="102" w:hanging="5006"/>
        <w:jc w:val="left"/>
        <w:rPr>
          <w:rFonts w:hint="eastAsia" w:ascii="黑体" w:eastAsia="黑体"/>
          <w:sz w:val="21"/>
        </w:rPr>
      </w:pPr>
      <w:bookmarkStart w:id="661" w:name="XII扶手"/>
      <w:bookmarkEnd w:id="661"/>
      <w:bookmarkStart w:id="662" w:name="XII扶手"/>
      <w:bookmarkEnd w:id="662"/>
      <w:r>
        <w:rPr>
          <w:rFonts w:hint="eastAsia" w:ascii="黑体" w:eastAsia="黑体"/>
          <w:sz w:val="21"/>
        </w:rPr>
        <w:t>扶手</w:t>
      </w:r>
    </w:p>
    <w:p>
      <w:pPr>
        <w:spacing w:after="0" w:line="240" w:lineRule="auto"/>
        <w:jc w:val="left"/>
        <w:rPr>
          <w:rFonts w:hint="eastAsia" w:ascii="黑体" w:eastAsia="黑体"/>
          <w:sz w:val="21"/>
        </w:rPr>
        <w:sectPr>
          <w:footerReference r:id="rId12" w:type="default"/>
          <w:pgSz w:w="11910" w:h="16840"/>
          <w:pgMar w:top="1580" w:right="820" w:bottom="1280" w:left="920" w:header="0" w:footer="1095" w:gutter="0"/>
          <w:pgNumType w:start="70"/>
          <w:cols w:space="720" w:num="1"/>
        </w:sectPr>
      </w:pPr>
    </w:p>
    <w:p>
      <w:pPr>
        <w:pStyle w:val="12"/>
        <w:numPr>
          <w:ilvl w:val="2"/>
          <w:numId w:val="154"/>
        </w:numPr>
        <w:tabs>
          <w:tab w:val="left" w:pos="1053"/>
        </w:tabs>
        <w:spacing w:before="60" w:after="0" w:line="240" w:lineRule="auto"/>
        <w:ind w:left="1052" w:right="0" w:hanging="841"/>
        <w:jc w:val="both"/>
        <w:rPr>
          <w:sz w:val="21"/>
        </w:rPr>
      </w:pPr>
      <w:bookmarkStart w:id="663" w:name="4.1.32本条规定了扶手的设计要求。"/>
      <w:bookmarkEnd w:id="663"/>
      <w:bookmarkStart w:id="664" w:name="4.1.32本条规定了扶手的设计要求。"/>
      <w:bookmarkEnd w:id="664"/>
      <w:r>
        <w:rPr>
          <w:sz w:val="21"/>
        </w:rPr>
        <w:t>本条规定了扶手的设计要求。</w:t>
      </w:r>
    </w:p>
    <w:p>
      <w:pPr>
        <w:pStyle w:val="5"/>
        <w:spacing w:before="6"/>
        <w:rPr>
          <w:sz w:val="15"/>
        </w:rPr>
      </w:pPr>
    </w:p>
    <w:p>
      <w:pPr>
        <w:pStyle w:val="12"/>
        <w:numPr>
          <w:ilvl w:val="3"/>
          <w:numId w:val="154"/>
        </w:numPr>
        <w:tabs>
          <w:tab w:val="left" w:pos="1053"/>
        </w:tabs>
        <w:spacing w:before="1" w:after="0" w:line="240" w:lineRule="auto"/>
        <w:ind w:left="1052" w:right="0" w:hanging="421"/>
        <w:jc w:val="both"/>
        <w:rPr>
          <w:sz w:val="21"/>
        </w:rPr>
      </w:pPr>
      <w:r>
        <w:rPr>
          <w:sz w:val="21"/>
        </w:rPr>
        <w:t>扶手高度为踏步前缘垂直向上到扶手中心线的高度。</w:t>
      </w:r>
    </w:p>
    <w:p>
      <w:pPr>
        <w:pStyle w:val="5"/>
        <w:spacing w:before="6"/>
        <w:rPr>
          <w:sz w:val="15"/>
        </w:rPr>
      </w:pPr>
    </w:p>
    <w:p>
      <w:pPr>
        <w:pStyle w:val="12"/>
        <w:numPr>
          <w:ilvl w:val="3"/>
          <w:numId w:val="154"/>
        </w:numPr>
        <w:tabs>
          <w:tab w:val="left" w:pos="1060"/>
        </w:tabs>
        <w:spacing w:before="0" w:after="0" w:line="417" w:lineRule="auto"/>
        <w:ind w:left="212" w:right="315" w:firstLine="420"/>
        <w:jc w:val="both"/>
        <w:rPr>
          <w:sz w:val="21"/>
        </w:rPr>
      </w:pPr>
      <w:r>
        <w:rPr>
          <w:sz w:val="21"/>
        </w:rPr>
        <w:t>楼梯、台阶扶手延伸长度的计算为：从第一级</w:t>
      </w:r>
      <w:r>
        <w:rPr>
          <w:spacing w:val="3"/>
          <w:sz w:val="21"/>
        </w:rPr>
        <w:t>/</w:t>
      </w:r>
      <w:r>
        <w:rPr>
          <w:sz w:val="21"/>
        </w:rPr>
        <w:t>最后一级踏步前缘开始算起。轮椅坡道扶手延伸长度的计算为：起坡点处开始算起。</w:t>
      </w:r>
    </w:p>
    <w:p>
      <w:pPr>
        <w:pStyle w:val="12"/>
        <w:numPr>
          <w:ilvl w:val="3"/>
          <w:numId w:val="154"/>
        </w:numPr>
        <w:tabs>
          <w:tab w:val="left" w:pos="1053"/>
        </w:tabs>
        <w:spacing w:before="0" w:after="0" w:line="417" w:lineRule="auto"/>
        <w:ind w:left="212" w:right="312" w:firstLine="420"/>
        <w:jc w:val="both"/>
        <w:rPr>
          <w:sz w:val="21"/>
        </w:rPr>
      </w:pPr>
      <w:r>
        <w:rPr>
          <w:spacing w:val="-2"/>
          <w:w w:val="95"/>
          <w:sz w:val="21"/>
        </w:rPr>
        <w:t xml:space="preserve">为了避免人们在使用扶手后突然感觉手臂滑下扶手而产生不安，将扶手的末端加以处理，以利于   </w:t>
      </w:r>
      <w:r>
        <w:rPr>
          <w:spacing w:val="-5"/>
          <w:w w:val="95"/>
          <w:sz w:val="21"/>
        </w:rPr>
        <w:t xml:space="preserve">身体稳定。同时也是为了利于包括乘轮椅者在内的行动不便者在刚开始借助扶手做上下楼梯、坡道等行动   </w:t>
      </w:r>
      <w:r>
        <w:rPr>
          <w:spacing w:val="-5"/>
          <w:sz w:val="21"/>
        </w:rPr>
        <w:t>时的抓握或借力。因关系到各类人群的安全和使用便利，扶手均应满足本款要求。</w:t>
      </w:r>
    </w:p>
    <w:p>
      <w:pPr>
        <w:pStyle w:val="12"/>
        <w:numPr>
          <w:ilvl w:val="2"/>
          <w:numId w:val="154"/>
        </w:numPr>
        <w:tabs>
          <w:tab w:val="left" w:pos="1053"/>
        </w:tabs>
        <w:spacing w:before="0" w:after="0" w:line="269" w:lineRule="exact"/>
        <w:ind w:left="1052" w:right="0" w:hanging="841"/>
        <w:jc w:val="both"/>
        <w:rPr>
          <w:sz w:val="21"/>
        </w:rPr>
      </w:pPr>
      <w:bookmarkStart w:id="665" w:name="4.1.33本条规定了扶手的安装要求。"/>
      <w:bookmarkEnd w:id="665"/>
      <w:bookmarkStart w:id="666" w:name="4.1.33本条规定了扶手的安装要求。"/>
      <w:bookmarkEnd w:id="666"/>
      <w:r>
        <w:rPr>
          <w:sz w:val="21"/>
        </w:rPr>
        <w:t>本条规定了扶手的安装要求。</w:t>
      </w:r>
    </w:p>
    <w:p>
      <w:pPr>
        <w:pStyle w:val="5"/>
        <w:spacing w:before="7"/>
        <w:rPr>
          <w:sz w:val="15"/>
        </w:rPr>
      </w:pPr>
    </w:p>
    <w:p>
      <w:pPr>
        <w:pStyle w:val="12"/>
        <w:numPr>
          <w:ilvl w:val="0"/>
          <w:numId w:val="155"/>
        </w:numPr>
        <w:tabs>
          <w:tab w:val="left" w:pos="1053"/>
        </w:tabs>
        <w:spacing w:before="0" w:after="0" w:line="240" w:lineRule="auto"/>
        <w:ind w:left="1052" w:right="0" w:hanging="421"/>
        <w:jc w:val="both"/>
        <w:rPr>
          <w:sz w:val="21"/>
        </w:rPr>
      </w:pPr>
      <w:r>
        <w:rPr>
          <w:sz w:val="21"/>
        </w:rPr>
        <w:t>当扶手安装在墙上时，扶手的内侧与墙之间要有一定的距离，给手的抓握提供适当的空间。</w:t>
      </w:r>
    </w:p>
    <w:p>
      <w:pPr>
        <w:pStyle w:val="5"/>
        <w:spacing w:before="6"/>
        <w:rPr>
          <w:sz w:val="15"/>
        </w:rPr>
      </w:pPr>
    </w:p>
    <w:p>
      <w:pPr>
        <w:pStyle w:val="12"/>
        <w:numPr>
          <w:ilvl w:val="0"/>
          <w:numId w:val="155"/>
        </w:numPr>
        <w:tabs>
          <w:tab w:val="left" w:pos="1053"/>
        </w:tabs>
        <w:spacing w:before="1" w:after="0" w:line="417" w:lineRule="auto"/>
        <w:ind w:left="212" w:right="309" w:firstLine="420"/>
        <w:jc w:val="both"/>
        <w:rPr>
          <w:sz w:val="21"/>
        </w:rPr>
      </w:pPr>
      <w:r>
        <w:rPr>
          <w:spacing w:val="-2"/>
          <w:w w:val="95"/>
          <w:sz w:val="21"/>
        </w:rPr>
        <w:t xml:space="preserve">要求扶手固定是为了防止可转动等形式的非固定扶手在使用时带来的安全隐患。老年人、病弱者   </w:t>
      </w:r>
      <w:r>
        <w:rPr>
          <w:spacing w:val="-6"/>
          <w:sz w:val="21"/>
        </w:rPr>
        <w:t>等人士经常将全身依靠扶手，所以扶手的安装必须足够牢固。参照《无障碍通用规范》</w:t>
      </w:r>
      <w:r>
        <w:rPr>
          <w:sz w:val="21"/>
        </w:rPr>
        <w:t>（送审稿</w:t>
      </w:r>
      <w:r>
        <w:rPr>
          <w:spacing w:val="-10"/>
          <w:sz w:val="21"/>
        </w:rPr>
        <w:t>）</w:t>
      </w:r>
      <w:r>
        <w:rPr>
          <w:spacing w:val="-35"/>
          <w:sz w:val="21"/>
        </w:rPr>
        <w:t xml:space="preserve">第 </w:t>
      </w:r>
      <w:r>
        <w:rPr>
          <w:sz w:val="21"/>
        </w:rPr>
        <w:t>3</w:t>
      </w:r>
      <w:r>
        <w:rPr>
          <w:rFonts w:ascii="Calibri" w:eastAsia="Calibri"/>
          <w:sz w:val="21"/>
        </w:rPr>
        <w:t>.</w:t>
      </w:r>
      <w:r>
        <w:rPr>
          <w:sz w:val="21"/>
        </w:rPr>
        <w:t>9</w:t>
      </w:r>
      <w:r>
        <w:rPr>
          <w:rFonts w:ascii="Calibri" w:eastAsia="Calibri"/>
          <w:sz w:val="21"/>
        </w:rPr>
        <w:t>.</w:t>
      </w:r>
      <w:r>
        <w:rPr>
          <w:sz w:val="21"/>
        </w:rPr>
        <w:t xml:space="preserve">6 </w:t>
      </w:r>
      <w:r>
        <w:rPr>
          <w:spacing w:val="-4"/>
          <w:sz w:val="21"/>
        </w:rPr>
        <w:t xml:space="preserve">条扶手承受力度要求，本款规定扶手应能承受 </w:t>
      </w:r>
      <w:r>
        <w:rPr>
          <w:sz w:val="21"/>
        </w:rPr>
        <w:t>1500</w:t>
      </w:r>
      <w:r>
        <w:rPr>
          <w:rFonts w:hint="eastAsia" w:ascii="仿宋" w:eastAsia="仿宋"/>
          <w:sz w:val="21"/>
        </w:rPr>
        <w:t>N</w:t>
      </w:r>
      <w:r>
        <w:rPr>
          <w:rFonts w:hint="eastAsia" w:ascii="仿宋" w:eastAsia="仿宋"/>
          <w:spacing w:val="-62"/>
          <w:sz w:val="21"/>
        </w:rPr>
        <w:t xml:space="preserve"> </w:t>
      </w:r>
      <w:r>
        <w:rPr>
          <w:spacing w:val="-3"/>
          <w:sz w:val="21"/>
        </w:rPr>
        <w:t>外力。因关系到各类人群的安全，扶手均应满足本条要求。</w:t>
      </w:r>
    </w:p>
    <w:p>
      <w:pPr>
        <w:pStyle w:val="5"/>
        <w:spacing w:line="417" w:lineRule="auto"/>
        <w:ind w:left="212" w:right="312" w:firstLine="420"/>
        <w:jc w:val="both"/>
      </w:pPr>
      <w:r>
        <w:t>4、5  颜色亮度对比和盲文铭牌的设置，便于视觉障碍者辨认扶手的位置和楼梯、台阶、轮椅坡道的走向。</w:t>
      </w:r>
    </w:p>
    <w:p>
      <w:pPr>
        <w:pStyle w:val="12"/>
        <w:numPr>
          <w:ilvl w:val="3"/>
          <w:numId w:val="133"/>
        </w:numPr>
        <w:tabs>
          <w:tab w:val="left" w:pos="4509"/>
        </w:tabs>
        <w:spacing w:before="0" w:after="0" w:line="417" w:lineRule="auto"/>
        <w:ind w:left="4532" w:right="4186" w:hanging="444"/>
        <w:jc w:val="left"/>
        <w:rPr>
          <w:rFonts w:hint="eastAsia" w:ascii="黑体" w:eastAsia="黑体"/>
          <w:sz w:val="21"/>
        </w:rPr>
      </w:pPr>
      <w:bookmarkStart w:id="667" w:name="_bookmark34"/>
      <w:bookmarkEnd w:id="667"/>
      <w:bookmarkStart w:id="668" w:name="_bookmark34"/>
      <w:bookmarkEnd w:id="668"/>
      <w:bookmarkStart w:id="669" w:name="4.2无障碍服务设施"/>
      <w:bookmarkEnd w:id="669"/>
      <w:r>
        <w:rPr>
          <w:rFonts w:hint="eastAsia" w:ascii="黑体" w:eastAsia="黑体"/>
          <w:spacing w:val="-2"/>
          <w:sz w:val="21"/>
        </w:rPr>
        <w:t>无障碍服务设施</w:t>
      </w:r>
      <w:bookmarkStart w:id="670" w:name="I一般规定"/>
      <w:bookmarkEnd w:id="670"/>
      <w:r>
        <w:rPr>
          <w:rFonts w:hint="eastAsia" w:ascii="黑体" w:eastAsia="黑体"/>
          <w:sz w:val="21"/>
        </w:rPr>
        <w:t>I</w:t>
      </w:r>
      <w:r>
        <w:rPr>
          <w:rFonts w:hint="eastAsia" w:ascii="黑体" w:eastAsia="黑体"/>
          <w:spacing w:val="-12"/>
          <w:sz w:val="21"/>
        </w:rPr>
        <w:t xml:space="preserve"> 一般规定</w:t>
      </w:r>
    </w:p>
    <w:p>
      <w:pPr>
        <w:pStyle w:val="12"/>
        <w:numPr>
          <w:ilvl w:val="2"/>
          <w:numId w:val="156"/>
        </w:numPr>
        <w:tabs>
          <w:tab w:val="left" w:pos="1053"/>
        </w:tabs>
        <w:spacing w:before="0" w:after="0" w:line="269" w:lineRule="exact"/>
        <w:ind w:left="1052" w:right="0" w:hanging="841"/>
        <w:jc w:val="both"/>
        <w:rPr>
          <w:sz w:val="21"/>
        </w:rPr>
      </w:pPr>
      <w:bookmarkStart w:id="671" w:name="4.2.2通向无障碍设施的通道应能满足各类群体的通行需求。"/>
      <w:bookmarkEnd w:id="671"/>
      <w:bookmarkStart w:id="672" w:name="4.2.2通向无障碍设施的通道应能满足各类群体的通行需求。"/>
      <w:bookmarkEnd w:id="672"/>
      <w:r>
        <w:rPr>
          <w:sz w:val="21"/>
        </w:rPr>
        <w:t>通向无障碍设施的通道应能满足各类群体的通行需求。</w:t>
      </w:r>
    </w:p>
    <w:p>
      <w:pPr>
        <w:pStyle w:val="5"/>
        <w:spacing w:before="5"/>
        <w:rPr>
          <w:sz w:val="15"/>
        </w:rPr>
      </w:pPr>
    </w:p>
    <w:p>
      <w:pPr>
        <w:pStyle w:val="12"/>
        <w:numPr>
          <w:ilvl w:val="2"/>
          <w:numId w:val="156"/>
        </w:numPr>
        <w:tabs>
          <w:tab w:val="left" w:pos="1053"/>
        </w:tabs>
        <w:spacing w:before="0" w:after="0" w:line="417" w:lineRule="auto"/>
        <w:ind w:left="212" w:right="310" w:firstLine="0"/>
        <w:jc w:val="both"/>
        <w:rPr>
          <w:sz w:val="21"/>
        </w:rPr>
      </w:pPr>
      <w:bookmarkStart w:id="673" w:name="4.2.3本条要求的直径不小于1.50m的轮椅回转空间可以各种形式满足，不但包括"/>
      <w:bookmarkEnd w:id="673"/>
      <w:bookmarkStart w:id="674" w:name="4.2.3本条要求的直径不小于1.50m的轮椅回转空间可以各种形式满足，不但包括"/>
      <w:bookmarkEnd w:id="674"/>
      <w:r>
        <w:rPr>
          <w:spacing w:val="-6"/>
          <w:sz w:val="21"/>
        </w:rPr>
        <w:t xml:space="preserve">本条要求的直径不小于 </w:t>
      </w:r>
      <w:r>
        <w:rPr>
          <w:sz w:val="21"/>
        </w:rPr>
        <w:t>1.50</w:t>
      </w:r>
      <w:r>
        <w:rPr>
          <w:rFonts w:hint="eastAsia" w:ascii="仿宋" w:eastAsia="仿宋"/>
          <w:sz w:val="21"/>
        </w:rPr>
        <w:t>m</w:t>
      </w:r>
      <w:r>
        <w:rPr>
          <w:rFonts w:hint="eastAsia" w:ascii="仿宋" w:eastAsia="仿宋"/>
          <w:spacing w:val="-61"/>
          <w:sz w:val="21"/>
        </w:rPr>
        <w:t xml:space="preserve"> </w:t>
      </w:r>
      <w:r>
        <w:rPr>
          <w:spacing w:val="-2"/>
          <w:sz w:val="21"/>
        </w:rPr>
        <w:t>的轮椅回转空间可以各种形式满足，不但包括适合轮椅回转的平面</w:t>
      </w:r>
      <w:r>
        <w:rPr>
          <w:spacing w:val="-5"/>
          <w:w w:val="95"/>
          <w:sz w:val="21"/>
        </w:rPr>
        <w:t xml:space="preserve">布置，也包括利用家具、洁具下部的空间等。目前部分型号的电动轮椅的宽度有所增大，当有条件时，宜   </w:t>
      </w:r>
      <w:r>
        <w:rPr>
          <w:spacing w:val="-9"/>
          <w:sz w:val="21"/>
        </w:rPr>
        <w:t xml:space="preserve">将轮椅通行区域的净宽度做到 </w:t>
      </w:r>
      <w:r>
        <w:rPr>
          <w:sz w:val="21"/>
        </w:rPr>
        <w:t>900mm。</w:t>
      </w:r>
    </w:p>
    <w:p>
      <w:pPr>
        <w:pStyle w:val="12"/>
        <w:numPr>
          <w:ilvl w:val="2"/>
          <w:numId w:val="156"/>
        </w:numPr>
        <w:tabs>
          <w:tab w:val="left" w:pos="1053"/>
        </w:tabs>
        <w:spacing w:before="0" w:after="0" w:line="417" w:lineRule="auto"/>
        <w:ind w:left="212" w:right="312" w:firstLine="0"/>
        <w:jc w:val="both"/>
        <w:rPr>
          <w:sz w:val="21"/>
        </w:rPr>
      </w:pPr>
      <w:bookmarkStart w:id="675" w:name="4.2.4使用者跌倒时有可能阻碍门向内打开从而影响救援，故本条规定紧急情况下施救"/>
      <w:bookmarkEnd w:id="675"/>
      <w:bookmarkStart w:id="676" w:name="4.2.4使用者跌倒时有可能阻碍门向内打开从而影响救援，故本条规定紧急情况下施救"/>
      <w:bookmarkEnd w:id="676"/>
      <w:r>
        <w:rPr>
          <w:spacing w:val="-1"/>
          <w:w w:val="95"/>
          <w:sz w:val="21"/>
        </w:rPr>
        <w:t xml:space="preserve">使用者跌倒时有可能阻碍门向内打开从而影响救援，故本条规定紧急情况下施救人员可在无障碍   </w:t>
      </w:r>
      <w:r>
        <w:rPr>
          <w:spacing w:val="-1"/>
          <w:sz w:val="21"/>
        </w:rPr>
        <w:t>服务设施外面将门打开。</w:t>
      </w:r>
    </w:p>
    <w:p>
      <w:pPr>
        <w:pStyle w:val="12"/>
        <w:numPr>
          <w:ilvl w:val="2"/>
          <w:numId w:val="156"/>
        </w:numPr>
        <w:tabs>
          <w:tab w:val="left" w:pos="1053"/>
        </w:tabs>
        <w:spacing w:before="0" w:after="0" w:line="417" w:lineRule="auto"/>
        <w:ind w:left="212" w:right="312" w:firstLine="0"/>
        <w:jc w:val="both"/>
        <w:rPr>
          <w:sz w:val="21"/>
        </w:rPr>
      </w:pPr>
      <w:bookmarkStart w:id="677" w:name="4.2.5无障碍服务设施内部设置救助呼叫装置，目的是保证使用者能够在紧急状况下最"/>
      <w:bookmarkEnd w:id="677"/>
      <w:bookmarkStart w:id="678" w:name="4.2.5无障碍服务设施内部设置救助呼叫装置，目的是保证使用者能够在紧急状况下最"/>
      <w:bookmarkEnd w:id="678"/>
      <w:r>
        <w:rPr>
          <w:spacing w:val="-2"/>
          <w:w w:val="95"/>
          <w:sz w:val="21"/>
        </w:rPr>
        <w:t xml:space="preserve">无障碍服务设施内部设置救助呼叫装置，目的是保证使用者能够在紧急状况下最快速地向设施服   </w:t>
      </w:r>
      <w:r>
        <w:rPr>
          <w:spacing w:val="-2"/>
          <w:sz w:val="21"/>
        </w:rPr>
        <w:t>务中心求助。</w:t>
      </w:r>
    </w:p>
    <w:p>
      <w:pPr>
        <w:pStyle w:val="12"/>
        <w:numPr>
          <w:ilvl w:val="2"/>
          <w:numId w:val="156"/>
        </w:numPr>
        <w:tabs>
          <w:tab w:val="left" w:pos="1053"/>
        </w:tabs>
        <w:spacing w:before="0" w:after="0" w:line="417" w:lineRule="auto"/>
        <w:ind w:left="212" w:right="310" w:firstLine="0"/>
        <w:jc w:val="both"/>
        <w:rPr>
          <w:sz w:val="21"/>
        </w:rPr>
      </w:pPr>
      <w:bookmarkStart w:id="679" w:name="4.2.6无障碍卫生间、第三卫生间、公共卫生间、无障碍淋浴间、无障碍盆浴间、无障"/>
      <w:bookmarkEnd w:id="679"/>
      <w:bookmarkStart w:id="680" w:name="4.2.6无障碍卫生间、第三卫生间、公共卫生间、无障碍淋浴间、无障碍盆浴间、无障"/>
      <w:bookmarkEnd w:id="680"/>
      <w:r>
        <w:rPr>
          <w:spacing w:val="-3"/>
          <w:w w:val="95"/>
          <w:sz w:val="21"/>
        </w:rPr>
        <w:t xml:space="preserve">无障碍卫生间、第三卫生间、公共卫生间、无障碍淋浴间、无障碍盆浴间、无障碍客房及无障碍   </w:t>
      </w:r>
      <w:r>
        <w:rPr>
          <w:spacing w:val="-5"/>
          <w:w w:val="95"/>
          <w:sz w:val="21"/>
        </w:rPr>
        <w:t xml:space="preserve">住房、宿舍等无障碍服务设施的内部，墙面上布置的控制灯、空调等设备设施的开关和控制面板，在选择   </w:t>
      </w:r>
      <w:r>
        <w:rPr>
          <w:spacing w:val="-5"/>
          <w:sz w:val="21"/>
        </w:rPr>
        <w:t>产品时应优先选择通用设计的产品，高度应考虑乘轮椅者及身材矮小者的使用需要。</w:t>
      </w:r>
    </w:p>
    <w:p>
      <w:pPr>
        <w:pStyle w:val="12"/>
        <w:numPr>
          <w:ilvl w:val="2"/>
          <w:numId w:val="156"/>
        </w:numPr>
        <w:tabs>
          <w:tab w:val="left" w:pos="1053"/>
        </w:tabs>
        <w:spacing w:before="0" w:after="0" w:line="269" w:lineRule="exact"/>
        <w:ind w:left="1052" w:right="0" w:hanging="841"/>
        <w:jc w:val="both"/>
        <w:rPr>
          <w:sz w:val="21"/>
        </w:rPr>
      </w:pPr>
      <w:bookmarkStart w:id="681" w:name="4.2.7本条规定了具有内部空间的无障碍服务设施内安装的安全抓杆、多功能台、固定"/>
      <w:bookmarkEnd w:id="681"/>
      <w:bookmarkStart w:id="682" w:name="4.2.7本条规定了具有内部空间的无障碍服务设施内安装的安全抓杆、多功能台、固定"/>
      <w:bookmarkEnd w:id="682"/>
      <w:r>
        <w:rPr>
          <w:spacing w:val="-3"/>
          <w:sz w:val="21"/>
        </w:rPr>
        <w:t>本条规定了具有内部空间的无障碍服务设施内安装的安全抓杆、多功能台、固定座位、低位挂衣</w:t>
      </w:r>
    </w:p>
    <w:p>
      <w:pPr>
        <w:spacing w:after="0" w:line="269" w:lineRule="exact"/>
        <w:jc w:val="both"/>
        <w:rPr>
          <w:sz w:val="21"/>
        </w:rPr>
        <w:sectPr>
          <w:pgSz w:w="11910" w:h="16840"/>
          <w:pgMar w:top="1580" w:right="820" w:bottom="1280" w:left="920" w:header="0" w:footer="1095" w:gutter="0"/>
          <w:cols w:space="720" w:num="1"/>
        </w:sectPr>
      </w:pPr>
    </w:p>
    <w:p>
      <w:pPr>
        <w:pStyle w:val="5"/>
        <w:spacing w:before="60"/>
        <w:ind w:left="212"/>
      </w:pPr>
      <w:r>
        <w:t>钩、低位毛巾架、低位搁物架等部件的要求。</w:t>
      </w:r>
    </w:p>
    <w:p>
      <w:pPr>
        <w:pStyle w:val="5"/>
        <w:spacing w:before="6"/>
        <w:rPr>
          <w:sz w:val="15"/>
        </w:rPr>
      </w:pPr>
    </w:p>
    <w:p>
      <w:pPr>
        <w:pStyle w:val="12"/>
        <w:numPr>
          <w:ilvl w:val="0"/>
          <w:numId w:val="157"/>
        </w:numPr>
        <w:tabs>
          <w:tab w:val="left" w:pos="1053"/>
        </w:tabs>
        <w:spacing w:before="1" w:after="0" w:line="417" w:lineRule="auto"/>
        <w:ind w:left="212" w:right="310" w:firstLine="420"/>
        <w:jc w:val="both"/>
        <w:rPr>
          <w:sz w:val="21"/>
        </w:rPr>
      </w:pPr>
      <w:r>
        <w:rPr>
          <w:spacing w:val="-2"/>
          <w:w w:val="95"/>
          <w:sz w:val="21"/>
        </w:rPr>
        <w:t>安全抓杆设在无障碍坐便器、无障碍小便器、无障碍洗手</w:t>
      </w:r>
      <w:r>
        <w:rPr>
          <w:w w:val="95"/>
          <w:sz w:val="21"/>
        </w:rPr>
        <w:t>/</w:t>
      </w:r>
      <w:r>
        <w:rPr>
          <w:spacing w:val="-3"/>
          <w:w w:val="95"/>
          <w:sz w:val="21"/>
        </w:rPr>
        <w:t>面盆、无障碍淋</w:t>
      </w:r>
      <w:r>
        <w:rPr>
          <w:w w:val="95"/>
          <w:sz w:val="21"/>
        </w:rPr>
        <w:t xml:space="preserve">/盆浴间等的周围或内   </w:t>
      </w:r>
      <w:r>
        <w:rPr>
          <w:spacing w:val="-3"/>
          <w:w w:val="95"/>
          <w:sz w:val="21"/>
        </w:rPr>
        <w:t xml:space="preserve">部，是行动障碍者保持身体平衡和进行移动不可缺少的安全保护措施。其形式有很多种，一般有水平、直   </w:t>
      </w:r>
      <w:r>
        <w:rPr>
          <w:spacing w:val="-3"/>
          <w:sz w:val="21"/>
        </w:rPr>
        <w:t>立、</w:t>
      </w:r>
      <w:r>
        <w:rPr>
          <w:rFonts w:hint="eastAsia" w:ascii="仿宋" w:eastAsia="仿宋"/>
          <w:spacing w:val="-3"/>
          <w:sz w:val="21"/>
        </w:rPr>
        <w:t>L</w:t>
      </w:r>
      <w:r>
        <w:rPr>
          <w:rFonts w:hint="eastAsia" w:ascii="仿宋" w:eastAsia="仿宋"/>
          <w:spacing w:val="-53"/>
          <w:sz w:val="21"/>
        </w:rPr>
        <w:t xml:space="preserve"> </w:t>
      </w:r>
      <w:r>
        <w:rPr>
          <w:sz w:val="21"/>
        </w:rPr>
        <w:t>型等形式，以及固定、旋转、吊环等方式。</w:t>
      </w:r>
    </w:p>
    <w:p>
      <w:pPr>
        <w:pStyle w:val="12"/>
        <w:numPr>
          <w:ilvl w:val="0"/>
          <w:numId w:val="157"/>
        </w:numPr>
        <w:tabs>
          <w:tab w:val="left" w:pos="1053"/>
        </w:tabs>
        <w:spacing w:before="0" w:after="0" w:line="269" w:lineRule="exact"/>
        <w:ind w:left="1052" w:right="0" w:hanging="421"/>
        <w:jc w:val="both"/>
        <w:rPr>
          <w:sz w:val="21"/>
        </w:rPr>
      </w:pPr>
      <w:r>
        <w:rPr>
          <w:spacing w:val="-2"/>
          <w:sz w:val="21"/>
        </w:rPr>
        <w:t xml:space="preserve">多功能台宜设为折叠式，方便婴儿护理或其他身体护理。条件允许时，尺寸宜满足 </w:t>
      </w:r>
      <w:r>
        <w:rPr>
          <w:sz w:val="21"/>
        </w:rPr>
        <w:t>1</w:t>
      </w:r>
      <w:r>
        <w:rPr>
          <w:spacing w:val="-10"/>
          <w:sz w:val="21"/>
        </w:rPr>
        <w:t xml:space="preserve"> 个人平躺。</w:t>
      </w:r>
    </w:p>
    <w:p>
      <w:pPr>
        <w:pStyle w:val="5"/>
        <w:spacing w:before="6"/>
        <w:rPr>
          <w:sz w:val="15"/>
        </w:rPr>
      </w:pPr>
    </w:p>
    <w:p>
      <w:pPr>
        <w:pStyle w:val="12"/>
        <w:numPr>
          <w:ilvl w:val="2"/>
          <w:numId w:val="156"/>
        </w:numPr>
        <w:tabs>
          <w:tab w:val="left" w:pos="1053"/>
        </w:tabs>
        <w:spacing w:before="0" w:after="0" w:line="240" w:lineRule="auto"/>
        <w:ind w:left="1052" w:right="0" w:hanging="841"/>
        <w:jc w:val="both"/>
        <w:rPr>
          <w:sz w:val="21"/>
        </w:rPr>
      </w:pPr>
      <w:bookmarkStart w:id="683" w:name="4.2.8本条规定了无障碍坐便器的设计要求（如图4.2.8-1、图4.2.8-2"/>
      <w:bookmarkEnd w:id="683"/>
      <w:bookmarkStart w:id="684" w:name="4.2.8本条规定了无障碍坐便器的设计要求（如图4.2.8-1、图4.2.8-2"/>
      <w:bookmarkEnd w:id="684"/>
      <w:r>
        <w:rPr>
          <w:sz w:val="21"/>
        </w:rPr>
        <w:t>本条规定了无障碍坐便器的设计要求（</w:t>
      </w:r>
      <w:r>
        <w:rPr>
          <w:spacing w:val="-17"/>
          <w:sz w:val="21"/>
        </w:rPr>
        <w:t xml:space="preserve">如图 </w:t>
      </w:r>
      <w:r>
        <w:rPr>
          <w:sz w:val="21"/>
        </w:rPr>
        <w:t>4</w:t>
      </w:r>
      <w:r>
        <w:rPr>
          <w:rFonts w:ascii="Calibri" w:eastAsia="Calibri"/>
          <w:sz w:val="21"/>
        </w:rPr>
        <w:t>.</w:t>
      </w:r>
      <w:r>
        <w:rPr>
          <w:sz w:val="21"/>
        </w:rPr>
        <w:t>2</w:t>
      </w:r>
      <w:r>
        <w:rPr>
          <w:rFonts w:ascii="Calibri" w:eastAsia="Calibri"/>
          <w:sz w:val="21"/>
        </w:rPr>
        <w:t>.</w:t>
      </w:r>
      <w:r>
        <w:rPr>
          <w:sz w:val="21"/>
        </w:rPr>
        <w:t>8-1</w:t>
      </w:r>
      <w:r>
        <w:rPr>
          <w:spacing w:val="-17"/>
          <w:sz w:val="21"/>
        </w:rPr>
        <w:t xml:space="preserve">、图 </w:t>
      </w:r>
      <w:r>
        <w:rPr>
          <w:sz w:val="21"/>
        </w:rPr>
        <w:t>4</w:t>
      </w:r>
      <w:r>
        <w:rPr>
          <w:rFonts w:ascii="Calibri" w:eastAsia="Calibri"/>
          <w:sz w:val="21"/>
        </w:rPr>
        <w:t>.</w:t>
      </w:r>
      <w:r>
        <w:rPr>
          <w:sz w:val="21"/>
        </w:rPr>
        <w:t>2</w:t>
      </w:r>
      <w:r>
        <w:rPr>
          <w:rFonts w:ascii="Calibri" w:eastAsia="Calibri"/>
          <w:sz w:val="21"/>
        </w:rPr>
        <w:t>.</w:t>
      </w:r>
      <w:r>
        <w:rPr>
          <w:sz w:val="21"/>
        </w:rPr>
        <w:t>8-2）。</w:t>
      </w:r>
    </w:p>
    <w:p>
      <w:pPr>
        <w:pStyle w:val="5"/>
        <w:rPr>
          <w:sz w:val="11"/>
        </w:rPr>
      </w:pPr>
      <w:r>
        <w:drawing>
          <wp:anchor distT="0" distB="0" distL="0" distR="0" simplePos="0" relativeHeight="251659264" behindDoc="0" locked="0" layoutInCell="1" allowOverlap="1">
            <wp:simplePos x="0" y="0"/>
            <wp:positionH relativeFrom="page">
              <wp:posOffset>1500505</wp:posOffset>
            </wp:positionH>
            <wp:positionV relativeFrom="paragraph">
              <wp:posOffset>114300</wp:posOffset>
            </wp:positionV>
            <wp:extent cx="1657350" cy="2279650"/>
            <wp:effectExtent l="0" t="0" r="0" b="0"/>
            <wp:wrapTopAndBottom/>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9.jpeg"/>
                    <pic:cNvPicPr>
                      <a:picLocks noChangeAspect="1"/>
                    </pic:cNvPicPr>
                  </pic:nvPicPr>
                  <pic:blipFill>
                    <a:blip r:embed="rId84" cstate="print"/>
                    <a:stretch>
                      <a:fillRect/>
                    </a:stretch>
                  </pic:blipFill>
                  <pic:spPr>
                    <a:xfrm>
                      <a:off x="0" y="0"/>
                      <a:ext cx="1657552" cy="227990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4012565</wp:posOffset>
            </wp:positionH>
            <wp:positionV relativeFrom="paragraph">
              <wp:posOffset>156210</wp:posOffset>
            </wp:positionV>
            <wp:extent cx="2616835" cy="2192020"/>
            <wp:effectExtent l="0" t="0" r="0" b="0"/>
            <wp:wrapTopAndBottom/>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0.jpeg"/>
                    <pic:cNvPicPr>
                      <a:picLocks noChangeAspect="1"/>
                    </pic:cNvPicPr>
                  </pic:nvPicPr>
                  <pic:blipFill>
                    <a:blip r:embed="rId85" cstate="print"/>
                    <a:stretch>
                      <a:fillRect/>
                    </a:stretch>
                  </pic:blipFill>
                  <pic:spPr>
                    <a:xfrm>
                      <a:off x="0" y="0"/>
                      <a:ext cx="2616687" cy="2191893"/>
                    </a:xfrm>
                    <a:prstGeom prst="rect">
                      <a:avLst/>
                    </a:prstGeom>
                  </pic:spPr>
                </pic:pic>
              </a:graphicData>
            </a:graphic>
          </wp:anchor>
        </w:drawing>
      </w:r>
    </w:p>
    <w:p>
      <w:pPr>
        <w:pStyle w:val="5"/>
        <w:tabs>
          <w:tab w:val="left" w:pos="5631"/>
        </w:tabs>
        <w:spacing w:before="192"/>
        <w:ind w:left="836"/>
      </w:pPr>
      <w:r>
        <w:t>图</w:t>
      </w:r>
      <w:r>
        <w:rPr>
          <w:spacing w:val="-53"/>
        </w:rPr>
        <w:t xml:space="preserve"> </w:t>
      </w:r>
      <w:r>
        <w:t>4.2.8-1</w:t>
      </w:r>
      <w:r>
        <w:rPr>
          <w:spacing w:val="-56"/>
        </w:rPr>
        <w:t xml:space="preserve"> </w:t>
      </w:r>
      <w:r>
        <w:t>无障碍坐便器正立面示意图</w:t>
      </w:r>
      <w:r>
        <w:tab/>
      </w:r>
      <w:r>
        <w:t>图</w:t>
      </w:r>
      <w:r>
        <w:rPr>
          <w:spacing w:val="-53"/>
        </w:rPr>
        <w:t xml:space="preserve"> </w:t>
      </w:r>
      <w:r>
        <w:t>4.2.8-2</w:t>
      </w:r>
      <w:r>
        <w:rPr>
          <w:spacing w:val="-2"/>
        </w:rPr>
        <w:t xml:space="preserve"> </w:t>
      </w:r>
      <w:r>
        <w:t>无障碍坐便器侧立面示意图</w:t>
      </w:r>
    </w:p>
    <w:p>
      <w:pPr>
        <w:pStyle w:val="5"/>
        <w:spacing w:before="5"/>
        <w:rPr>
          <w:sz w:val="19"/>
        </w:rPr>
      </w:pPr>
    </w:p>
    <w:p>
      <w:pPr>
        <w:pStyle w:val="12"/>
        <w:numPr>
          <w:ilvl w:val="3"/>
          <w:numId w:val="156"/>
        </w:numPr>
        <w:tabs>
          <w:tab w:val="left" w:pos="1052"/>
          <w:tab w:val="left" w:pos="1053"/>
        </w:tabs>
        <w:spacing w:before="1" w:after="0" w:line="417" w:lineRule="auto"/>
        <w:ind w:left="212" w:right="103" w:firstLine="420"/>
        <w:jc w:val="left"/>
        <w:rPr>
          <w:sz w:val="21"/>
        </w:rPr>
      </w:pPr>
      <w:r>
        <w:rPr>
          <w:spacing w:val="-2"/>
          <w:w w:val="95"/>
          <w:sz w:val="21"/>
        </w:rPr>
        <w:t xml:space="preserve">在坐便器两侧安装安全抓杆，供乘轮椅者从轮椅上转移到坐便器上以及拐杖使用者在起立时使用。   </w:t>
      </w:r>
      <w:r>
        <w:rPr>
          <w:spacing w:val="-6"/>
          <w:sz w:val="21"/>
        </w:rPr>
        <w:t>悬臂可转动式抓杆垂直旋转 90°，在使用前可将抓杆转到贴近墙面上，不占空间，便于乘轮椅者从轮椅上转换到坐便器上。</w:t>
      </w:r>
      <w:r>
        <w:rPr>
          <w:rFonts w:hint="eastAsia" w:ascii="仿宋" w:hAnsi="仿宋" w:eastAsia="仿宋"/>
          <w:spacing w:val="-6"/>
          <w:sz w:val="21"/>
        </w:rPr>
        <w:t>L</w:t>
      </w:r>
      <w:r>
        <w:rPr>
          <w:rFonts w:hint="eastAsia" w:ascii="仿宋" w:hAnsi="仿宋" w:eastAsia="仿宋"/>
          <w:spacing w:val="-14"/>
          <w:sz w:val="21"/>
        </w:rPr>
        <w:t xml:space="preserve"> </w:t>
      </w:r>
      <w:r>
        <w:rPr>
          <w:sz w:val="21"/>
        </w:rPr>
        <w:t>型抓杆的竖向部分一般为与地面垂直，也可根据使用要求设施成非垂直的角度，位置在坐便器前端，便于使用者借助其拉起身体。</w:t>
      </w:r>
    </w:p>
    <w:p>
      <w:pPr>
        <w:pStyle w:val="12"/>
        <w:numPr>
          <w:ilvl w:val="3"/>
          <w:numId w:val="156"/>
        </w:numPr>
        <w:tabs>
          <w:tab w:val="left" w:pos="1052"/>
          <w:tab w:val="left" w:pos="1053"/>
        </w:tabs>
        <w:spacing w:before="0" w:after="0" w:line="417" w:lineRule="auto"/>
        <w:ind w:left="212" w:right="312" w:firstLine="420"/>
        <w:jc w:val="left"/>
        <w:rPr>
          <w:sz w:val="21"/>
        </w:rPr>
      </w:pPr>
      <w:r>
        <w:rPr>
          <w:spacing w:val="-2"/>
          <w:w w:val="95"/>
          <w:sz w:val="21"/>
        </w:rPr>
        <w:t xml:space="preserve">易于触及的位置主要是考虑到乘轮椅者、老年人的使用，操作方式与操作力度的要求主要考虑到   </w:t>
      </w:r>
      <w:r>
        <w:rPr>
          <w:spacing w:val="-2"/>
          <w:sz w:val="21"/>
        </w:rPr>
        <w:t>上肢力量较差人群的使用。</w:t>
      </w:r>
    </w:p>
    <w:p>
      <w:pPr>
        <w:pStyle w:val="12"/>
        <w:numPr>
          <w:ilvl w:val="3"/>
          <w:numId w:val="156"/>
        </w:numPr>
        <w:tabs>
          <w:tab w:val="left" w:pos="1099"/>
        </w:tabs>
        <w:spacing w:before="0" w:after="0" w:line="417" w:lineRule="auto"/>
        <w:ind w:left="212" w:right="310" w:firstLine="420"/>
        <w:jc w:val="both"/>
        <w:rPr>
          <w:sz w:val="21"/>
        </w:rPr>
      </w:pPr>
      <w:r>
        <w:rPr>
          <w:spacing w:val="14"/>
          <w:w w:val="95"/>
          <w:sz w:val="21"/>
        </w:rPr>
        <w:t>取纸器的位置要求主要是考虑到弯腰、转身不方便的人士的使用。《无障碍设计规范》</w:t>
      </w:r>
      <w:r>
        <w:rPr>
          <w:rFonts w:hint="eastAsia" w:ascii="仿宋" w:hAnsi="仿宋" w:eastAsia="仿宋"/>
          <w:w w:val="95"/>
          <w:sz w:val="21"/>
        </w:rPr>
        <w:t xml:space="preserve">GB </w:t>
      </w:r>
      <w:r>
        <w:rPr>
          <w:sz w:val="21"/>
        </w:rPr>
        <w:t>50763-2012</w:t>
      </w:r>
      <w:r>
        <w:rPr>
          <w:spacing w:val="-35"/>
          <w:sz w:val="21"/>
        </w:rPr>
        <w:t xml:space="preserve"> 第 </w:t>
      </w:r>
      <w:r>
        <w:rPr>
          <w:sz w:val="21"/>
        </w:rPr>
        <w:t>3.9.4</w:t>
      </w:r>
      <w:r>
        <w:rPr>
          <w:spacing w:val="-25"/>
          <w:sz w:val="21"/>
        </w:rPr>
        <w:t xml:space="preserve"> 条第 </w:t>
      </w:r>
      <w:r>
        <w:rPr>
          <w:sz w:val="21"/>
        </w:rPr>
        <w:t>4</w:t>
      </w:r>
      <w:r>
        <w:rPr>
          <w:spacing w:val="-8"/>
          <w:sz w:val="21"/>
        </w:rPr>
        <w:t xml:space="preserve"> 款“取纸器应设在坐便器的侧前方，高度为 </w:t>
      </w:r>
      <w:r>
        <w:rPr>
          <w:sz w:val="21"/>
        </w:rPr>
        <w:t>400</w:t>
      </w:r>
      <w:r>
        <w:rPr>
          <w:rFonts w:hint="eastAsia" w:ascii="仿宋" w:hAnsi="仿宋" w:eastAsia="仿宋"/>
          <w:sz w:val="21"/>
        </w:rPr>
        <w:t>mm</w:t>
      </w:r>
      <w:r>
        <w:rPr>
          <w:sz w:val="21"/>
        </w:rPr>
        <w:t>～500</w:t>
      </w:r>
      <w:r>
        <w:rPr>
          <w:rFonts w:hint="eastAsia" w:ascii="仿宋" w:hAnsi="仿宋" w:eastAsia="仿宋"/>
          <w:sz w:val="21"/>
        </w:rPr>
        <w:t>mm</w:t>
      </w:r>
      <w:r>
        <w:rPr>
          <w:sz w:val="21"/>
        </w:rPr>
        <w:t>。”实际使用反馈</w:t>
      </w:r>
      <w:r>
        <w:rPr>
          <w:spacing w:val="-2"/>
          <w:w w:val="95"/>
          <w:sz w:val="21"/>
        </w:rPr>
        <w:t xml:space="preserve">下拉式取纸器若安装高度过低，不便于坐便器上的使用者取纸，因此本条规定取纸器高度距坐便器的上沿   </w:t>
      </w:r>
      <w:r>
        <w:rPr>
          <w:spacing w:val="-19"/>
          <w:sz w:val="21"/>
        </w:rPr>
        <w:t xml:space="preserve">应为 </w:t>
      </w:r>
      <w:r>
        <w:rPr>
          <w:sz w:val="21"/>
        </w:rPr>
        <w:t>150</w:t>
      </w:r>
      <w:r>
        <w:rPr>
          <w:rFonts w:hint="eastAsia" w:ascii="仿宋" w:hAnsi="仿宋" w:eastAsia="仿宋"/>
          <w:sz w:val="21"/>
        </w:rPr>
        <w:t>mm</w:t>
      </w:r>
      <w:r>
        <w:rPr>
          <w:sz w:val="21"/>
        </w:rPr>
        <w:t>～450</w:t>
      </w:r>
      <w:r>
        <w:rPr>
          <w:rFonts w:hint="eastAsia" w:ascii="仿宋" w:hAnsi="仿宋" w:eastAsia="仿宋"/>
          <w:sz w:val="21"/>
        </w:rPr>
        <w:t>mm</w:t>
      </w:r>
      <w:r>
        <w:rPr>
          <w:sz w:val="21"/>
        </w:rPr>
        <w:t>。</w:t>
      </w:r>
    </w:p>
    <w:p>
      <w:pPr>
        <w:pStyle w:val="12"/>
        <w:numPr>
          <w:ilvl w:val="3"/>
          <w:numId w:val="156"/>
        </w:numPr>
        <w:tabs>
          <w:tab w:val="left" w:pos="1053"/>
        </w:tabs>
        <w:spacing w:before="0" w:after="0" w:line="417" w:lineRule="auto"/>
        <w:ind w:left="212" w:right="312" w:firstLine="420"/>
        <w:jc w:val="both"/>
        <w:rPr>
          <w:sz w:val="21"/>
        </w:rPr>
      </w:pPr>
      <w:r>
        <w:rPr>
          <w:spacing w:val="-2"/>
          <w:w w:val="95"/>
          <w:sz w:val="21"/>
        </w:rPr>
        <w:t xml:space="preserve">本款强调在坐便器附近设置求助呼叫按钮，方便在坐便器上和意外倒地的人最快速地向设施服务   </w:t>
      </w:r>
      <w:r>
        <w:rPr>
          <w:spacing w:val="-2"/>
          <w:sz w:val="21"/>
        </w:rPr>
        <w:t>中心求助。</w:t>
      </w:r>
    </w:p>
    <w:p>
      <w:pPr>
        <w:pStyle w:val="12"/>
        <w:numPr>
          <w:ilvl w:val="2"/>
          <w:numId w:val="156"/>
        </w:numPr>
        <w:tabs>
          <w:tab w:val="left" w:pos="1053"/>
        </w:tabs>
        <w:spacing w:before="0" w:after="0" w:line="417" w:lineRule="auto"/>
        <w:ind w:left="212" w:right="315" w:firstLine="0"/>
        <w:jc w:val="both"/>
        <w:rPr>
          <w:sz w:val="21"/>
        </w:rPr>
      </w:pPr>
      <w:bookmarkStart w:id="685" w:name="4.2.9低位小便器方便乘轮椅者、身材矮小者等人群的使用，尤其落地式小便池为包括"/>
      <w:bookmarkEnd w:id="685"/>
      <w:bookmarkStart w:id="686" w:name="4.2.9低位小便器方便乘轮椅者、身材矮小者等人群的使用，尤其落地式小便池为包括"/>
      <w:bookmarkEnd w:id="686"/>
      <w:r>
        <w:rPr>
          <w:spacing w:val="-2"/>
          <w:w w:val="95"/>
          <w:sz w:val="21"/>
        </w:rPr>
        <w:t xml:space="preserve">低位小便器方便乘轮椅者、身材矮小者等人群的使用，尤其落地式小便池为包括身材矮小者在内   </w:t>
      </w:r>
      <w:r>
        <w:rPr>
          <w:spacing w:val="-4"/>
          <w:w w:val="95"/>
          <w:sz w:val="21"/>
        </w:rPr>
        <w:t>的各种体型的使用者提供更高的便利性。低位小便器的两侧和上部设置安全抓杆，主要是供使用者将胸部</w:t>
      </w:r>
    </w:p>
    <w:p>
      <w:pPr>
        <w:spacing w:after="0" w:line="417" w:lineRule="auto"/>
        <w:jc w:val="both"/>
        <w:rPr>
          <w:sz w:val="21"/>
        </w:rPr>
        <w:sectPr>
          <w:pgSz w:w="11910" w:h="16840"/>
          <w:pgMar w:top="1580" w:right="820" w:bottom="1280" w:left="920" w:header="0" w:footer="1095" w:gutter="0"/>
          <w:cols w:space="720" w:num="1"/>
        </w:sectPr>
      </w:pPr>
    </w:p>
    <w:p>
      <w:pPr>
        <w:pStyle w:val="5"/>
        <w:spacing w:before="60"/>
        <w:ind w:left="212"/>
      </w:pPr>
      <w:r>
        <w:t>靠住，使重心更为稳定（如图 4</w:t>
      </w:r>
      <w:r>
        <w:rPr>
          <w:rFonts w:ascii="Calibri" w:eastAsia="Calibri"/>
        </w:rPr>
        <w:t>.</w:t>
      </w:r>
      <w:r>
        <w:t>2</w:t>
      </w:r>
      <w:r>
        <w:rPr>
          <w:rFonts w:ascii="Calibri" w:eastAsia="Calibri"/>
        </w:rPr>
        <w:t>.</w:t>
      </w:r>
      <w:r>
        <w:t>9-1、图 4</w:t>
      </w:r>
      <w:r>
        <w:rPr>
          <w:rFonts w:ascii="Calibri" w:eastAsia="Calibri"/>
        </w:rPr>
        <w:t>.</w:t>
      </w:r>
      <w:r>
        <w:t>2</w:t>
      </w:r>
      <w:r>
        <w:rPr>
          <w:rFonts w:ascii="Calibri" w:eastAsia="Calibri"/>
        </w:rPr>
        <w:t>.</w:t>
      </w:r>
      <w:r>
        <w:t>9-2）。</w:t>
      </w:r>
    </w:p>
    <w:p>
      <w:pPr>
        <w:pStyle w:val="5"/>
        <w:spacing w:before="2"/>
        <w:rPr>
          <w:sz w:val="13"/>
        </w:rPr>
      </w:pPr>
      <w:r>
        <w:drawing>
          <wp:anchor distT="0" distB="0" distL="0" distR="0" simplePos="0" relativeHeight="251659264" behindDoc="0" locked="0" layoutInCell="1" allowOverlap="1">
            <wp:simplePos x="0" y="0"/>
            <wp:positionH relativeFrom="page">
              <wp:posOffset>1322070</wp:posOffset>
            </wp:positionH>
            <wp:positionV relativeFrom="paragraph">
              <wp:posOffset>321310</wp:posOffset>
            </wp:positionV>
            <wp:extent cx="2037080" cy="1261745"/>
            <wp:effectExtent l="0" t="0" r="0" b="0"/>
            <wp:wrapTopAndBottom/>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1.jpeg"/>
                    <pic:cNvPicPr>
                      <a:picLocks noChangeAspect="1"/>
                    </pic:cNvPicPr>
                  </pic:nvPicPr>
                  <pic:blipFill>
                    <a:blip r:embed="rId86" cstate="print"/>
                    <a:stretch>
                      <a:fillRect/>
                    </a:stretch>
                  </pic:blipFill>
                  <pic:spPr>
                    <a:xfrm>
                      <a:off x="0" y="0"/>
                      <a:ext cx="2037058" cy="1261491"/>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4348480</wp:posOffset>
            </wp:positionH>
            <wp:positionV relativeFrom="paragraph">
              <wp:posOffset>131445</wp:posOffset>
            </wp:positionV>
            <wp:extent cx="2004060" cy="1655445"/>
            <wp:effectExtent l="0" t="0" r="0" b="0"/>
            <wp:wrapTopAndBottom/>
            <wp:docPr id="1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62.jpeg"/>
                    <pic:cNvPicPr>
                      <a:picLocks noChangeAspect="1"/>
                    </pic:cNvPicPr>
                  </pic:nvPicPr>
                  <pic:blipFill>
                    <a:blip r:embed="rId87" cstate="print"/>
                    <a:stretch>
                      <a:fillRect/>
                    </a:stretch>
                  </pic:blipFill>
                  <pic:spPr>
                    <a:xfrm>
                      <a:off x="0" y="0"/>
                      <a:ext cx="2003908" cy="1655445"/>
                    </a:xfrm>
                    <a:prstGeom prst="rect">
                      <a:avLst/>
                    </a:prstGeom>
                  </pic:spPr>
                </pic:pic>
              </a:graphicData>
            </a:graphic>
          </wp:anchor>
        </w:drawing>
      </w:r>
    </w:p>
    <w:p>
      <w:pPr>
        <w:pStyle w:val="5"/>
        <w:spacing w:before="6"/>
        <w:rPr>
          <w:sz w:val="16"/>
        </w:rPr>
      </w:pPr>
    </w:p>
    <w:p>
      <w:pPr>
        <w:pStyle w:val="5"/>
        <w:tabs>
          <w:tab w:val="left" w:pos="5684"/>
        </w:tabs>
        <w:ind w:left="760"/>
      </w:pPr>
      <w:r>
        <w:t>图</w:t>
      </w:r>
      <w:r>
        <w:rPr>
          <w:spacing w:val="-55"/>
        </w:rPr>
        <w:t xml:space="preserve"> </w:t>
      </w:r>
      <w:r>
        <w:t>4.2.9-1</w:t>
      </w:r>
      <w:r>
        <w:rPr>
          <w:spacing w:val="-5"/>
        </w:rPr>
        <w:t xml:space="preserve"> </w:t>
      </w:r>
      <w:r>
        <w:t>无障碍小便器正立面示意图</w:t>
      </w:r>
      <w:r>
        <w:tab/>
      </w:r>
      <w:r>
        <w:t>图</w:t>
      </w:r>
      <w:r>
        <w:rPr>
          <w:spacing w:val="-53"/>
        </w:rPr>
        <w:t xml:space="preserve"> </w:t>
      </w:r>
      <w:r>
        <w:t>4.2.9-2</w:t>
      </w:r>
      <w:r>
        <w:rPr>
          <w:spacing w:val="-2"/>
        </w:rPr>
        <w:t xml:space="preserve"> </w:t>
      </w:r>
      <w:r>
        <w:t>无障碍小便器侧立面示意图</w:t>
      </w:r>
    </w:p>
    <w:p>
      <w:pPr>
        <w:pStyle w:val="5"/>
        <w:spacing w:before="6"/>
        <w:rPr>
          <w:sz w:val="19"/>
        </w:rPr>
      </w:pPr>
    </w:p>
    <w:p>
      <w:pPr>
        <w:pStyle w:val="12"/>
        <w:numPr>
          <w:ilvl w:val="2"/>
          <w:numId w:val="156"/>
        </w:numPr>
        <w:tabs>
          <w:tab w:val="left" w:pos="1053"/>
        </w:tabs>
        <w:spacing w:before="0" w:after="0" w:line="240" w:lineRule="auto"/>
        <w:ind w:left="1052" w:right="0" w:hanging="841"/>
        <w:jc w:val="both"/>
        <w:rPr>
          <w:sz w:val="21"/>
        </w:rPr>
      </w:pPr>
      <w:bookmarkStart w:id="687" w:name="4.2.10本条规定了无障碍洗手/面盆的设计要求。"/>
      <w:bookmarkEnd w:id="687"/>
      <w:bookmarkStart w:id="688" w:name="4.2.10本条规定了无障碍洗手/面盆的设计要求。"/>
      <w:bookmarkEnd w:id="688"/>
      <w:r>
        <w:rPr>
          <w:sz w:val="21"/>
        </w:rPr>
        <w:t>本条规定了无障碍洗手/面盆的设计要求。</w:t>
      </w:r>
    </w:p>
    <w:p>
      <w:pPr>
        <w:pStyle w:val="5"/>
        <w:spacing w:before="6"/>
        <w:rPr>
          <w:sz w:val="15"/>
        </w:rPr>
      </w:pPr>
    </w:p>
    <w:p>
      <w:pPr>
        <w:pStyle w:val="12"/>
        <w:numPr>
          <w:ilvl w:val="0"/>
          <w:numId w:val="158"/>
        </w:numPr>
        <w:tabs>
          <w:tab w:val="left" w:pos="1053"/>
        </w:tabs>
        <w:spacing w:before="1" w:after="0" w:line="417" w:lineRule="auto"/>
        <w:ind w:left="212" w:right="315" w:firstLine="420"/>
        <w:jc w:val="both"/>
        <w:rPr>
          <w:sz w:val="21"/>
        </w:rPr>
      </w:pPr>
      <w:r>
        <w:rPr>
          <w:spacing w:val="-2"/>
          <w:w w:val="95"/>
          <w:sz w:val="21"/>
        </w:rPr>
        <w:t xml:space="preserve">考虑到乘轮椅者在保持坐姿时可以触摸到的高度和最远点，台面的设置不应过高，出水龙头不应   </w:t>
      </w:r>
      <w:r>
        <w:rPr>
          <w:spacing w:val="-2"/>
          <w:sz w:val="21"/>
        </w:rPr>
        <w:t>距离边缘过远，台面下设置可供乘轮椅者容膝容脚的空间，以保证乘轮椅者能够在坐姿时洗手和用水。</w:t>
      </w:r>
    </w:p>
    <w:p>
      <w:pPr>
        <w:pStyle w:val="12"/>
        <w:numPr>
          <w:ilvl w:val="0"/>
          <w:numId w:val="158"/>
        </w:numPr>
        <w:tabs>
          <w:tab w:val="left" w:pos="1053"/>
        </w:tabs>
        <w:spacing w:before="0" w:after="0" w:line="417" w:lineRule="auto"/>
        <w:ind w:left="212" w:right="310" w:firstLine="420"/>
        <w:jc w:val="both"/>
        <w:rPr>
          <w:sz w:val="21"/>
        </w:rPr>
      </w:pPr>
      <w:r>
        <w:rPr>
          <w:spacing w:val="-9"/>
          <w:w w:val="95"/>
          <w:sz w:val="21"/>
        </w:rPr>
        <w:t xml:space="preserve">在立式无障碍洗手盆两侧设置安全抓杆，有助于乘轮椅者借力移动至适当位置洗手，本款参考《无   </w:t>
      </w:r>
      <w:r>
        <w:rPr>
          <w:spacing w:val="-1"/>
          <w:sz w:val="21"/>
        </w:rPr>
        <w:t>障碍设计图集》</w:t>
      </w:r>
      <w:r>
        <w:rPr>
          <w:sz w:val="21"/>
        </w:rPr>
        <w:t>12</w:t>
      </w:r>
      <w:r>
        <w:rPr>
          <w:rFonts w:hint="eastAsia" w:ascii="仿宋" w:hAnsi="仿宋" w:eastAsia="仿宋"/>
          <w:sz w:val="21"/>
        </w:rPr>
        <w:t>J</w:t>
      </w:r>
      <w:r>
        <w:rPr>
          <w:sz w:val="21"/>
        </w:rPr>
        <w:t>926</w:t>
      </w:r>
      <w:r>
        <w:rPr>
          <w:spacing w:val="-17"/>
          <w:sz w:val="21"/>
        </w:rPr>
        <w:t xml:space="preserve"> 中“</w:t>
      </w:r>
      <w:r>
        <w:rPr>
          <w:sz w:val="21"/>
        </w:rPr>
        <w:t>J</w:t>
      </w:r>
      <w:r>
        <w:rPr>
          <w:spacing w:val="-5"/>
          <w:sz w:val="21"/>
        </w:rPr>
        <w:t xml:space="preserve"> 无障碍厕所 公共厕所”的无障碍立式洗脸盆图示，对立式无障碍洗手盆两侧的安全抓杆做出规定（</w:t>
      </w:r>
      <w:r>
        <w:rPr>
          <w:spacing w:val="-21"/>
          <w:sz w:val="21"/>
        </w:rPr>
        <w:t xml:space="preserve">如图 </w:t>
      </w:r>
      <w:r>
        <w:rPr>
          <w:sz w:val="21"/>
        </w:rPr>
        <w:t>4.2.10-1</w:t>
      </w:r>
      <w:r>
        <w:rPr>
          <w:spacing w:val="-17"/>
          <w:sz w:val="21"/>
        </w:rPr>
        <w:t xml:space="preserve">、图 </w:t>
      </w:r>
      <w:r>
        <w:rPr>
          <w:sz w:val="21"/>
        </w:rPr>
        <w:t>4.2.10-2）。</w:t>
      </w:r>
    </w:p>
    <w:p>
      <w:pPr>
        <w:pStyle w:val="5"/>
        <w:spacing w:before="12"/>
        <w:rPr>
          <w:sz w:val="23"/>
        </w:rPr>
      </w:pPr>
      <w:r>
        <w:drawing>
          <wp:anchor distT="0" distB="0" distL="0" distR="0" simplePos="0" relativeHeight="251659264" behindDoc="0" locked="0" layoutInCell="1" allowOverlap="1">
            <wp:simplePos x="0" y="0"/>
            <wp:positionH relativeFrom="page">
              <wp:posOffset>1305560</wp:posOffset>
            </wp:positionH>
            <wp:positionV relativeFrom="paragraph">
              <wp:posOffset>219075</wp:posOffset>
            </wp:positionV>
            <wp:extent cx="2148840" cy="1810385"/>
            <wp:effectExtent l="0" t="0" r="0" b="0"/>
            <wp:wrapTopAndBottom/>
            <wp:docPr id="1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3.jpeg"/>
                    <pic:cNvPicPr>
                      <a:picLocks noChangeAspect="1"/>
                    </pic:cNvPicPr>
                  </pic:nvPicPr>
                  <pic:blipFill>
                    <a:blip r:embed="rId88" cstate="print"/>
                    <a:stretch>
                      <a:fillRect/>
                    </a:stretch>
                  </pic:blipFill>
                  <pic:spPr>
                    <a:xfrm>
                      <a:off x="0" y="0"/>
                      <a:ext cx="2148876" cy="181051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4380230</wp:posOffset>
            </wp:positionH>
            <wp:positionV relativeFrom="paragraph">
              <wp:posOffset>252730</wp:posOffset>
            </wp:positionV>
            <wp:extent cx="1851025" cy="1776730"/>
            <wp:effectExtent l="0" t="0" r="0" b="0"/>
            <wp:wrapTopAndBottom/>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4.jpeg"/>
                    <pic:cNvPicPr>
                      <a:picLocks noChangeAspect="1"/>
                    </pic:cNvPicPr>
                  </pic:nvPicPr>
                  <pic:blipFill>
                    <a:blip r:embed="rId89" cstate="print"/>
                    <a:stretch>
                      <a:fillRect/>
                    </a:stretch>
                  </pic:blipFill>
                  <pic:spPr>
                    <a:xfrm>
                      <a:off x="0" y="0"/>
                      <a:ext cx="1851067" cy="1776984"/>
                    </a:xfrm>
                    <a:prstGeom prst="rect">
                      <a:avLst/>
                    </a:prstGeom>
                  </pic:spPr>
                </pic:pic>
              </a:graphicData>
            </a:graphic>
          </wp:anchor>
        </w:drawing>
      </w:r>
    </w:p>
    <w:p>
      <w:pPr>
        <w:pStyle w:val="5"/>
        <w:spacing w:before="6"/>
        <w:rPr>
          <w:sz w:val="14"/>
        </w:rPr>
      </w:pPr>
    </w:p>
    <w:p>
      <w:pPr>
        <w:pStyle w:val="5"/>
        <w:tabs>
          <w:tab w:val="left" w:pos="5367"/>
        </w:tabs>
        <w:spacing w:before="70"/>
        <w:ind w:left="548"/>
      </w:pPr>
      <w:r>
        <w:t>图</w:t>
      </w:r>
      <w:r>
        <w:rPr>
          <w:spacing w:val="-53"/>
        </w:rPr>
        <w:t xml:space="preserve"> </w:t>
      </w:r>
      <w:r>
        <w:t>4.2.10-1</w:t>
      </w:r>
      <w:r>
        <w:rPr>
          <w:spacing w:val="-6"/>
        </w:rPr>
        <w:t xml:space="preserve"> </w:t>
      </w:r>
      <w:r>
        <w:t>立式无障碍洗手盆正立面示意图</w:t>
      </w:r>
      <w:r>
        <w:tab/>
      </w:r>
      <w:r>
        <w:t>图</w:t>
      </w:r>
      <w:r>
        <w:rPr>
          <w:spacing w:val="-50"/>
        </w:rPr>
        <w:t xml:space="preserve"> </w:t>
      </w:r>
      <w:r>
        <w:t>4.2.10-2</w:t>
      </w:r>
      <w:r>
        <w:rPr>
          <w:spacing w:val="-3"/>
        </w:rPr>
        <w:t xml:space="preserve"> </w:t>
      </w:r>
      <w:r>
        <w:t>立式无障碍洗手盆侧立面示意图</w:t>
      </w:r>
    </w:p>
    <w:p>
      <w:pPr>
        <w:pStyle w:val="5"/>
        <w:spacing w:before="3"/>
        <w:rPr>
          <w:sz w:val="19"/>
        </w:rPr>
      </w:pPr>
    </w:p>
    <w:p>
      <w:pPr>
        <w:pStyle w:val="12"/>
        <w:numPr>
          <w:ilvl w:val="0"/>
          <w:numId w:val="158"/>
        </w:numPr>
        <w:tabs>
          <w:tab w:val="left" w:pos="1052"/>
          <w:tab w:val="left" w:pos="1053"/>
        </w:tabs>
        <w:spacing w:before="0" w:after="0" w:line="417" w:lineRule="auto"/>
        <w:ind w:left="212" w:right="315" w:firstLine="420"/>
        <w:jc w:val="left"/>
        <w:rPr>
          <w:sz w:val="21"/>
        </w:rPr>
      </w:pPr>
      <w:r>
        <w:rPr>
          <w:spacing w:val="-2"/>
          <w:w w:val="95"/>
          <w:sz w:val="21"/>
        </w:rPr>
        <w:t xml:space="preserve">乘轮椅者在使用面盆后，一般需倒退移动以远离面盆，设置镜子可协助乘轮椅者观察其背后的情   </w:t>
      </w:r>
      <w:r>
        <w:rPr>
          <w:spacing w:val="-2"/>
          <w:sz w:val="21"/>
        </w:rPr>
        <w:t>况，避免在倒退时撞到他人。</w:t>
      </w:r>
    </w:p>
    <w:p>
      <w:pPr>
        <w:pStyle w:val="12"/>
        <w:numPr>
          <w:ilvl w:val="0"/>
          <w:numId w:val="158"/>
        </w:numPr>
        <w:tabs>
          <w:tab w:val="left" w:pos="1052"/>
          <w:tab w:val="left" w:pos="1053"/>
        </w:tabs>
        <w:spacing w:before="0" w:after="0" w:line="269" w:lineRule="exact"/>
        <w:ind w:left="1052" w:right="0" w:hanging="421"/>
        <w:jc w:val="left"/>
        <w:rPr>
          <w:sz w:val="21"/>
        </w:rPr>
      </w:pPr>
      <w:r>
        <w:rPr>
          <w:sz w:val="21"/>
        </w:rPr>
        <w:t>考虑到部分肢体不便者手部力量有限，杠杆式或感应式水龙头更便于其使用。</w:t>
      </w:r>
    </w:p>
    <w:p>
      <w:pPr>
        <w:pStyle w:val="5"/>
        <w:spacing w:before="7"/>
        <w:rPr>
          <w:sz w:val="15"/>
        </w:rPr>
      </w:pPr>
    </w:p>
    <w:p>
      <w:pPr>
        <w:pStyle w:val="12"/>
        <w:numPr>
          <w:ilvl w:val="2"/>
          <w:numId w:val="156"/>
        </w:numPr>
        <w:tabs>
          <w:tab w:val="left" w:pos="1052"/>
          <w:tab w:val="left" w:pos="1053"/>
        </w:tabs>
        <w:spacing w:before="0" w:after="0" w:line="417" w:lineRule="auto"/>
        <w:ind w:left="212" w:right="312" w:firstLine="0"/>
        <w:jc w:val="left"/>
        <w:rPr>
          <w:sz w:val="21"/>
        </w:rPr>
      </w:pPr>
      <w:bookmarkStart w:id="689" w:name="4.2.11在我国现行无障碍标准《无障碍设计规范》GB 50763-2012中没"/>
      <w:bookmarkEnd w:id="689"/>
      <w:bookmarkStart w:id="690" w:name="4.2.11在我国现行无障碍标准《无障碍设计规范》GB 50763-2012中没"/>
      <w:bookmarkEnd w:id="690"/>
      <w:r>
        <w:rPr>
          <w:sz w:val="21"/>
        </w:rPr>
        <w:t>在我国现行无障碍标准《无障碍设计规范》</w:t>
      </w:r>
      <w:r>
        <w:rPr>
          <w:rFonts w:hint="eastAsia" w:ascii="仿宋" w:eastAsia="仿宋"/>
          <w:sz w:val="21"/>
        </w:rPr>
        <w:t>GB</w:t>
      </w:r>
      <w:r>
        <w:rPr>
          <w:rFonts w:hint="eastAsia" w:ascii="仿宋" w:eastAsia="仿宋"/>
          <w:spacing w:val="10"/>
          <w:sz w:val="21"/>
        </w:rPr>
        <w:t xml:space="preserve"> </w:t>
      </w:r>
      <w:r>
        <w:rPr>
          <w:sz w:val="21"/>
        </w:rPr>
        <w:t>50763-2012</w:t>
      </w:r>
      <w:r>
        <w:rPr>
          <w:spacing w:val="-7"/>
          <w:sz w:val="21"/>
        </w:rPr>
        <w:t xml:space="preserve"> 中没有供儿童使用的服务设施相关要求，根据实际母婴护理及儿童需求，本标准增加了供儿童使用的服务设施设计要求。</w:t>
      </w:r>
    </w:p>
    <w:p>
      <w:pPr>
        <w:pStyle w:val="12"/>
        <w:numPr>
          <w:ilvl w:val="0"/>
          <w:numId w:val="159"/>
        </w:numPr>
        <w:tabs>
          <w:tab w:val="left" w:pos="1055"/>
          <w:tab w:val="left" w:pos="1056"/>
        </w:tabs>
        <w:spacing w:before="0" w:after="0" w:line="269" w:lineRule="exact"/>
        <w:ind w:left="1055" w:right="0" w:hanging="424"/>
        <w:jc w:val="left"/>
        <w:rPr>
          <w:sz w:val="21"/>
        </w:rPr>
      </w:pPr>
      <w:r>
        <w:rPr>
          <w:sz w:val="21"/>
        </w:rPr>
        <w:t>参照《深圳市公共场所母婴室设计规程》</w:t>
      </w:r>
      <w:r>
        <w:rPr>
          <w:rFonts w:hint="eastAsia" w:ascii="仿宋" w:hAnsi="仿宋" w:eastAsia="仿宋"/>
          <w:sz w:val="21"/>
        </w:rPr>
        <w:t>SJG</w:t>
      </w:r>
      <w:r>
        <w:rPr>
          <w:rFonts w:hint="eastAsia" w:ascii="仿宋" w:hAnsi="仿宋" w:eastAsia="仿宋"/>
          <w:spacing w:val="1"/>
          <w:sz w:val="21"/>
        </w:rPr>
        <w:t xml:space="preserve"> </w:t>
      </w:r>
      <w:r>
        <w:rPr>
          <w:sz w:val="21"/>
        </w:rPr>
        <w:t>54-2019</w:t>
      </w:r>
      <w:r>
        <w:rPr>
          <w:spacing w:val="-34"/>
          <w:sz w:val="21"/>
        </w:rPr>
        <w:t xml:space="preserve"> 第 </w:t>
      </w:r>
      <w:r>
        <w:rPr>
          <w:sz w:val="21"/>
        </w:rPr>
        <w:t>4.3.9</w:t>
      </w:r>
      <w:r>
        <w:rPr>
          <w:spacing w:val="-27"/>
          <w:sz w:val="21"/>
        </w:rPr>
        <w:t xml:space="preserve"> 条第 </w:t>
      </w:r>
      <w:r>
        <w:rPr>
          <w:sz w:val="21"/>
        </w:rPr>
        <w:t>1</w:t>
      </w:r>
      <w:r>
        <w:rPr>
          <w:spacing w:val="-8"/>
          <w:sz w:val="21"/>
        </w:rPr>
        <w:t xml:space="preserve"> 款“母婴室护理区应设置</w:t>
      </w:r>
    </w:p>
    <w:p>
      <w:pPr>
        <w:spacing w:after="0" w:line="269" w:lineRule="exact"/>
        <w:jc w:val="left"/>
        <w:rPr>
          <w:sz w:val="21"/>
        </w:rPr>
        <w:sectPr>
          <w:pgSz w:w="11910" w:h="16840"/>
          <w:pgMar w:top="1580" w:right="820" w:bottom="1280" w:left="920" w:header="0" w:footer="1095" w:gutter="0"/>
          <w:cols w:space="720" w:num="1"/>
        </w:sectPr>
      </w:pPr>
    </w:p>
    <w:p>
      <w:pPr>
        <w:pStyle w:val="5"/>
        <w:spacing w:before="60" w:line="417" w:lineRule="auto"/>
        <w:ind w:left="212" w:right="310"/>
      </w:pPr>
      <w:r>
        <w:rPr>
          <w:spacing w:val="-5"/>
        </w:rPr>
        <w:t xml:space="preserve">婴儿护理台。护理台面尺寸(长×宽)宜为 </w:t>
      </w:r>
      <w:r>
        <w:t>0.90×0.6</w:t>
      </w:r>
      <w:r>
        <w:rPr>
          <w:rFonts w:hint="eastAsia" w:ascii="仿宋" w:hAnsi="仿宋" w:eastAsia="仿宋"/>
        </w:rPr>
        <w:t>m</w:t>
      </w:r>
      <w:r>
        <w:rPr>
          <w:spacing w:val="-6"/>
        </w:rPr>
        <w:t xml:space="preserve">，台面距地面高度宜为 </w:t>
      </w:r>
      <w:r>
        <w:t>0.85～0.95</w:t>
      </w:r>
      <w:r>
        <w:rPr>
          <w:rFonts w:hint="eastAsia" w:ascii="仿宋" w:hAnsi="仿宋" w:eastAsia="仿宋"/>
        </w:rPr>
        <w:t>m</w:t>
      </w:r>
      <w:r>
        <w:rPr>
          <w:spacing w:val="-3"/>
        </w:rPr>
        <w:t>。”本款规定了婴儿护理台的尺寸及距地高度的要求。</w:t>
      </w:r>
    </w:p>
    <w:p>
      <w:pPr>
        <w:pStyle w:val="12"/>
        <w:numPr>
          <w:ilvl w:val="0"/>
          <w:numId w:val="159"/>
        </w:numPr>
        <w:tabs>
          <w:tab w:val="left" w:pos="1055"/>
          <w:tab w:val="left" w:pos="1056"/>
        </w:tabs>
        <w:spacing w:before="0" w:after="0" w:line="417" w:lineRule="auto"/>
        <w:ind w:left="212" w:right="208" w:firstLine="420"/>
        <w:jc w:val="left"/>
        <w:rPr>
          <w:sz w:val="21"/>
        </w:rPr>
      </w:pPr>
      <w:r>
        <w:rPr>
          <w:sz w:val="21"/>
        </w:rPr>
        <w:t>参照《城市公共厕所设计标准》</w:t>
      </w:r>
      <w:r>
        <w:rPr>
          <w:rFonts w:hint="eastAsia" w:ascii="仿宋" w:hAnsi="仿宋" w:eastAsia="仿宋"/>
          <w:sz w:val="21"/>
        </w:rPr>
        <w:t>CJJ</w:t>
      </w:r>
      <w:r>
        <w:rPr>
          <w:rFonts w:hint="eastAsia" w:ascii="仿宋" w:hAnsi="仿宋" w:eastAsia="仿宋"/>
          <w:spacing w:val="3"/>
          <w:sz w:val="21"/>
        </w:rPr>
        <w:t xml:space="preserve"> </w:t>
      </w:r>
      <w:r>
        <w:rPr>
          <w:sz w:val="21"/>
        </w:rPr>
        <w:t>14-2016</w:t>
      </w:r>
      <w:r>
        <w:rPr>
          <w:spacing w:val="-34"/>
          <w:sz w:val="21"/>
        </w:rPr>
        <w:t xml:space="preserve"> 第 </w:t>
      </w:r>
      <w:r>
        <w:rPr>
          <w:sz w:val="21"/>
        </w:rPr>
        <w:t>4.3.3</w:t>
      </w:r>
      <w:r>
        <w:rPr>
          <w:spacing w:val="-27"/>
          <w:sz w:val="21"/>
        </w:rPr>
        <w:t xml:space="preserve"> 条第 </w:t>
      </w:r>
      <w:r>
        <w:rPr>
          <w:sz w:val="21"/>
        </w:rPr>
        <w:t>6</w:t>
      </w:r>
      <w:r>
        <w:rPr>
          <w:spacing w:val="-7"/>
          <w:sz w:val="21"/>
        </w:rPr>
        <w:t xml:space="preserve"> 款“多功能台和儿童安全座椅应可</w:t>
      </w:r>
      <w:r>
        <w:rPr>
          <w:spacing w:val="-10"/>
          <w:w w:val="99"/>
          <w:sz w:val="21"/>
        </w:rPr>
        <w:t>折叠并设有安全带，儿童安全座椅长度宜为</w:t>
      </w:r>
      <w:r>
        <w:rPr>
          <w:spacing w:val="-58"/>
          <w:sz w:val="21"/>
        </w:rPr>
        <w:t xml:space="preserve"> </w:t>
      </w:r>
      <w:r>
        <w:rPr>
          <w:spacing w:val="1"/>
          <w:w w:val="99"/>
          <w:sz w:val="21"/>
        </w:rPr>
        <w:t>28</w:t>
      </w:r>
      <w:r>
        <w:rPr>
          <w:spacing w:val="-2"/>
          <w:w w:val="99"/>
          <w:sz w:val="21"/>
        </w:rPr>
        <w:t>0</w:t>
      </w:r>
      <w:r>
        <w:rPr>
          <w:rFonts w:hint="eastAsia" w:ascii="仿宋" w:hAnsi="仿宋" w:eastAsia="仿宋"/>
          <w:spacing w:val="1"/>
          <w:w w:val="99"/>
          <w:sz w:val="21"/>
        </w:rPr>
        <w:t>mm</w:t>
      </w:r>
      <w:r>
        <w:rPr>
          <w:spacing w:val="-22"/>
          <w:w w:val="99"/>
          <w:sz w:val="21"/>
        </w:rPr>
        <w:t>，宽度宜为</w:t>
      </w:r>
      <w:r>
        <w:rPr>
          <w:spacing w:val="-58"/>
          <w:sz w:val="21"/>
        </w:rPr>
        <w:t xml:space="preserve"> </w:t>
      </w:r>
      <w:r>
        <w:rPr>
          <w:spacing w:val="1"/>
          <w:w w:val="99"/>
          <w:sz w:val="21"/>
        </w:rPr>
        <w:t>26</w:t>
      </w:r>
      <w:r>
        <w:rPr>
          <w:spacing w:val="-2"/>
          <w:w w:val="99"/>
          <w:sz w:val="21"/>
        </w:rPr>
        <w:t>0</w:t>
      </w:r>
      <w:r>
        <w:rPr>
          <w:rFonts w:hint="eastAsia" w:ascii="仿宋" w:hAnsi="仿宋" w:eastAsia="仿宋"/>
          <w:spacing w:val="1"/>
          <w:w w:val="99"/>
          <w:sz w:val="21"/>
        </w:rPr>
        <w:t>mm</w:t>
      </w:r>
      <w:r>
        <w:rPr>
          <w:spacing w:val="-22"/>
          <w:w w:val="99"/>
          <w:sz w:val="21"/>
        </w:rPr>
        <w:t>，高度宜为</w:t>
      </w:r>
      <w:r>
        <w:rPr>
          <w:spacing w:val="-58"/>
          <w:sz w:val="21"/>
        </w:rPr>
        <w:t xml:space="preserve"> </w:t>
      </w:r>
      <w:r>
        <w:rPr>
          <w:spacing w:val="1"/>
          <w:w w:val="99"/>
          <w:sz w:val="21"/>
        </w:rPr>
        <w:t>50</w:t>
      </w:r>
      <w:r>
        <w:rPr>
          <w:spacing w:val="-2"/>
          <w:w w:val="99"/>
          <w:sz w:val="21"/>
        </w:rPr>
        <w:t>0</w:t>
      </w:r>
      <w:r>
        <w:rPr>
          <w:rFonts w:hint="eastAsia" w:ascii="仿宋" w:hAnsi="仿宋" w:eastAsia="仿宋"/>
          <w:spacing w:val="1"/>
          <w:w w:val="99"/>
          <w:sz w:val="21"/>
        </w:rPr>
        <w:t>mm</w:t>
      </w:r>
      <w:r>
        <w:rPr>
          <w:spacing w:val="-16"/>
          <w:w w:val="99"/>
          <w:sz w:val="21"/>
        </w:rPr>
        <w:t>，离地高度宜为</w:t>
      </w:r>
      <w:r>
        <w:rPr>
          <w:spacing w:val="-58"/>
          <w:sz w:val="21"/>
        </w:rPr>
        <w:t xml:space="preserve"> </w:t>
      </w:r>
      <w:r>
        <w:rPr>
          <w:spacing w:val="1"/>
          <w:w w:val="99"/>
          <w:sz w:val="21"/>
        </w:rPr>
        <w:t>40</w:t>
      </w:r>
      <w:r>
        <w:rPr>
          <w:spacing w:val="-2"/>
          <w:w w:val="99"/>
          <w:sz w:val="21"/>
        </w:rPr>
        <w:t>0</w:t>
      </w:r>
      <w:r>
        <w:rPr>
          <w:rFonts w:hint="eastAsia" w:ascii="仿宋" w:hAnsi="仿宋" w:eastAsia="仿宋"/>
          <w:spacing w:val="1"/>
          <w:w w:val="99"/>
          <w:sz w:val="21"/>
        </w:rPr>
        <w:t>mm</w:t>
      </w:r>
      <w:r>
        <w:rPr>
          <w:rFonts w:hint="eastAsia" w:ascii="仿宋" w:hAnsi="仿宋" w:eastAsia="仿宋"/>
          <w:spacing w:val="-104"/>
          <w:w w:val="99"/>
          <w:sz w:val="21"/>
        </w:rPr>
        <w:t>。</w:t>
      </w:r>
      <w:r>
        <w:rPr>
          <w:w w:val="99"/>
          <w:sz w:val="21"/>
        </w:rPr>
        <w:t>”</w:t>
      </w:r>
      <w:r>
        <w:rPr>
          <w:sz w:val="21"/>
        </w:rPr>
        <w:t>本款规定了儿童安全座椅的尺寸及距地高度的要求。</w:t>
      </w:r>
    </w:p>
    <w:p>
      <w:pPr>
        <w:pStyle w:val="12"/>
        <w:numPr>
          <w:ilvl w:val="0"/>
          <w:numId w:val="159"/>
        </w:numPr>
        <w:tabs>
          <w:tab w:val="left" w:pos="1055"/>
          <w:tab w:val="left" w:pos="1056"/>
        </w:tabs>
        <w:spacing w:before="0" w:after="0" w:line="417" w:lineRule="auto"/>
        <w:ind w:left="212" w:right="208" w:firstLine="420"/>
        <w:jc w:val="left"/>
        <w:rPr>
          <w:sz w:val="21"/>
        </w:rPr>
      </w:pPr>
      <w:r>
        <w:rPr>
          <w:sz w:val="21"/>
        </w:rPr>
        <w:t>参照《深圳市公共场所母婴室设计规程》</w:t>
      </w:r>
      <w:r>
        <w:rPr>
          <w:rFonts w:hint="eastAsia" w:ascii="仿宋" w:hAnsi="仿宋" w:eastAsia="仿宋"/>
          <w:sz w:val="21"/>
        </w:rPr>
        <w:t>SJG</w:t>
      </w:r>
      <w:r>
        <w:rPr>
          <w:rFonts w:hint="eastAsia" w:ascii="仿宋" w:hAnsi="仿宋" w:eastAsia="仿宋"/>
          <w:spacing w:val="1"/>
          <w:sz w:val="21"/>
        </w:rPr>
        <w:t xml:space="preserve"> </w:t>
      </w:r>
      <w:r>
        <w:rPr>
          <w:sz w:val="21"/>
        </w:rPr>
        <w:t>54-2019</w:t>
      </w:r>
      <w:r>
        <w:rPr>
          <w:spacing w:val="-35"/>
          <w:sz w:val="21"/>
        </w:rPr>
        <w:t xml:space="preserve"> 第 </w:t>
      </w:r>
      <w:r>
        <w:rPr>
          <w:sz w:val="21"/>
        </w:rPr>
        <w:t>4.3.9</w:t>
      </w:r>
      <w:r>
        <w:rPr>
          <w:spacing w:val="-27"/>
          <w:sz w:val="21"/>
        </w:rPr>
        <w:t xml:space="preserve"> 条第 </w:t>
      </w:r>
      <w:r>
        <w:rPr>
          <w:sz w:val="21"/>
        </w:rPr>
        <w:t>2</w:t>
      </w:r>
      <w:r>
        <w:rPr>
          <w:spacing w:val="-7"/>
          <w:sz w:val="21"/>
        </w:rPr>
        <w:t xml:space="preserve"> 款“……儿童洗手池台面</w:t>
      </w:r>
      <w:r>
        <w:rPr>
          <w:spacing w:val="-14"/>
          <w:sz w:val="21"/>
        </w:rPr>
        <w:t xml:space="preserve">距地面高度宜为 </w:t>
      </w:r>
      <w:r>
        <w:rPr>
          <w:spacing w:val="-4"/>
          <w:sz w:val="21"/>
        </w:rPr>
        <w:t>0.50～0.55</w:t>
      </w:r>
      <w:r>
        <w:rPr>
          <w:rFonts w:hint="eastAsia" w:ascii="仿宋" w:hAnsi="仿宋" w:eastAsia="仿宋"/>
          <w:spacing w:val="-4"/>
          <w:sz w:val="21"/>
        </w:rPr>
        <w:t>m</w:t>
      </w:r>
      <w:r>
        <w:rPr>
          <w:spacing w:val="-12"/>
          <w:sz w:val="21"/>
        </w:rPr>
        <w:t xml:space="preserve">，宽度宜为 </w:t>
      </w:r>
      <w:r>
        <w:rPr>
          <w:sz w:val="21"/>
        </w:rPr>
        <w:t>0.40～0.45</w:t>
      </w:r>
      <w:r>
        <w:rPr>
          <w:rFonts w:hint="eastAsia" w:ascii="仿宋" w:hAnsi="仿宋" w:eastAsia="仿宋"/>
          <w:sz w:val="21"/>
        </w:rPr>
        <w:t>m</w:t>
      </w:r>
      <w:r>
        <w:rPr>
          <w:rFonts w:hint="eastAsia" w:ascii="仿宋" w:hAnsi="仿宋" w:eastAsia="仿宋"/>
          <w:spacing w:val="-41"/>
          <w:sz w:val="21"/>
        </w:rPr>
        <w:t>。</w:t>
      </w:r>
      <w:r>
        <w:rPr>
          <w:spacing w:val="-7"/>
          <w:sz w:val="21"/>
        </w:rPr>
        <w:t>”本款规定了儿童洗手</w:t>
      </w:r>
      <w:r>
        <w:rPr>
          <w:sz w:val="21"/>
        </w:rPr>
        <w:t>/面盆距地高度及宽度要求。</w:t>
      </w:r>
    </w:p>
    <w:p>
      <w:pPr>
        <w:pStyle w:val="12"/>
        <w:numPr>
          <w:ilvl w:val="2"/>
          <w:numId w:val="156"/>
        </w:numPr>
        <w:tabs>
          <w:tab w:val="left" w:pos="1053"/>
        </w:tabs>
        <w:spacing w:before="0" w:after="0" w:line="417" w:lineRule="auto"/>
        <w:ind w:left="212" w:right="310" w:firstLine="0"/>
        <w:jc w:val="both"/>
        <w:rPr>
          <w:sz w:val="21"/>
        </w:rPr>
      </w:pPr>
      <w:bookmarkStart w:id="691" w:name="4.2.12本条规定了无障碍淋浴间的设计要求（如图4.2.12-1、图4.2.1"/>
      <w:bookmarkEnd w:id="691"/>
      <w:bookmarkStart w:id="692" w:name="4.2.12本条规定了无障碍淋浴间的设计要求（如图4.2.12-1、图4.2.1"/>
      <w:bookmarkEnd w:id="692"/>
      <w:r>
        <w:rPr>
          <w:sz w:val="21"/>
        </w:rPr>
        <w:t>本条规定了无障碍淋浴间的设计要求</w:t>
      </w:r>
      <w:r>
        <w:rPr>
          <w:spacing w:val="4"/>
          <w:sz w:val="21"/>
        </w:rPr>
        <w:t>（</w:t>
      </w:r>
      <w:r>
        <w:rPr>
          <w:spacing w:val="-17"/>
          <w:sz w:val="21"/>
        </w:rPr>
        <w:t xml:space="preserve">如图 </w:t>
      </w:r>
      <w:r>
        <w:rPr>
          <w:sz w:val="21"/>
        </w:rPr>
        <w:t>4.2.12-1</w:t>
      </w:r>
      <w:r>
        <w:rPr>
          <w:spacing w:val="-16"/>
          <w:sz w:val="21"/>
        </w:rPr>
        <w:t xml:space="preserve">、图 </w:t>
      </w:r>
      <w:r>
        <w:rPr>
          <w:sz w:val="21"/>
        </w:rPr>
        <w:t>4.2.12-2）。无障碍淋浴间有单独设</w:t>
      </w:r>
      <w:r>
        <w:rPr>
          <w:spacing w:val="-4"/>
          <w:w w:val="95"/>
          <w:sz w:val="21"/>
        </w:rPr>
        <w:t xml:space="preserve">置的，也有纳入卫生间设置的，均应满足本条的要求。有长期使用者的居住建筑的户内或套内卫生间的淋   </w:t>
      </w:r>
      <w:r>
        <w:rPr>
          <w:spacing w:val="-4"/>
          <w:sz w:val="21"/>
        </w:rPr>
        <w:t>浴间可不执行本条要求，根据使用者情况进行具体处理。</w:t>
      </w:r>
    </w:p>
    <w:p>
      <w:pPr>
        <w:pStyle w:val="5"/>
        <w:spacing w:before="9"/>
        <w:rPr>
          <w:sz w:val="11"/>
        </w:rPr>
      </w:pPr>
      <w:r>
        <w:drawing>
          <wp:anchor distT="0" distB="0" distL="0" distR="0" simplePos="0" relativeHeight="251659264" behindDoc="0" locked="0" layoutInCell="1" allowOverlap="1">
            <wp:simplePos x="0" y="0"/>
            <wp:positionH relativeFrom="page">
              <wp:posOffset>1033780</wp:posOffset>
            </wp:positionH>
            <wp:positionV relativeFrom="paragraph">
              <wp:posOffset>186055</wp:posOffset>
            </wp:positionV>
            <wp:extent cx="2431415" cy="1441450"/>
            <wp:effectExtent l="0" t="0" r="0" b="0"/>
            <wp:wrapTopAndBottom/>
            <wp:docPr id="12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5.jpeg"/>
                    <pic:cNvPicPr>
                      <a:picLocks noChangeAspect="1"/>
                    </pic:cNvPicPr>
                  </pic:nvPicPr>
                  <pic:blipFill>
                    <a:blip r:embed="rId90" cstate="print"/>
                    <a:stretch>
                      <a:fillRect/>
                    </a:stretch>
                  </pic:blipFill>
                  <pic:spPr>
                    <a:xfrm>
                      <a:off x="0" y="0"/>
                      <a:ext cx="2431393" cy="1441703"/>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4028440</wp:posOffset>
            </wp:positionH>
            <wp:positionV relativeFrom="paragraph">
              <wp:posOffset>120015</wp:posOffset>
            </wp:positionV>
            <wp:extent cx="2616200" cy="1542415"/>
            <wp:effectExtent l="0" t="0" r="0" b="0"/>
            <wp:wrapTopAndBottom/>
            <wp:docPr id="13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6.jpeg"/>
                    <pic:cNvPicPr>
                      <a:picLocks noChangeAspect="1"/>
                    </pic:cNvPicPr>
                  </pic:nvPicPr>
                  <pic:blipFill>
                    <a:blip r:embed="rId91" cstate="print"/>
                    <a:stretch>
                      <a:fillRect/>
                    </a:stretch>
                  </pic:blipFill>
                  <pic:spPr>
                    <a:xfrm>
                      <a:off x="0" y="0"/>
                      <a:ext cx="2616126" cy="1542288"/>
                    </a:xfrm>
                    <a:prstGeom prst="rect">
                      <a:avLst/>
                    </a:prstGeom>
                  </pic:spPr>
                </pic:pic>
              </a:graphicData>
            </a:graphic>
          </wp:anchor>
        </w:drawing>
      </w:r>
    </w:p>
    <w:p>
      <w:pPr>
        <w:pStyle w:val="5"/>
        <w:rPr>
          <w:sz w:val="20"/>
        </w:rPr>
      </w:pPr>
    </w:p>
    <w:p>
      <w:pPr>
        <w:pStyle w:val="5"/>
        <w:spacing w:before="1"/>
        <w:rPr>
          <w:sz w:val="15"/>
        </w:rPr>
      </w:pPr>
    </w:p>
    <w:p>
      <w:pPr>
        <w:pStyle w:val="5"/>
        <w:tabs>
          <w:tab w:val="left" w:pos="5737"/>
        </w:tabs>
        <w:spacing w:before="70"/>
        <w:ind w:left="810"/>
      </w:pPr>
      <w:r>
        <w:t>图</w:t>
      </w:r>
      <w:r>
        <w:rPr>
          <w:spacing w:val="-55"/>
        </w:rPr>
        <w:t xml:space="preserve"> </w:t>
      </w:r>
      <w:r>
        <w:t>4.2.12-1</w:t>
      </w:r>
      <w:r>
        <w:rPr>
          <w:spacing w:val="-3"/>
        </w:rPr>
        <w:t xml:space="preserve"> </w:t>
      </w:r>
      <w:r>
        <w:t>无障碍淋浴间平面示意图</w:t>
      </w:r>
      <w:r>
        <w:tab/>
      </w:r>
      <w:r>
        <w:t>图</w:t>
      </w:r>
      <w:r>
        <w:rPr>
          <w:spacing w:val="-54"/>
        </w:rPr>
        <w:t xml:space="preserve"> </w:t>
      </w:r>
      <w:r>
        <w:t>4.2.12-2</w:t>
      </w:r>
      <w:r>
        <w:rPr>
          <w:spacing w:val="-1"/>
        </w:rPr>
        <w:t xml:space="preserve"> </w:t>
      </w:r>
      <w:r>
        <w:t>无障碍淋浴间立面示意图</w:t>
      </w:r>
    </w:p>
    <w:p>
      <w:pPr>
        <w:pStyle w:val="5"/>
        <w:spacing w:before="6"/>
        <w:rPr>
          <w:sz w:val="19"/>
        </w:rPr>
      </w:pPr>
    </w:p>
    <w:p>
      <w:pPr>
        <w:pStyle w:val="12"/>
        <w:numPr>
          <w:ilvl w:val="0"/>
          <w:numId w:val="160"/>
        </w:numPr>
        <w:tabs>
          <w:tab w:val="left" w:pos="1060"/>
        </w:tabs>
        <w:spacing w:before="0" w:after="0" w:line="240" w:lineRule="auto"/>
        <w:ind w:left="1060" w:right="0" w:hanging="420"/>
        <w:jc w:val="both"/>
        <w:rPr>
          <w:sz w:val="21"/>
        </w:rPr>
      </w:pPr>
      <w:r>
        <w:rPr>
          <w:sz w:val="21"/>
        </w:rPr>
        <w:t>考虑到轮椅通行和转动时所需的空间，也便于照护人员协助不便者完成更衣等动作。</w:t>
      </w:r>
    </w:p>
    <w:p>
      <w:pPr>
        <w:pStyle w:val="5"/>
        <w:spacing w:before="6"/>
        <w:rPr>
          <w:sz w:val="15"/>
        </w:rPr>
      </w:pPr>
    </w:p>
    <w:p>
      <w:pPr>
        <w:pStyle w:val="12"/>
        <w:numPr>
          <w:ilvl w:val="0"/>
          <w:numId w:val="160"/>
        </w:numPr>
        <w:tabs>
          <w:tab w:val="left" w:pos="1060"/>
        </w:tabs>
        <w:spacing w:before="1" w:after="0" w:line="240" w:lineRule="auto"/>
        <w:ind w:left="1060" w:right="0" w:hanging="420"/>
        <w:jc w:val="both"/>
        <w:rPr>
          <w:sz w:val="21"/>
        </w:rPr>
      </w:pPr>
      <w:r>
        <w:rPr>
          <w:w w:val="95"/>
          <w:sz w:val="21"/>
        </w:rPr>
        <w:t>浴间坐台指淋浴间内安装牢固的座位，可为折叠式。</w:t>
      </w:r>
    </w:p>
    <w:p>
      <w:pPr>
        <w:pStyle w:val="5"/>
        <w:spacing w:before="6"/>
        <w:rPr>
          <w:sz w:val="15"/>
        </w:rPr>
      </w:pPr>
    </w:p>
    <w:p>
      <w:pPr>
        <w:pStyle w:val="12"/>
        <w:numPr>
          <w:ilvl w:val="0"/>
          <w:numId w:val="160"/>
        </w:numPr>
        <w:tabs>
          <w:tab w:val="left" w:pos="1051"/>
        </w:tabs>
        <w:spacing w:before="0" w:after="0" w:line="417" w:lineRule="auto"/>
        <w:ind w:left="212" w:right="307" w:firstLine="427"/>
        <w:jc w:val="both"/>
        <w:rPr>
          <w:sz w:val="21"/>
        </w:rPr>
      </w:pPr>
      <w:r>
        <w:rPr>
          <w:spacing w:val="-1"/>
          <w:sz w:val="21"/>
        </w:rPr>
        <w:t>《无障碍设计规范》</w:t>
      </w:r>
      <w:r>
        <w:rPr>
          <w:rFonts w:hint="eastAsia" w:ascii="仿宋" w:hAnsi="仿宋" w:eastAsia="仿宋"/>
          <w:sz w:val="21"/>
        </w:rPr>
        <w:t>GB</w:t>
      </w:r>
      <w:r>
        <w:rPr>
          <w:rFonts w:hint="eastAsia" w:ascii="仿宋" w:hAnsi="仿宋" w:eastAsia="仿宋"/>
          <w:spacing w:val="-56"/>
          <w:sz w:val="21"/>
        </w:rPr>
        <w:t xml:space="preserve"> </w:t>
      </w:r>
      <w:r>
        <w:rPr>
          <w:sz w:val="21"/>
        </w:rPr>
        <w:t>50763-2012</w:t>
      </w:r>
      <w:r>
        <w:rPr>
          <w:spacing w:val="-37"/>
          <w:sz w:val="21"/>
        </w:rPr>
        <w:t xml:space="preserve"> 第 </w:t>
      </w:r>
      <w:r>
        <w:rPr>
          <w:sz w:val="21"/>
        </w:rPr>
        <w:t>3.10.2</w:t>
      </w:r>
      <w:r>
        <w:rPr>
          <w:spacing w:val="-28"/>
          <w:sz w:val="21"/>
        </w:rPr>
        <w:t xml:space="preserve"> 条第 </w:t>
      </w:r>
      <w:r>
        <w:rPr>
          <w:sz w:val="21"/>
        </w:rPr>
        <w:t>3</w:t>
      </w:r>
      <w:r>
        <w:rPr>
          <w:spacing w:val="-13"/>
          <w:sz w:val="21"/>
        </w:rPr>
        <w:t xml:space="preserve"> 款“淋浴间应设距地面高 </w:t>
      </w:r>
      <w:r>
        <w:rPr>
          <w:sz w:val="21"/>
        </w:rPr>
        <w:t>700</w:t>
      </w:r>
      <w:r>
        <w:rPr>
          <w:rFonts w:hint="eastAsia" w:ascii="仿宋" w:hAnsi="仿宋" w:eastAsia="仿宋"/>
          <w:sz w:val="21"/>
        </w:rPr>
        <w:t>mm</w:t>
      </w:r>
      <w:r>
        <w:rPr>
          <w:rFonts w:hint="eastAsia" w:ascii="仿宋" w:hAnsi="仿宋" w:eastAsia="仿宋"/>
          <w:spacing w:val="-54"/>
          <w:sz w:val="21"/>
        </w:rPr>
        <w:t xml:space="preserve"> </w:t>
      </w:r>
      <w:r>
        <w:rPr>
          <w:sz w:val="21"/>
        </w:rPr>
        <w:t>的水平抓杆</w:t>
      </w:r>
      <w:r>
        <w:rPr>
          <w:spacing w:val="-15"/>
          <w:sz w:val="21"/>
        </w:rPr>
        <w:t xml:space="preserve">和高 </w:t>
      </w:r>
      <w:r>
        <w:rPr>
          <w:sz w:val="21"/>
        </w:rPr>
        <w:t>1.40</w:t>
      </w:r>
      <w:r>
        <w:rPr>
          <w:rFonts w:hint="eastAsia" w:ascii="仿宋" w:hAnsi="仿宋" w:eastAsia="仿宋"/>
          <w:sz w:val="21"/>
        </w:rPr>
        <w:t>m</w:t>
      </w:r>
      <w:r>
        <w:rPr>
          <w:sz w:val="21"/>
        </w:rPr>
        <w:t>～1.60</w:t>
      </w:r>
      <w:r>
        <w:rPr>
          <w:rFonts w:hint="eastAsia" w:ascii="仿宋" w:hAnsi="仿宋" w:eastAsia="仿宋"/>
          <w:sz w:val="21"/>
        </w:rPr>
        <w:t>m</w:t>
      </w:r>
      <w:r>
        <w:rPr>
          <w:rFonts w:hint="eastAsia" w:ascii="仿宋" w:hAnsi="仿宋" w:eastAsia="仿宋"/>
          <w:spacing w:val="-48"/>
          <w:sz w:val="21"/>
        </w:rPr>
        <w:t xml:space="preserve"> </w:t>
      </w:r>
      <w:r>
        <w:rPr>
          <w:sz w:val="21"/>
        </w:rPr>
        <w:t>的垂直抓杆”，本款在此基础上增加对水平抓杆长度及垂直抓杆设置位置的要求，以保证残障人士、老年人等群体在无障碍淋浴间内安全移动、使用无障碍设施。</w:t>
      </w:r>
    </w:p>
    <w:p>
      <w:pPr>
        <w:pStyle w:val="12"/>
        <w:numPr>
          <w:ilvl w:val="2"/>
          <w:numId w:val="156"/>
        </w:numPr>
        <w:tabs>
          <w:tab w:val="left" w:pos="1053"/>
        </w:tabs>
        <w:spacing w:before="0" w:after="0" w:line="417" w:lineRule="auto"/>
        <w:ind w:left="212" w:right="312" w:firstLine="0"/>
        <w:jc w:val="both"/>
        <w:rPr>
          <w:sz w:val="21"/>
        </w:rPr>
      </w:pPr>
      <w:bookmarkStart w:id="693" w:name="4.2.13本条规定了无障碍盆浴间的设计要求（如图4.2.13-1、图4.2.1"/>
      <w:bookmarkEnd w:id="693"/>
      <w:bookmarkStart w:id="694" w:name="4.2.13本条规定了无障碍盆浴间的设计要求（如图4.2.13-1、图4.2.1"/>
      <w:bookmarkEnd w:id="694"/>
      <w:r>
        <w:rPr>
          <w:sz w:val="21"/>
        </w:rPr>
        <w:t>本条规定了无障碍盆浴间的设计要求</w:t>
      </w:r>
      <w:r>
        <w:rPr>
          <w:spacing w:val="4"/>
          <w:sz w:val="21"/>
        </w:rPr>
        <w:t>（</w:t>
      </w:r>
      <w:r>
        <w:rPr>
          <w:spacing w:val="-16"/>
          <w:sz w:val="21"/>
        </w:rPr>
        <w:t xml:space="preserve">如图 </w:t>
      </w:r>
      <w:r>
        <w:rPr>
          <w:sz w:val="21"/>
        </w:rPr>
        <w:t>4.2.13-1</w:t>
      </w:r>
      <w:r>
        <w:rPr>
          <w:spacing w:val="-16"/>
          <w:sz w:val="21"/>
        </w:rPr>
        <w:t xml:space="preserve">、图 </w:t>
      </w:r>
      <w:r>
        <w:rPr>
          <w:sz w:val="21"/>
        </w:rPr>
        <w:t>4.2.13-2）。有长期使用者的居住建筑的户内或套内卫生间的盆浴间可不执行本条要求，根据使用者情况进行具体设计。</w:t>
      </w:r>
    </w:p>
    <w:p>
      <w:pPr>
        <w:spacing w:after="0" w:line="417" w:lineRule="auto"/>
        <w:jc w:val="both"/>
        <w:rPr>
          <w:sz w:val="21"/>
        </w:rPr>
        <w:sectPr>
          <w:pgSz w:w="11910" w:h="16840"/>
          <w:pgMar w:top="1580" w:right="820" w:bottom="1280" w:left="920" w:header="0" w:footer="1095" w:gutter="0"/>
          <w:cols w:space="720" w:num="1"/>
        </w:sectPr>
      </w:pPr>
    </w:p>
    <w:p>
      <w:pPr>
        <w:pStyle w:val="5"/>
        <w:spacing w:before="6"/>
        <w:rPr>
          <w:sz w:val="15"/>
        </w:rPr>
      </w:pPr>
    </w:p>
    <w:p>
      <w:pPr>
        <w:tabs>
          <w:tab w:val="left" w:pos="5875"/>
        </w:tabs>
        <w:spacing w:line="240" w:lineRule="auto"/>
        <w:ind w:left="747" w:right="0" w:firstLine="0"/>
        <w:rPr>
          <w:sz w:val="20"/>
        </w:rPr>
      </w:pPr>
      <w:r>
        <w:rPr>
          <w:sz w:val="20"/>
        </w:rPr>
        <w:drawing>
          <wp:inline distT="0" distB="0" distL="0" distR="0">
            <wp:extent cx="2312670" cy="1709420"/>
            <wp:effectExtent l="0" t="0" r="0" b="0"/>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7.jpeg"/>
                    <pic:cNvPicPr>
                      <a:picLocks noChangeAspect="1"/>
                    </pic:cNvPicPr>
                  </pic:nvPicPr>
                  <pic:blipFill>
                    <a:blip r:embed="rId92" cstate="print"/>
                    <a:stretch>
                      <a:fillRect/>
                    </a:stretch>
                  </pic:blipFill>
                  <pic:spPr>
                    <a:xfrm>
                      <a:off x="0" y="0"/>
                      <a:ext cx="2312707" cy="1709927"/>
                    </a:xfrm>
                    <a:prstGeom prst="rect">
                      <a:avLst/>
                    </a:prstGeom>
                  </pic:spPr>
                </pic:pic>
              </a:graphicData>
            </a:graphic>
          </wp:inline>
        </w:drawing>
      </w:r>
      <w:r>
        <w:rPr>
          <w:sz w:val="20"/>
        </w:rPr>
        <w:tab/>
      </w:r>
      <w:r>
        <w:rPr>
          <w:position w:val="19"/>
          <w:sz w:val="20"/>
        </w:rPr>
        <w:drawing>
          <wp:inline distT="0" distB="0" distL="0" distR="0">
            <wp:extent cx="2250440" cy="1520825"/>
            <wp:effectExtent l="0" t="0" r="0" b="0"/>
            <wp:docPr id="1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8.jpeg"/>
                    <pic:cNvPicPr>
                      <a:picLocks noChangeAspect="1"/>
                    </pic:cNvPicPr>
                  </pic:nvPicPr>
                  <pic:blipFill>
                    <a:blip r:embed="rId93" cstate="print"/>
                    <a:stretch>
                      <a:fillRect/>
                    </a:stretch>
                  </pic:blipFill>
                  <pic:spPr>
                    <a:xfrm>
                      <a:off x="0" y="0"/>
                      <a:ext cx="2250823" cy="1521332"/>
                    </a:xfrm>
                    <a:prstGeom prst="rect">
                      <a:avLst/>
                    </a:prstGeom>
                  </pic:spPr>
                </pic:pic>
              </a:graphicData>
            </a:graphic>
          </wp:inline>
        </w:drawing>
      </w:r>
    </w:p>
    <w:p>
      <w:pPr>
        <w:pStyle w:val="5"/>
        <w:spacing w:before="10"/>
        <w:rPr>
          <w:sz w:val="20"/>
        </w:rPr>
      </w:pPr>
    </w:p>
    <w:p>
      <w:pPr>
        <w:pStyle w:val="5"/>
        <w:tabs>
          <w:tab w:val="left" w:pos="6003"/>
        </w:tabs>
        <w:spacing w:before="70"/>
        <w:ind w:left="1076"/>
      </w:pPr>
      <w:r>
        <w:t>图</w:t>
      </w:r>
      <w:r>
        <w:rPr>
          <w:spacing w:val="-55"/>
        </w:rPr>
        <w:t xml:space="preserve"> </w:t>
      </w:r>
      <w:r>
        <w:t>4.2.13-1</w:t>
      </w:r>
      <w:r>
        <w:rPr>
          <w:spacing w:val="-56"/>
        </w:rPr>
        <w:t xml:space="preserve"> </w:t>
      </w:r>
      <w:r>
        <w:t>无障碍盆浴间平面示意图</w:t>
      </w:r>
      <w:r>
        <w:tab/>
      </w:r>
      <w:r>
        <w:t>图</w:t>
      </w:r>
      <w:r>
        <w:rPr>
          <w:spacing w:val="-53"/>
        </w:rPr>
        <w:t xml:space="preserve"> </w:t>
      </w:r>
      <w:r>
        <w:t>4.2.13-2</w:t>
      </w:r>
      <w:r>
        <w:rPr>
          <w:spacing w:val="-53"/>
        </w:rPr>
        <w:t xml:space="preserve"> </w:t>
      </w:r>
      <w:r>
        <w:t>无障碍盆浴间立面示意图</w:t>
      </w:r>
    </w:p>
    <w:p>
      <w:pPr>
        <w:pStyle w:val="5"/>
        <w:spacing w:before="6"/>
        <w:rPr>
          <w:sz w:val="19"/>
        </w:rPr>
      </w:pPr>
    </w:p>
    <w:p>
      <w:pPr>
        <w:pStyle w:val="12"/>
        <w:numPr>
          <w:ilvl w:val="0"/>
          <w:numId w:val="161"/>
        </w:numPr>
        <w:tabs>
          <w:tab w:val="left" w:pos="1059"/>
          <w:tab w:val="left" w:pos="1060"/>
        </w:tabs>
        <w:spacing w:before="0" w:after="0" w:line="240" w:lineRule="auto"/>
        <w:ind w:left="1060" w:right="0" w:hanging="420"/>
        <w:jc w:val="left"/>
        <w:rPr>
          <w:sz w:val="21"/>
        </w:rPr>
      </w:pPr>
      <w:r>
        <w:rPr>
          <w:sz w:val="21"/>
        </w:rPr>
        <w:t>浴缸高度考虑到满足乘轮椅者从轮椅上平滑地移动到浴缸中。</w:t>
      </w:r>
    </w:p>
    <w:p>
      <w:pPr>
        <w:pStyle w:val="5"/>
        <w:spacing w:before="6"/>
        <w:rPr>
          <w:sz w:val="15"/>
        </w:rPr>
      </w:pPr>
    </w:p>
    <w:p>
      <w:pPr>
        <w:pStyle w:val="12"/>
        <w:numPr>
          <w:ilvl w:val="0"/>
          <w:numId w:val="161"/>
        </w:numPr>
        <w:tabs>
          <w:tab w:val="left" w:pos="1059"/>
          <w:tab w:val="left" w:pos="1060"/>
        </w:tabs>
        <w:spacing w:before="1" w:after="0" w:line="240" w:lineRule="auto"/>
        <w:ind w:left="1060" w:right="0" w:hanging="420"/>
        <w:jc w:val="left"/>
        <w:rPr>
          <w:sz w:val="21"/>
        </w:rPr>
      </w:pPr>
      <w:r>
        <w:rPr>
          <w:sz w:val="21"/>
        </w:rPr>
        <w:t>为防止在使用浴缸时发生滑倒设置安全抓杆，安全抓杆形式根据具体的情况合理确定。</w:t>
      </w:r>
    </w:p>
    <w:p>
      <w:pPr>
        <w:pStyle w:val="5"/>
        <w:spacing w:before="6"/>
        <w:rPr>
          <w:sz w:val="15"/>
        </w:rPr>
      </w:pPr>
    </w:p>
    <w:p>
      <w:pPr>
        <w:pStyle w:val="12"/>
        <w:numPr>
          <w:ilvl w:val="2"/>
          <w:numId w:val="156"/>
        </w:numPr>
        <w:tabs>
          <w:tab w:val="left" w:pos="1052"/>
          <w:tab w:val="left" w:pos="1053"/>
        </w:tabs>
        <w:spacing w:before="0" w:after="0" w:line="417" w:lineRule="auto"/>
        <w:ind w:left="212" w:right="292" w:firstLine="0"/>
        <w:jc w:val="left"/>
        <w:rPr>
          <w:sz w:val="21"/>
        </w:rPr>
      </w:pPr>
      <w:bookmarkStart w:id="695" w:name="4.2.14目前一般使用白色的卫生配件与装备以便于保洁。但是，白色的卫生装备往往"/>
      <w:bookmarkEnd w:id="695"/>
      <w:bookmarkStart w:id="696" w:name="4.2.14目前一般使用白色的卫生配件与装备以便于保洁。但是，白色的卫生装备往往"/>
      <w:bookmarkEnd w:id="696"/>
      <w:r>
        <w:rPr>
          <w:spacing w:val="-2"/>
          <w:sz w:val="21"/>
        </w:rPr>
        <w:t>目前一般使用白色的卫生配件与装备以便于保洁。但是，白色的卫生装备往往会配以浅色或白色</w:t>
      </w:r>
      <w:r>
        <w:rPr>
          <w:spacing w:val="-2"/>
          <w:w w:val="95"/>
          <w:sz w:val="21"/>
        </w:rPr>
        <w:t>瓷砖，结果只会令视力受损人士更难于辨别，无障碍卫生设施与背景饰面有亮度或颜色对比，易于辨认。</w:t>
      </w:r>
    </w:p>
    <w:p>
      <w:pPr>
        <w:pStyle w:val="12"/>
        <w:numPr>
          <w:ilvl w:val="2"/>
          <w:numId w:val="156"/>
        </w:numPr>
        <w:tabs>
          <w:tab w:val="left" w:pos="1052"/>
          <w:tab w:val="left" w:pos="1053"/>
        </w:tabs>
        <w:spacing w:before="0" w:after="0" w:line="269" w:lineRule="exact"/>
        <w:ind w:left="1052" w:right="0" w:hanging="841"/>
        <w:jc w:val="left"/>
        <w:rPr>
          <w:sz w:val="21"/>
        </w:rPr>
      </w:pPr>
      <w:bookmarkStart w:id="697" w:name="4.2.15本条规定了无障碍厨房的设计要求。"/>
      <w:bookmarkEnd w:id="697"/>
      <w:bookmarkStart w:id="698" w:name="4.2.15本条规定了无障碍厨房的设计要求。"/>
      <w:bookmarkEnd w:id="698"/>
      <w:r>
        <w:rPr>
          <w:sz w:val="21"/>
        </w:rPr>
        <w:t>本条规定了无障碍厨房的设计要求。</w:t>
      </w:r>
    </w:p>
    <w:p>
      <w:pPr>
        <w:pStyle w:val="5"/>
        <w:spacing w:before="7"/>
        <w:rPr>
          <w:sz w:val="15"/>
        </w:rPr>
      </w:pPr>
    </w:p>
    <w:p>
      <w:pPr>
        <w:pStyle w:val="12"/>
        <w:numPr>
          <w:ilvl w:val="0"/>
          <w:numId w:val="162"/>
        </w:numPr>
        <w:tabs>
          <w:tab w:val="left" w:pos="1059"/>
          <w:tab w:val="left" w:pos="1060"/>
        </w:tabs>
        <w:spacing w:before="0" w:after="0" w:line="240" w:lineRule="auto"/>
        <w:ind w:left="1060" w:right="0" w:hanging="420"/>
        <w:jc w:val="left"/>
        <w:rPr>
          <w:sz w:val="21"/>
        </w:rPr>
      </w:pPr>
      <w:r>
        <w:rPr>
          <w:sz w:val="21"/>
        </w:rPr>
        <w:t>布置无障碍厨房时需要考虑乘轮椅者的通行、回转和使用高度。</w:t>
      </w:r>
    </w:p>
    <w:p>
      <w:pPr>
        <w:pStyle w:val="5"/>
        <w:spacing w:before="7"/>
        <w:rPr>
          <w:sz w:val="15"/>
        </w:rPr>
      </w:pPr>
    </w:p>
    <w:p>
      <w:pPr>
        <w:pStyle w:val="12"/>
        <w:numPr>
          <w:ilvl w:val="0"/>
          <w:numId w:val="162"/>
        </w:numPr>
        <w:tabs>
          <w:tab w:val="left" w:pos="1059"/>
          <w:tab w:val="left" w:pos="1060"/>
        </w:tabs>
        <w:spacing w:before="0" w:after="0" w:line="417" w:lineRule="auto"/>
        <w:ind w:left="212" w:right="312" w:firstLine="427"/>
        <w:jc w:val="left"/>
        <w:rPr>
          <w:sz w:val="21"/>
        </w:rPr>
      </w:pPr>
      <w:r>
        <w:rPr>
          <w:spacing w:val="-2"/>
          <w:w w:val="95"/>
          <w:sz w:val="21"/>
        </w:rPr>
        <w:t xml:space="preserve">无障碍厨房操作台面应考虑到乘轮椅者的可及高度，且下部设置容膝容脚空间，以保证乘轮椅者   </w:t>
      </w:r>
      <w:r>
        <w:rPr>
          <w:spacing w:val="-2"/>
          <w:sz w:val="21"/>
        </w:rPr>
        <w:t>使用。</w:t>
      </w:r>
    </w:p>
    <w:p>
      <w:pPr>
        <w:pStyle w:val="12"/>
        <w:numPr>
          <w:ilvl w:val="0"/>
          <w:numId w:val="162"/>
        </w:numPr>
        <w:tabs>
          <w:tab w:val="left" w:pos="1059"/>
          <w:tab w:val="left" w:pos="1060"/>
        </w:tabs>
        <w:spacing w:before="0" w:after="0" w:line="417" w:lineRule="auto"/>
        <w:ind w:left="212" w:right="208" w:firstLine="427"/>
        <w:jc w:val="left"/>
        <w:rPr>
          <w:sz w:val="21"/>
        </w:rPr>
      </w:pPr>
      <w:r>
        <w:rPr>
          <w:spacing w:val="-8"/>
          <w:w w:val="95"/>
          <w:sz w:val="21"/>
        </w:rPr>
        <w:t xml:space="preserve">家庭的厨房中多安装不锈钢的水槽，一些乘轮椅者下肢没有知觉，为避免水槽中的热水造成烫伤，   </w:t>
      </w:r>
      <w:r>
        <w:rPr>
          <w:spacing w:val="-8"/>
          <w:sz w:val="21"/>
        </w:rPr>
        <w:t>要求水槽与工作台底部隔开。</w:t>
      </w:r>
    </w:p>
    <w:p>
      <w:pPr>
        <w:pStyle w:val="12"/>
        <w:numPr>
          <w:ilvl w:val="0"/>
          <w:numId w:val="163"/>
        </w:numPr>
        <w:tabs>
          <w:tab w:val="left" w:pos="4533"/>
        </w:tabs>
        <w:spacing w:before="0" w:after="0" w:line="269" w:lineRule="exact"/>
        <w:ind w:left="4532" w:right="102" w:hanging="4533"/>
        <w:jc w:val="left"/>
        <w:rPr>
          <w:rFonts w:hint="eastAsia" w:ascii="黑体" w:eastAsia="黑体"/>
          <w:sz w:val="21"/>
        </w:rPr>
      </w:pPr>
      <w:bookmarkStart w:id="699" w:name="II无障碍卫生间"/>
      <w:bookmarkEnd w:id="699"/>
      <w:bookmarkStart w:id="700" w:name="II无障碍卫生间"/>
      <w:bookmarkEnd w:id="700"/>
      <w:r>
        <w:rPr>
          <w:rFonts w:hint="eastAsia" w:ascii="黑体" w:eastAsia="黑体"/>
          <w:sz w:val="21"/>
        </w:rPr>
        <w:t>无障碍卫生间</w:t>
      </w:r>
    </w:p>
    <w:p>
      <w:pPr>
        <w:pStyle w:val="5"/>
        <w:spacing w:before="6"/>
        <w:rPr>
          <w:rFonts w:ascii="黑体"/>
          <w:sz w:val="15"/>
        </w:rPr>
      </w:pPr>
    </w:p>
    <w:p>
      <w:pPr>
        <w:pStyle w:val="12"/>
        <w:numPr>
          <w:ilvl w:val="2"/>
          <w:numId w:val="156"/>
        </w:numPr>
        <w:tabs>
          <w:tab w:val="left" w:pos="1052"/>
          <w:tab w:val="left" w:pos="1053"/>
        </w:tabs>
        <w:spacing w:before="0" w:after="0" w:line="417" w:lineRule="auto"/>
        <w:ind w:left="212" w:right="315" w:firstLine="0"/>
        <w:jc w:val="left"/>
        <w:rPr>
          <w:sz w:val="21"/>
        </w:rPr>
      </w:pPr>
      <w:bookmarkStart w:id="701" w:name="4.2.16无障碍卫生间是指无性别区分、男女均可使用的小型无障碍卫生间。无障碍卫"/>
      <w:bookmarkEnd w:id="701"/>
      <w:bookmarkStart w:id="702" w:name="4.2.16无障碍卫生间是指无性别区分、男女均可使用的小型无障碍卫生间。无障碍卫"/>
      <w:bookmarkEnd w:id="702"/>
      <w:r>
        <w:rPr>
          <w:spacing w:val="-2"/>
          <w:w w:val="95"/>
          <w:sz w:val="21"/>
        </w:rPr>
        <w:t xml:space="preserve">无障碍卫生间是指无性别区分、男女均可使用的小型无障碍卫生间。无障碍卫生间因内部设施较   </w:t>
      </w:r>
      <w:r>
        <w:rPr>
          <w:spacing w:val="-2"/>
          <w:sz w:val="21"/>
        </w:rPr>
        <w:t>多，面积应大于无障碍专用厕位。</w:t>
      </w:r>
    </w:p>
    <w:p>
      <w:pPr>
        <w:pStyle w:val="12"/>
        <w:numPr>
          <w:ilvl w:val="2"/>
          <w:numId w:val="156"/>
        </w:numPr>
        <w:tabs>
          <w:tab w:val="left" w:pos="1052"/>
          <w:tab w:val="left" w:pos="1053"/>
        </w:tabs>
        <w:spacing w:before="0" w:after="0" w:line="269" w:lineRule="exact"/>
        <w:ind w:left="1052" w:right="0" w:hanging="841"/>
        <w:jc w:val="left"/>
        <w:rPr>
          <w:sz w:val="21"/>
        </w:rPr>
      </w:pPr>
      <w:bookmarkStart w:id="703" w:name="4.2.17使用者跌倒时有可能阻碍门向内打开从而影响救援。"/>
      <w:bookmarkEnd w:id="703"/>
      <w:bookmarkStart w:id="704" w:name="4.2.17使用者跌倒时有可能阻碍门向内打开从而影响救援。"/>
      <w:bookmarkEnd w:id="704"/>
      <w:r>
        <w:rPr>
          <w:sz w:val="21"/>
        </w:rPr>
        <w:t>使用者跌倒时有可能阻碍门向内打开从而影响救援。</w:t>
      </w:r>
    </w:p>
    <w:p>
      <w:pPr>
        <w:pStyle w:val="5"/>
        <w:spacing w:before="9"/>
        <w:rPr>
          <w:sz w:val="15"/>
        </w:rPr>
      </w:pPr>
    </w:p>
    <w:p>
      <w:pPr>
        <w:pStyle w:val="12"/>
        <w:numPr>
          <w:ilvl w:val="2"/>
          <w:numId w:val="156"/>
        </w:numPr>
        <w:tabs>
          <w:tab w:val="left" w:pos="1052"/>
          <w:tab w:val="left" w:pos="1053"/>
        </w:tabs>
        <w:spacing w:before="0" w:after="0" w:line="240" w:lineRule="auto"/>
        <w:ind w:left="1052" w:right="0" w:hanging="841"/>
        <w:jc w:val="left"/>
        <w:rPr>
          <w:sz w:val="21"/>
        </w:rPr>
      </w:pPr>
      <w:bookmarkStart w:id="705" w:name="4.2.18本条规定了无障碍卫生间内部无障碍设施要求（如图4.2.18）。"/>
      <w:bookmarkEnd w:id="705"/>
      <w:bookmarkStart w:id="706" w:name="4.2.18本条规定了无障碍卫生间内部无障碍设施要求（如图4.2.18）。"/>
      <w:bookmarkEnd w:id="706"/>
      <w:r>
        <w:rPr>
          <w:sz w:val="21"/>
        </w:rPr>
        <w:t>本条规定了无障碍卫生间内部无障碍设施要求（</w:t>
      </w:r>
      <w:r>
        <w:rPr>
          <w:spacing w:val="-17"/>
          <w:sz w:val="21"/>
        </w:rPr>
        <w:t xml:space="preserve">如图 </w:t>
      </w:r>
      <w:r>
        <w:rPr>
          <w:sz w:val="21"/>
        </w:rPr>
        <w:t>4</w:t>
      </w:r>
      <w:r>
        <w:rPr>
          <w:rFonts w:ascii="Calibri" w:eastAsia="Calibri"/>
          <w:sz w:val="21"/>
        </w:rPr>
        <w:t>.</w:t>
      </w:r>
      <w:r>
        <w:rPr>
          <w:sz w:val="21"/>
        </w:rPr>
        <w:t>2</w:t>
      </w:r>
      <w:r>
        <w:rPr>
          <w:rFonts w:ascii="Calibri" w:eastAsia="Calibri"/>
          <w:sz w:val="21"/>
        </w:rPr>
        <w:t>.</w:t>
      </w:r>
      <w:r>
        <w:rPr>
          <w:sz w:val="21"/>
        </w:rPr>
        <w:t>18）。</w:t>
      </w:r>
    </w:p>
    <w:p>
      <w:pPr>
        <w:spacing w:after="0" w:line="240" w:lineRule="auto"/>
        <w:jc w:val="left"/>
        <w:rPr>
          <w:sz w:val="21"/>
        </w:rPr>
        <w:sectPr>
          <w:pgSz w:w="11910" w:h="16840"/>
          <w:pgMar w:top="1580" w:right="820" w:bottom="1280" w:left="920" w:header="0" w:footer="1095" w:gutter="0"/>
          <w:cols w:space="720" w:num="1"/>
        </w:sectPr>
      </w:pPr>
    </w:p>
    <w:p>
      <w:pPr>
        <w:pStyle w:val="5"/>
        <w:spacing w:before="2"/>
        <w:rPr>
          <w:sz w:val="3"/>
        </w:rPr>
      </w:pPr>
    </w:p>
    <w:p>
      <w:pPr>
        <w:pStyle w:val="5"/>
        <w:ind w:left="1942"/>
        <w:rPr>
          <w:sz w:val="20"/>
        </w:rPr>
      </w:pPr>
      <w:r>
        <w:rPr>
          <w:sz w:val="20"/>
        </w:rPr>
        <w:drawing>
          <wp:inline distT="0" distB="0" distL="0" distR="0">
            <wp:extent cx="3950335" cy="3088640"/>
            <wp:effectExtent l="0" t="0" r="0" b="0"/>
            <wp:docPr id="13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9.jpeg"/>
                    <pic:cNvPicPr>
                      <a:picLocks noChangeAspect="1"/>
                    </pic:cNvPicPr>
                  </pic:nvPicPr>
                  <pic:blipFill>
                    <a:blip r:embed="rId94" cstate="print"/>
                    <a:stretch>
                      <a:fillRect/>
                    </a:stretch>
                  </pic:blipFill>
                  <pic:spPr>
                    <a:xfrm>
                      <a:off x="0" y="0"/>
                      <a:ext cx="3950471" cy="3088767"/>
                    </a:xfrm>
                    <a:prstGeom prst="rect">
                      <a:avLst/>
                    </a:prstGeom>
                  </pic:spPr>
                </pic:pic>
              </a:graphicData>
            </a:graphic>
          </wp:inline>
        </w:drawing>
      </w:r>
    </w:p>
    <w:p>
      <w:pPr>
        <w:pStyle w:val="5"/>
        <w:spacing w:before="9"/>
        <w:rPr>
          <w:sz w:val="9"/>
        </w:rPr>
      </w:pPr>
    </w:p>
    <w:p>
      <w:pPr>
        <w:pStyle w:val="5"/>
        <w:spacing w:before="70"/>
        <w:ind w:right="99"/>
        <w:jc w:val="center"/>
      </w:pPr>
      <w:r>
        <w:t>图 4.2.18 无障碍卫生间平面示意图</w:t>
      </w:r>
    </w:p>
    <w:p>
      <w:pPr>
        <w:pStyle w:val="5"/>
        <w:spacing w:before="6"/>
        <w:rPr>
          <w:sz w:val="19"/>
        </w:rPr>
      </w:pPr>
    </w:p>
    <w:p>
      <w:pPr>
        <w:pStyle w:val="12"/>
        <w:numPr>
          <w:ilvl w:val="0"/>
          <w:numId w:val="163"/>
        </w:numPr>
        <w:tabs>
          <w:tab w:val="left" w:pos="4692"/>
        </w:tabs>
        <w:spacing w:before="0" w:after="0" w:line="240" w:lineRule="auto"/>
        <w:ind w:left="4691" w:right="99" w:hanging="4692"/>
        <w:jc w:val="left"/>
        <w:rPr>
          <w:rFonts w:hint="eastAsia" w:ascii="黑体" w:eastAsia="黑体"/>
          <w:sz w:val="21"/>
        </w:rPr>
      </w:pPr>
      <w:bookmarkStart w:id="707" w:name="III第三卫生间"/>
      <w:bookmarkEnd w:id="707"/>
      <w:bookmarkStart w:id="708" w:name="III第三卫生间"/>
      <w:bookmarkEnd w:id="708"/>
      <w:r>
        <w:rPr>
          <w:rFonts w:hint="eastAsia" w:ascii="黑体" w:eastAsia="黑体"/>
          <w:sz w:val="21"/>
        </w:rPr>
        <w:t>第三卫生间</w:t>
      </w:r>
    </w:p>
    <w:p>
      <w:pPr>
        <w:pStyle w:val="5"/>
        <w:spacing w:before="7"/>
        <w:rPr>
          <w:rFonts w:ascii="黑体"/>
          <w:sz w:val="15"/>
        </w:rPr>
      </w:pPr>
    </w:p>
    <w:p>
      <w:pPr>
        <w:pStyle w:val="12"/>
        <w:numPr>
          <w:ilvl w:val="2"/>
          <w:numId w:val="164"/>
        </w:numPr>
        <w:tabs>
          <w:tab w:val="left" w:pos="1053"/>
        </w:tabs>
        <w:spacing w:before="0" w:after="0" w:line="417" w:lineRule="auto"/>
        <w:ind w:left="212" w:right="311" w:firstLine="0"/>
        <w:jc w:val="both"/>
        <w:rPr>
          <w:sz w:val="21"/>
        </w:rPr>
      </w:pPr>
      <w:bookmarkStart w:id="709" w:name="4.2.20在我国现行无障碍标准《无障碍设计规范》GB 50763-2012中没"/>
      <w:bookmarkEnd w:id="709"/>
      <w:bookmarkStart w:id="710" w:name="4.2.20在我国现行无障碍标准《无障碍设计规范》GB 50763-2012中没"/>
      <w:bookmarkEnd w:id="710"/>
      <w:r>
        <w:rPr>
          <w:sz w:val="21"/>
        </w:rPr>
        <w:t>在我国现行无障碍标准《无障碍设计规范》</w:t>
      </w:r>
      <w:r>
        <w:rPr>
          <w:rFonts w:hint="eastAsia" w:ascii="仿宋" w:eastAsia="仿宋"/>
          <w:sz w:val="21"/>
        </w:rPr>
        <w:t>GB</w:t>
      </w:r>
      <w:r>
        <w:rPr>
          <w:rFonts w:hint="eastAsia" w:ascii="仿宋" w:eastAsia="仿宋"/>
          <w:spacing w:val="10"/>
          <w:sz w:val="21"/>
        </w:rPr>
        <w:t xml:space="preserve"> </w:t>
      </w:r>
      <w:r>
        <w:rPr>
          <w:sz w:val="21"/>
        </w:rPr>
        <w:t>50763-2012</w:t>
      </w:r>
      <w:r>
        <w:rPr>
          <w:spacing w:val="-7"/>
          <w:sz w:val="21"/>
        </w:rPr>
        <w:t xml:space="preserve"> 中没有第三卫生间相关要求，根据实</w:t>
      </w:r>
      <w:r>
        <w:rPr>
          <w:spacing w:val="-9"/>
          <w:sz w:val="21"/>
        </w:rPr>
        <w:t>际情况，为满足异性家庭成员协助有需要的亲人如厕的需求，参照《城市公共厕所设计标准》</w:t>
      </w:r>
      <w:r>
        <w:rPr>
          <w:rFonts w:hint="eastAsia" w:ascii="仿宋" w:eastAsia="仿宋"/>
          <w:sz w:val="21"/>
        </w:rPr>
        <w:t>CJJ</w:t>
      </w:r>
      <w:r>
        <w:rPr>
          <w:rFonts w:hint="eastAsia" w:ascii="仿宋" w:eastAsia="仿宋"/>
          <w:spacing w:val="-68"/>
          <w:sz w:val="21"/>
        </w:rPr>
        <w:t xml:space="preserve"> </w:t>
      </w:r>
      <w:r>
        <w:rPr>
          <w:sz w:val="21"/>
        </w:rPr>
        <w:t>14-2016 的有关规定，本标准增加了第三卫生间的设计要求。</w:t>
      </w:r>
    </w:p>
    <w:p>
      <w:pPr>
        <w:pStyle w:val="12"/>
        <w:numPr>
          <w:ilvl w:val="2"/>
          <w:numId w:val="164"/>
        </w:numPr>
        <w:tabs>
          <w:tab w:val="left" w:pos="1053"/>
        </w:tabs>
        <w:spacing w:before="2" w:after="0" w:line="240" w:lineRule="auto"/>
        <w:ind w:left="1052" w:right="0" w:hanging="841"/>
        <w:jc w:val="both"/>
        <w:rPr>
          <w:sz w:val="21"/>
        </w:rPr>
      </w:pPr>
      <w:bookmarkStart w:id="711" w:name="4.2.21本条规定了第三卫生间的设计要求（如图4.2.21）。"/>
      <w:bookmarkEnd w:id="711"/>
      <w:bookmarkStart w:id="712" w:name="4.2.21本条规定了第三卫生间的设计要求（如图4.2.21）。"/>
      <w:bookmarkEnd w:id="712"/>
      <w:r>
        <w:rPr>
          <w:sz w:val="21"/>
        </w:rPr>
        <w:t>本条规定了第三卫生间的设计要求（</w:t>
      </w:r>
      <w:r>
        <w:rPr>
          <w:spacing w:val="-17"/>
          <w:sz w:val="21"/>
        </w:rPr>
        <w:t xml:space="preserve">如图 </w:t>
      </w:r>
      <w:r>
        <w:rPr>
          <w:sz w:val="21"/>
        </w:rPr>
        <w:t>4</w:t>
      </w:r>
      <w:r>
        <w:rPr>
          <w:rFonts w:ascii="Calibri" w:eastAsia="Calibri"/>
          <w:sz w:val="21"/>
        </w:rPr>
        <w:t>.</w:t>
      </w:r>
      <w:r>
        <w:rPr>
          <w:sz w:val="21"/>
        </w:rPr>
        <w:t>2</w:t>
      </w:r>
      <w:r>
        <w:rPr>
          <w:rFonts w:ascii="Calibri" w:eastAsia="Calibri"/>
          <w:sz w:val="21"/>
        </w:rPr>
        <w:t>.</w:t>
      </w:r>
      <w:r>
        <w:rPr>
          <w:sz w:val="21"/>
        </w:rPr>
        <w:t>21）。</w:t>
      </w:r>
    </w:p>
    <w:p>
      <w:pPr>
        <w:pStyle w:val="5"/>
        <w:spacing w:before="2"/>
        <w:rPr>
          <w:sz w:val="19"/>
        </w:rPr>
      </w:pPr>
      <w:r>
        <w:drawing>
          <wp:anchor distT="0" distB="0" distL="0" distR="0" simplePos="0" relativeHeight="251659264" behindDoc="0" locked="0" layoutInCell="1" allowOverlap="1">
            <wp:simplePos x="0" y="0"/>
            <wp:positionH relativeFrom="page">
              <wp:posOffset>1817370</wp:posOffset>
            </wp:positionH>
            <wp:positionV relativeFrom="paragraph">
              <wp:posOffset>180340</wp:posOffset>
            </wp:positionV>
            <wp:extent cx="3950335" cy="2917190"/>
            <wp:effectExtent l="0" t="0" r="0" b="0"/>
            <wp:wrapTopAndBottom/>
            <wp:docPr id="13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70.jpeg"/>
                    <pic:cNvPicPr>
                      <a:picLocks noChangeAspect="1"/>
                    </pic:cNvPicPr>
                  </pic:nvPicPr>
                  <pic:blipFill>
                    <a:blip r:embed="rId95" cstate="print"/>
                    <a:stretch>
                      <a:fillRect/>
                    </a:stretch>
                  </pic:blipFill>
                  <pic:spPr>
                    <a:xfrm>
                      <a:off x="0" y="0"/>
                      <a:ext cx="3950471" cy="2916936"/>
                    </a:xfrm>
                    <a:prstGeom prst="rect">
                      <a:avLst/>
                    </a:prstGeom>
                  </pic:spPr>
                </pic:pic>
              </a:graphicData>
            </a:graphic>
          </wp:anchor>
        </w:drawing>
      </w:r>
    </w:p>
    <w:p>
      <w:pPr>
        <w:pStyle w:val="5"/>
        <w:spacing w:before="11"/>
        <w:rPr>
          <w:sz w:val="25"/>
        </w:rPr>
      </w:pPr>
    </w:p>
    <w:p>
      <w:pPr>
        <w:pStyle w:val="5"/>
        <w:ind w:right="102"/>
        <w:jc w:val="center"/>
      </w:pPr>
      <w:r>
        <w:t>图 4.2.21 第三卫生间平面示意图</w:t>
      </w:r>
    </w:p>
    <w:p>
      <w:pPr>
        <w:spacing w:after="0"/>
        <w:jc w:val="center"/>
        <w:sectPr>
          <w:pgSz w:w="11910" w:h="16840"/>
          <w:pgMar w:top="1580" w:right="820" w:bottom="1280" w:left="920" w:header="0" w:footer="1095" w:gutter="0"/>
          <w:cols w:space="720" w:num="1"/>
        </w:sectPr>
      </w:pPr>
    </w:p>
    <w:p>
      <w:pPr>
        <w:pStyle w:val="5"/>
        <w:spacing w:before="60"/>
        <w:ind w:left="632"/>
        <w:jc w:val="both"/>
      </w:pPr>
      <w:r>
        <w:t>1、3 参照《城市公共厕所设计标准》</w:t>
      </w:r>
      <w:r>
        <w:rPr>
          <w:rFonts w:hint="eastAsia" w:ascii="仿宋" w:hAnsi="仿宋" w:eastAsia="仿宋"/>
        </w:rPr>
        <w:t xml:space="preserve">CJJ </w:t>
      </w:r>
      <w:r>
        <w:t>14-2016 第 4.3.3 条第 1 款“位置宜靠近公共厕所入口，</w:t>
      </w:r>
    </w:p>
    <w:p>
      <w:pPr>
        <w:pStyle w:val="5"/>
        <w:spacing w:before="6"/>
        <w:rPr>
          <w:sz w:val="15"/>
        </w:rPr>
      </w:pPr>
    </w:p>
    <w:p>
      <w:pPr>
        <w:pStyle w:val="5"/>
        <w:spacing w:before="1" w:line="417" w:lineRule="auto"/>
        <w:ind w:left="212" w:right="307"/>
        <w:jc w:val="both"/>
      </w:pPr>
      <w:r>
        <w:rPr>
          <w:spacing w:val="-2"/>
          <w:w w:val="99"/>
        </w:rPr>
        <w:t>应方便行动不便者进入，轮椅回转直径不应小于</w:t>
      </w:r>
      <w:r>
        <w:rPr>
          <w:spacing w:val="-53"/>
        </w:rPr>
        <w:t xml:space="preserve"> </w:t>
      </w:r>
      <w:r>
        <w:rPr>
          <w:spacing w:val="1"/>
          <w:w w:val="99"/>
        </w:rPr>
        <w:t>1.5</w:t>
      </w:r>
      <w:r>
        <w:rPr>
          <w:spacing w:val="-2"/>
          <w:w w:val="99"/>
        </w:rPr>
        <w:t>0</w:t>
      </w:r>
      <w:r>
        <w:rPr>
          <w:rFonts w:hint="eastAsia" w:ascii="仿宋" w:hAnsi="仿宋" w:eastAsia="仿宋"/>
          <w:spacing w:val="1"/>
          <w:w w:val="99"/>
        </w:rPr>
        <w:t>m</w:t>
      </w:r>
      <w:r>
        <w:rPr>
          <w:spacing w:val="-2"/>
          <w:w w:val="99"/>
        </w:rPr>
        <w:t>”和第</w:t>
      </w:r>
      <w:r>
        <w:rPr>
          <w:spacing w:val="-53"/>
        </w:rPr>
        <w:t xml:space="preserve"> </w:t>
      </w:r>
      <w:r>
        <w:rPr>
          <w:w w:val="99"/>
        </w:rPr>
        <w:t>3</w:t>
      </w:r>
      <w:r>
        <w:rPr>
          <w:spacing w:val="-52"/>
        </w:rPr>
        <w:t xml:space="preserve"> </w:t>
      </w:r>
      <w:r>
        <w:rPr>
          <w:spacing w:val="-1"/>
          <w:w w:val="99"/>
        </w:rPr>
        <w:t>款“使用面积不应小于</w:t>
      </w:r>
      <w:r>
        <w:rPr>
          <w:spacing w:val="-53"/>
        </w:rPr>
        <w:t xml:space="preserve"> </w:t>
      </w:r>
      <w:r>
        <w:rPr>
          <w:spacing w:val="1"/>
          <w:w w:val="99"/>
        </w:rPr>
        <w:t>6.</w:t>
      </w:r>
      <w:r>
        <w:rPr>
          <w:spacing w:val="-2"/>
          <w:w w:val="99"/>
        </w:rPr>
        <w:t>5</w:t>
      </w:r>
      <w:r>
        <w:rPr>
          <w:w w:val="99"/>
        </w:rPr>
        <w:t>0</w:t>
      </w:r>
      <w:r>
        <w:rPr>
          <w:spacing w:val="-52"/>
        </w:rPr>
        <w:t xml:space="preserve"> </w:t>
      </w:r>
      <w:r>
        <w:rPr>
          <w:rFonts w:hint="eastAsia" w:ascii="仿宋" w:hAnsi="仿宋" w:eastAsia="仿宋"/>
          <w:spacing w:val="1"/>
          <w:w w:val="99"/>
        </w:rPr>
        <w:t>m</w:t>
      </w:r>
      <w:r>
        <w:rPr>
          <w:spacing w:val="-1"/>
          <w:w w:val="106"/>
          <w:position w:val="11"/>
          <w:sz w:val="10"/>
        </w:rPr>
        <w:t>2</w:t>
      </w:r>
      <w:r>
        <w:rPr>
          <w:spacing w:val="-2"/>
          <w:w w:val="99"/>
        </w:rPr>
        <w:t>。”本款规</w:t>
      </w:r>
      <w:r>
        <w:rPr>
          <w:spacing w:val="-2"/>
        </w:rPr>
        <w:t>定了第三卫生间的设置位置、面积的要求，并规定内部留有轮椅回转空间。</w:t>
      </w:r>
    </w:p>
    <w:p>
      <w:pPr>
        <w:pStyle w:val="12"/>
        <w:numPr>
          <w:ilvl w:val="0"/>
          <w:numId w:val="162"/>
        </w:numPr>
        <w:tabs>
          <w:tab w:val="left" w:pos="1056"/>
        </w:tabs>
        <w:spacing w:before="0" w:after="0" w:line="417" w:lineRule="auto"/>
        <w:ind w:left="212" w:right="310" w:firstLine="420"/>
        <w:jc w:val="both"/>
        <w:rPr>
          <w:sz w:val="21"/>
        </w:rPr>
      </w:pPr>
      <w:r>
        <w:rPr>
          <w:sz w:val="21"/>
        </w:rPr>
        <w:t>参照《城市公共厕所设计标准》</w:t>
      </w:r>
      <w:r>
        <w:rPr>
          <w:rFonts w:hint="eastAsia" w:ascii="仿宋" w:hAnsi="仿宋" w:eastAsia="仿宋"/>
          <w:sz w:val="21"/>
        </w:rPr>
        <w:t>CJJ</w:t>
      </w:r>
      <w:r>
        <w:rPr>
          <w:rFonts w:hint="eastAsia" w:ascii="仿宋" w:hAnsi="仿宋" w:eastAsia="仿宋"/>
          <w:spacing w:val="4"/>
          <w:sz w:val="21"/>
        </w:rPr>
        <w:t xml:space="preserve"> </w:t>
      </w:r>
      <w:r>
        <w:rPr>
          <w:sz w:val="21"/>
        </w:rPr>
        <w:t>14-2016</w:t>
      </w:r>
      <w:r>
        <w:rPr>
          <w:spacing w:val="-34"/>
          <w:sz w:val="21"/>
        </w:rPr>
        <w:t xml:space="preserve"> 第 </w:t>
      </w:r>
      <w:r>
        <w:rPr>
          <w:sz w:val="21"/>
        </w:rPr>
        <w:t>4.3.3</w:t>
      </w:r>
      <w:r>
        <w:rPr>
          <w:spacing w:val="-27"/>
          <w:sz w:val="21"/>
        </w:rPr>
        <w:t xml:space="preserve"> 条第 </w:t>
      </w:r>
      <w:r>
        <w:rPr>
          <w:sz w:val="21"/>
        </w:rPr>
        <w:t>2</w:t>
      </w:r>
      <w:r>
        <w:rPr>
          <w:spacing w:val="-7"/>
          <w:sz w:val="21"/>
        </w:rPr>
        <w:t xml:space="preserve"> 款“内部设施宜包括成人坐便器、</w:t>
      </w:r>
      <w:r>
        <w:rPr>
          <w:spacing w:val="-6"/>
          <w:sz w:val="21"/>
        </w:rPr>
        <w:t>成人洗手盆、多功能台、安全抓杆、挂衣钩和呼叫器、儿童坐便器、儿童洗手盆、儿童安全座椅。”结合</w:t>
      </w:r>
      <w:r>
        <w:rPr>
          <w:spacing w:val="-3"/>
          <w:sz w:val="21"/>
        </w:rPr>
        <w:t>深圳市第三卫生间实际建设情况，本款规定其  内部可设置无障碍坐便器、无障碍洗手</w:t>
      </w:r>
      <w:r>
        <w:rPr>
          <w:spacing w:val="3"/>
          <w:sz w:val="21"/>
        </w:rPr>
        <w:t>/面盆、低位挂衣钩、求助呼叫按钮、婴儿护理台、儿童安全座椅、儿童坐便器、儿童洗手/面盆。</w:t>
      </w:r>
    </w:p>
    <w:p>
      <w:pPr>
        <w:pStyle w:val="12"/>
        <w:numPr>
          <w:ilvl w:val="0"/>
          <w:numId w:val="162"/>
        </w:numPr>
        <w:tabs>
          <w:tab w:val="left" w:pos="1056"/>
        </w:tabs>
        <w:spacing w:before="0" w:after="0" w:line="417" w:lineRule="auto"/>
        <w:ind w:left="212" w:right="312" w:firstLine="420"/>
        <w:jc w:val="both"/>
        <w:rPr>
          <w:sz w:val="21"/>
        </w:rPr>
      </w:pPr>
      <w:r>
        <w:rPr>
          <w:sz w:val="21"/>
        </w:rPr>
        <w:t>参照《城市公共厕所设计标准》</w:t>
      </w:r>
      <w:r>
        <w:rPr>
          <w:rFonts w:hint="eastAsia" w:ascii="仿宋" w:hAnsi="仿宋" w:eastAsia="仿宋"/>
          <w:sz w:val="21"/>
        </w:rPr>
        <w:t>CJJ</w:t>
      </w:r>
      <w:r>
        <w:rPr>
          <w:rFonts w:hint="eastAsia" w:ascii="仿宋" w:hAnsi="仿宋" w:eastAsia="仿宋"/>
          <w:spacing w:val="4"/>
          <w:sz w:val="21"/>
        </w:rPr>
        <w:t xml:space="preserve"> </w:t>
      </w:r>
      <w:r>
        <w:rPr>
          <w:sz w:val="21"/>
        </w:rPr>
        <w:t>14-2016</w:t>
      </w:r>
      <w:r>
        <w:rPr>
          <w:spacing w:val="-34"/>
          <w:sz w:val="21"/>
        </w:rPr>
        <w:t xml:space="preserve"> 第 </w:t>
      </w:r>
      <w:r>
        <w:rPr>
          <w:sz w:val="21"/>
        </w:rPr>
        <w:t>4.3.3</w:t>
      </w:r>
      <w:r>
        <w:rPr>
          <w:spacing w:val="-27"/>
          <w:sz w:val="21"/>
        </w:rPr>
        <w:t xml:space="preserve"> 条第 </w:t>
      </w:r>
      <w:r>
        <w:rPr>
          <w:sz w:val="21"/>
        </w:rPr>
        <w:t>6</w:t>
      </w:r>
      <w:r>
        <w:rPr>
          <w:spacing w:val="-7"/>
          <w:sz w:val="21"/>
        </w:rPr>
        <w:t xml:space="preserve"> 款“多功能台和儿童安全座椅应可</w:t>
      </w:r>
      <w:r>
        <w:rPr>
          <w:sz w:val="21"/>
        </w:rPr>
        <w:t>折叠并设有安全带……” 结合深圳市第三卫生间实际建设情况，本款规定婴儿护理台和儿童安全座椅应可折叠并设有安全带。</w:t>
      </w:r>
    </w:p>
    <w:p>
      <w:pPr>
        <w:pStyle w:val="12"/>
        <w:numPr>
          <w:ilvl w:val="0"/>
          <w:numId w:val="163"/>
        </w:numPr>
        <w:tabs>
          <w:tab w:val="left" w:pos="4639"/>
        </w:tabs>
        <w:spacing w:before="0" w:after="0" w:line="269" w:lineRule="exact"/>
        <w:ind w:left="4638" w:right="99" w:hanging="4639"/>
        <w:jc w:val="left"/>
        <w:rPr>
          <w:rFonts w:hint="eastAsia" w:ascii="黑体" w:eastAsia="黑体"/>
          <w:sz w:val="21"/>
        </w:rPr>
      </w:pPr>
      <w:bookmarkStart w:id="713" w:name="IV公共卫生间"/>
      <w:bookmarkEnd w:id="713"/>
      <w:bookmarkStart w:id="714" w:name="IV公共卫生间"/>
      <w:bookmarkEnd w:id="714"/>
      <w:r>
        <w:rPr>
          <w:rFonts w:hint="eastAsia" w:ascii="黑体" w:eastAsia="黑体"/>
          <w:sz w:val="21"/>
        </w:rPr>
        <w:t>公共卫生间</w:t>
      </w:r>
    </w:p>
    <w:p>
      <w:pPr>
        <w:pStyle w:val="5"/>
        <w:spacing w:before="5"/>
        <w:rPr>
          <w:rFonts w:ascii="黑体"/>
          <w:sz w:val="15"/>
        </w:rPr>
      </w:pPr>
    </w:p>
    <w:p>
      <w:pPr>
        <w:pStyle w:val="12"/>
        <w:numPr>
          <w:ilvl w:val="2"/>
          <w:numId w:val="164"/>
        </w:numPr>
        <w:tabs>
          <w:tab w:val="left" w:pos="1053"/>
        </w:tabs>
        <w:spacing w:before="0" w:after="0" w:line="417" w:lineRule="auto"/>
        <w:ind w:left="212" w:right="312" w:firstLine="0"/>
        <w:jc w:val="both"/>
        <w:rPr>
          <w:sz w:val="21"/>
        </w:rPr>
      </w:pPr>
      <w:bookmarkStart w:id="715" w:name="4.2.22为避免资源浪费，在城市公共空间或场所中，如果公共卫生间附近设置有无障"/>
      <w:bookmarkEnd w:id="715"/>
      <w:bookmarkStart w:id="716" w:name="4.2.22为避免资源浪费，在城市公共空间或场所中，如果公共卫生间附近设置有无障"/>
      <w:bookmarkEnd w:id="716"/>
      <w:r>
        <w:rPr>
          <w:spacing w:val="-3"/>
          <w:w w:val="95"/>
          <w:sz w:val="21"/>
        </w:rPr>
        <w:t xml:space="preserve">为避免资源浪费，在城市公共空间或场所中，如果公共卫生间附近设置有无障碍卫生间或第三卫   </w:t>
      </w:r>
      <w:r>
        <w:rPr>
          <w:sz w:val="21"/>
        </w:rPr>
        <w:t>生间，公共卫生间内可不配置无障碍厕位、无障碍小便器与无障碍洗手/面盆，有需要的人士可至无障碍</w:t>
      </w:r>
      <w:r>
        <w:rPr>
          <w:spacing w:val="-2"/>
          <w:w w:val="95"/>
          <w:sz w:val="21"/>
        </w:rPr>
        <w:t xml:space="preserve">卫生间或者第三卫生间如厕；对于没有条件单独配备无障碍卫生间或第三卫生间的公共场所，其公共卫生   </w:t>
      </w:r>
      <w:r>
        <w:rPr>
          <w:spacing w:val="-2"/>
          <w:sz w:val="21"/>
        </w:rPr>
        <w:t>间内应配置相关的无障碍设施。为方便儿童在如厕后洗手，男、女卫生间内应分别设儿童洗手/面盆。</w:t>
      </w:r>
    </w:p>
    <w:p>
      <w:pPr>
        <w:pStyle w:val="12"/>
        <w:numPr>
          <w:ilvl w:val="2"/>
          <w:numId w:val="164"/>
        </w:numPr>
        <w:tabs>
          <w:tab w:val="left" w:pos="1053"/>
        </w:tabs>
        <w:spacing w:before="0" w:after="0" w:line="268" w:lineRule="exact"/>
        <w:ind w:left="1052" w:right="0" w:hanging="841"/>
        <w:jc w:val="both"/>
        <w:rPr>
          <w:sz w:val="21"/>
        </w:rPr>
      </w:pPr>
      <w:bookmarkStart w:id="717" w:name="4.2.23本条规定了公共卫生间的无障碍设计要求。"/>
      <w:bookmarkEnd w:id="717"/>
      <w:bookmarkStart w:id="718" w:name="4.2.23本条规定了公共卫生间的无障碍设计要求。"/>
      <w:bookmarkEnd w:id="718"/>
      <w:r>
        <w:rPr>
          <w:sz w:val="21"/>
        </w:rPr>
        <w:t>本条规定了公共卫生间的无障碍设计要求。</w:t>
      </w:r>
    </w:p>
    <w:p>
      <w:pPr>
        <w:pStyle w:val="5"/>
        <w:spacing w:before="7"/>
        <w:rPr>
          <w:sz w:val="15"/>
        </w:rPr>
      </w:pPr>
    </w:p>
    <w:p>
      <w:pPr>
        <w:pStyle w:val="5"/>
        <w:tabs>
          <w:tab w:val="left" w:pos="1059"/>
        </w:tabs>
        <w:spacing w:line="417" w:lineRule="auto"/>
        <w:ind w:left="212" w:right="208" w:firstLine="427"/>
      </w:pPr>
      <w:r>
        <w:t>3</w:t>
      </w:r>
      <w:r>
        <w:tab/>
      </w:r>
      <w:r>
        <w:t>根据公共卫生间实际使用情况，参照《城市公共厕所设计标准》</w:t>
      </w:r>
      <w:r>
        <w:rPr>
          <w:rFonts w:hint="eastAsia" w:ascii="仿宋" w:hAnsi="仿宋" w:eastAsia="仿宋"/>
        </w:rPr>
        <w:t>CJJ</w:t>
      </w:r>
      <w:r>
        <w:rPr>
          <w:rFonts w:hint="eastAsia" w:ascii="仿宋" w:hAnsi="仿宋" w:eastAsia="仿宋"/>
          <w:spacing w:val="1"/>
        </w:rPr>
        <w:t xml:space="preserve"> </w:t>
      </w:r>
      <w:r>
        <w:t>14-2016</w:t>
      </w:r>
      <w:r>
        <w:rPr>
          <w:spacing w:val="-35"/>
        </w:rPr>
        <w:t xml:space="preserve"> 第 </w:t>
      </w:r>
      <w:r>
        <w:t>4.1.1</w:t>
      </w:r>
      <w:r>
        <w:rPr>
          <w:spacing w:val="-12"/>
        </w:rPr>
        <w:t xml:space="preserve"> 条“在人</w:t>
      </w:r>
      <w:r>
        <w:rPr>
          <w:spacing w:val="-13"/>
        </w:rPr>
        <w:t xml:space="preserve">流集中的场所，女厕位与男厕位(含小便站位)的比例不应小于 </w:t>
      </w:r>
      <w:r>
        <w:rPr>
          <w:spacing w:val="-15"/>
        </w:rPr>
        <w:t>2：1</w:t>
      </w:r>
      <w:r>
        <w:rPr>
          <w:spacing w:val="-10"/>
        </w:rPr>
        <w:t>。”本款增加男女厕位数量比例的要求。</w:t>
      </w:r>
    </w:p>
    <w:p>
      <w:pPr>
        <w:pStyle w:val="12"/>
        <w:numPr>
          <w:ilvl w:val="2"/>
          <w:numId w:val="164"/>
        </w:numPr>
        <w:tabs>
          <w:tab w:val="left" w:pos="1052"/>
          <w:tab w:val="left" w:pos="1053"/>
        </w:tabs>
        <w:spacing w:before="0" w:after="0" w:line="269" w:lineRule="exact"/>
        <w:ind w:left="1052" w:right="0" w:hanging="841"/>
        <w:jc w:val="left"/>
        <w:rPr>
          <w:sz w:val="21"/>
        </w:rPr>
      </w:pPr>
      <w:bookmarkStart w:id="719" w:name="4.2.24本条规定了无障碍厕位的设计要求。"/>
      <w:bookmarkEnd w:id="719"/>
      <w:bookmarkStart w:id="720" w:name="4.2.24本条规定了无障碍厕位的设计要求。"/>
      <w:bookmarkEnd w:id="720"/>
      <w:r>
        <w:rPr>
          <w:sz w:val="21"/>
        </w:rPr>
        <w:t>本条规定了无障碍厕位的设计要求。</w:t>
      </w:r>
    </w:p>
    <w:p>
      <w:pPr>
        <w:pStyle w:val="5"/>
        <w:spacing w:before="7"/>
        <w:rPr>
          <w:sz w:val="15"/>
        </w:rPr>
      </w:pPr>
    </w:p>
    <w:p>
      <w:pPr>
        <w:pStyle w:val="12"/>
        <w:numPr>
          <w:ilvl w:val="3"/>
          <w:numId w:val="164"/>
        </w:numPr>
        <w:tabs>
          <w:tab w:val="left" w:pos="1059"/>
          <w:tab w:val="left" w:pos="1060"/>
        </w:tabs>
        <w:spacing w:before="0" w:after="0" w:line="417" w:lineRule="auto"/>
        <w:ind w:left="212" w:right="312" w:firstLine="427"/>
        <w:jc w:val="left"/>
        <w:rPr>
          <w:sz w:val="21"/>
        </w:rPr>
      </w:pPr>
      <w:r>
        <w:rPr>
          <w:sz w:val="21"/>
        </w:rPr>
        <w:t>1.80</w:t>
      </w:r>
      <w:r>
        <w:rPr>
          <w:rFonts w:hint="eastAsia" w:ascii="仿宋" w:hAnsi="仿宋" w:eastAsia="仿宋"/>
          <w:sz w:val="21"/>
        </w:rPr>
        <w:t>m</w:t>
      </w:r>
      <w:r>
        <w:rPr>
          <w:sz w:val="21"/>
        </w:rPr>
        <w:t>×1.50</w:t>
      </w:r>
      <w:r>
        <w:rPr>
          <w:rFonts w:hint="eastAsia" w:ascii="仿宋" w:hAnsi="仿宋" w:eastAsia="仿宋"/>
          <w:sz w:val="21"/>
        </w:rPr>
        <w:t>m</w:t>
      </w:r>
      <w:r>
        <w:rPr>
          <w:rFonts w:hint="eastAsia" w:ascii="仿宋" w:hAnsi="仿宋" w:eastAsia="仿宋"/>
          <w:spacing w:val="-68"/>
          <w:sz w:val="21"/>
        </w:rPr>
        <w:t xml:space="preserve"> </w:t>
      </w:r>
      <w:r>
        <w:rPr>
          <w:spacing w:val="-4"/>
          <w:sz w:val="21"/>
        </w:rPr>
        <w:t>的尺寸可提供轮椅进入后调整角度和回转的空间，轮椅可在坐便器侧面靠近后平移就位。此尺寸要求不只限于面积要求，也要求了单边尺寸的最小值。</w:t>
      </w:r>
    </w:p>
    <w:p>
      <w:pPr>
        <w:pStyle w:val="12"/>
        <w:numPr>
          <w:ilvl w:val="3"/>
          <w:numId w:val="164"/>
        </w:numPr>
        <w:tabs>
          <w:tab w:val="left" w:pos="1052"/>
          <w:tab w:val="left" w:pos="1053"/>
        </w:tabs>
        <w:spacing w:before="0" w:after="0" w:line="269" w:lineRule="exact"/>
        <w:ind w:left="1052" w:right="0" w:hanging="421"/>
        <w:jc w:val="left"/>
        <w:rPr>
          <w:sz w:val="21"/>
        </w:rPr>
      </w:pPr>
      <w:r>
        <w:rPr>
          <w:sz w:val="21"/>
        </w:rPr>
        <w:t>无障碍厕位门净宽与卫生间门净宽要求一致。</w:t>
      </w:r>
    </w:p>
    <w:p>
      <w:pPr>
        <w:pStyle w:val="5"/>
        <w:spacing w:before="6"/>
        <w:rPr>
          <w:sz w:val="15"/>
        </w:rPr>
      </w:pPr>
    </w:p>
    <w:p>
      <w:pPr>
        <w:pStyle w:val="12"/>
        <w:numPr>
          <w:ilvl w:val="3"/>
          <w:numId w:val="164"/>
        </w:numPr>
        <w:tabs>
          <w:tab w:val="left" w:pos="1052"/>
          <w:tab w:val="left" w:pos="1053"/>
        </w:tabs>
        <w:spacing w:before="1" w:after="0" w:line="240" w:lineRule="auto"/>
        <w:ind w:left="1052" w:right="0" w:hanging="421"/>
        <w:jc w:val="left"/>
        <w:rPr>
          <w:sz w:val="21"/>
        </w:rPr>
      </w:pPr>
      <w:r>
        <w:rPr>
          <w:sz w:val="21"/>
        </w:rPr>
        <w:t>考虑到无法站立或蹲下的人群的使用需求，无障碍厕位内应设置无障碍坐便器。</w:t>
      </w:r>
    </w:p>
    <w:p>
      <w:pPr>
        <w:pStyle w:val="5"/>
        <w:spacing w:before="6"/>
        <w:rPr>
          <w:sz w:val="15"/>
        </w:rPr>
      </w:pPr>
    </w:p>
    <w:p>
      <w:pPr>
        <w:pStyle w:val="12"/>
        <w:numPr>
          <w:ilvl w:val="0"/>
          <w:numId w:val="163"/>
        </w:numPr>
        <w:tabs>
          <w:tab w:val="left" w:pos="4797"/>
        </w:tabs>
        <w:spacing w:before="0" w:after="0" w:line="240" w:lineRule="auto"/>
        <w:ind w:left="4796" w:right="99" w:hanging="4797"/>
        <w:jc w:val="left"/>
        <w:rPr>
          <w:rFonts w:hint="eastAsia" w:ascii="黑体" w:eastAsia="黑体"/>
          <w:sz w:val="21"/>
        </w:rPr>
      </w:pPr>
      <w:bookmarkStart w:id="721" w:name="V母婴室"/>
      <w:bookmarkEnd w:id="721"/>
      <w:bookmarkStart w:id="722" w:name="V母婴室"/>
      <w:bookmarkEnd w:id="722"/>
      <w:r>
        <w:rPr>
          <w:rFonts w:hint="eastAsia" w:ascii="黑体" w:eastAsia="黑体"/>
          <w:sz w:val="21"/>
        </w:rPr>
        <w:t>母婴室</w:t>
      </w:r>
    </w:p>
    <w:p>
      <w:pPr>
        <w:pStyle w:val="5"/>
        <w:spacing w:before="7"/>
        <w:rPr>
          <w:rFonts w:ascii="黑体"/>
          <w:sz w:val="15"/>
        </w:rPr>
      </w:pPr>
    </w:p>
    <w:p>
      <w:pPr>
        <w:pStyle w:val="12"/>
        <w:numPr>
          <w:ilvl w:val="2"/>
          <w:numId w:val="164"/>
        </w:numPr>
        <w:tabs>
          <w:tab w:val="left" w:pos="1053"/>
        </w:tabs>
        <w:spacing w:before="0" w:after="0" w:line="417" w:lineRule="auto"/>
        <w:ind w:left="212" w:right="312" w:firstLine="0"/>
        <w:jc w:val="both"/>
        <w:rPr>
          <w:sz w:val="21"/>
        </w:rPr>
      </w:pPr>
      <w:bookmarkStart w:id="723" w:name="4.2.25在我国现行无障碍标准《无障碍设计规范》GB 50763-2012中没"/>
      <w:bookmarkEnd w:id="723"/>
      <w:bookmarkStart w:id="724" w:name="4.2.25在我国现行无障碍标准《无障碍设计规范》GB 50763-2012中没"/>
      <w:bookmarkEnd w:id="724"/>
      <w:r>
        <w:rPr>
          <w:sz w:val="21"/>
        </w:rPr>
        <w:t>在我国现行无障碍标准《无障碍设计规范》</w:t>
      </w:r>
      <w:r>
        <w:rPr>
          <w:rFonts w:hint="eastAsia" w:ascii="仿宋" w:eastAsia="仿宋"/>
          <w:sz w:val="21"/>
        </w:rPr>
        <w:t>GB</w:t>
      </w:r>
      <w:r>
        <w:rPr>
          <w:rFonts w:hint="eastAsia" w:ascii="仿宋" w:eastAsia="仿宋"/>
          <w:spacing w:val="10"/>
          <w:sz w:val="21"/>
        </w:rPr>
        <w:t xml:space="preserve"> </w:t>
      </w:r>
      <w:r>
        <w:rPr>
          <w:sz w:val="21"/>
        </w:rPr>
        <w:t>50763-2012</w:t>
      </w:r>
      <w:r>
        <w:rPr>
          <w:spacing w:val="-7"/>
          <w:sz w:val="21"/>
        </w:rPr>
        <w:t xml:space="preserve"> 中没有母婴室相关要求，根据实际母婴护理需求，参照《深圳市公共场所母婴室设计规程》</w:t>
      </w:r>
      <w:r>
        <w:rPr>
          <w:rFonts w:hint="eastAsia" w:ascii="仿宋" w:eastAsia="仿宋"/>
          <w:spacing w:val="-7"/>
          <w:sz w:val="21"/>
        </w:rPr>
        <w:t>SJG</w:t>
      </w:r>
      <w:r>
        <w:rPr>
          <w:rFonts w:hint="eastAsia" w:ascii="仿宋" w:eastAsia="仿宋"/>
          <w:spacing w:val="8"/>
          <w:sz w:val="21"/>
        </w:rPr>
        <w:t xml:space="preserve"> </w:t>
      </w:r>
      <w:r>
        <w:rPr>
          <w:sz w:val="21"/>
        </w:rPr>
        <w:t>54-2019</w:t>
      </w:r>
      <w:r>
        <w:rPr>
          <w:spacing w:val="-7"/>
          <w:sz w:val="21"/>
        </w:rPr>
        <w:t xml:space="preserve"> 有关规定，本标准增加了母婴室的设计要求。</w:t>
      </w:r>
    </w:p>
    <w:p>
      <w:pPr>
        <w:pStyle w:val="12"/>
        <w:numPr>
          <w:ilvl w:val="2"/>
          <w:numId w:val="164"/>
        </w:numPr>
        <w:tabs>
          <w:tab w:val="left" w:pos="1053"/>
        </w:tabs>
        <w:spacing w:before="0" w:after="0" w:line="417" w:lineRule="auto"/>
        <w:ind w:left="212" w:right="312" w:firstLine="0"/>
        <w:jc w:val="both"/>
        <w:rPr>
          <w:sz w:val="21"/>
        </w:rPr>
      </w:pPr>
      <w:bookmarkStart w:id="725" w:name="4.2.26参照《深圳市公共场所母婴室设计规程》SJG 54-2019第3.0."/>
      <w:bookmarkEnd w:id="725"/>
      <w:bookmarkStart w:id="726" w:name="4.2.26参照《深圳市公共场所母婴室设计规程》SJG 54-2019第3.0."/>
      <w:bookmarkEnd w:id="726"/>
      <w:r>
        <w:rPr>
          <w:sz w:val="21"/>
        </w:rPr>
        <w:t>参照《深圳市公共场所母婴室设计规程》</w:t>
      </w:r>
      <w:r>
        <w:rPr>
          <w:rFonts w:hint="eastAsia" w:ascii="仿宋" w:hAnsi="仿宋" w:eastAsia="仿宋"/>
          <w:sz w:val="21"/>
        </w:rPr>
        <w:t>SJG</w:t>
      </w:r>
      <w:r>
        <w:rPr>
          <w:rFonts w:hint="eastAsia" w:ascii="仿宋" w:hAnsi="仿宋" w:eastAsia="仿宋"/>
          <w:spacing w:val="4"/>
          <w:sz w:val="21"/>
        </w:rPr>
        <w:t xml:space="preserve"> </w:t>
      </w:r>
      <w:r>
        <w:rPr>
          <w:sz w:val="21"/>
        </w:rPr>
        <w:t>54-2019</w:t>
      </w:r>
      <w:r>
        <w:rPr>
          <w:spacing w:val="-34"/>
          <w:sz w:val="21"/>
        </w:rPr>
        <w:t xml:space="preserve"> 第 </w:t>
      </w:r>
      <w:r>
        <w:rPr>
          <w:sz w:val="21"/>
        </w:rPr>
        <w:t>3.0.2</w:t>
      </w:r>
      <w:r>
        <w:rPr>
          <w:spacing w:val="-25"/>
          <w:sz w:val="21"/>
        </w:rPr>
        <w:t xml:space="preserve"> 条第 </w:t>
      </w:r>
      <w:r>
        <w:rPr>
          <w:sz w:val="21"/>
        </w:rPr>
        <w:t>1</w:t>
      </w:r>
      <w:r>
        <w:rPr>
          <w:spacing w:val="-8"/>
          <w:sz w:val="21"/>
        </w:rPr>
        <w:t xml:space="preserve"> 款“所有母婴经常逗留的</w:t>
      </w:r>
      <w:r>
        <w:rPr>
          <w:spacing w:val="-1"/>
          <w:w w:val="99"/>
          <w:sz w:val="21"/>
        </w:rPr>
        <w:t>公共场所，宜设置使用面积不小于</w:t>
      </w:r>
      <w:r>
        <w:rPr>
          <w:spacing w:val="-50"/>
          <w:sz w:val="21"/>
        </w:rPr>
        <w:t xml:space="preserve"> </w:t>
      </w:r>
      <w:r>
        <w:rPr>
          <w:w w:val="99"/>
          <w:sz w:val="21"/>
        </w:rPr>
        <w:t>6</w:t>
      </w:r>
      <w:r>
        <w:rPr>
          <w:spacing w:val="-49"/>
          <w:sz w:val="21"/>
        </w:rPr>
        <w:t xml:space="preserve"> </w:t>
      </w:r>
      <w:r>
        <w:rPr>
          <w:rFonts w:hint="eastAsia" w:ascii="仿宋" w:hAnsi="仿宋" w:eastAsia="仿宋"/>
          <w:spacing w:val="1"/>
          <w:w w:val="99"/>
          <w:sz w:val="21"/>
        </w:rPr>
        <w:t>m</w:t>
      </w:r>
      <w:r>
        <w:rPr>
          <w:w w:val="106"/>
          <w:position w:val="11"/>
          <w:sz w:val="10"/>
        </w:rPr>
        <w:t>2</w:t>
      </w:r>
      <w:r>
        <w:rPr>
          <w:spacing w:val="-24"/>
          <w:position w:val="11"/>
          <w:sz w:val="10"/>
        </w:rPr>
        <w:t xml:space="preserve"> </w:t>
      </w:r>
      <w:r>
        <w:rPr>
          <w:spacing w:val="-1"/>
          <w:w w:val="99"/>
          <w:sz w:val="21"/>
        </w:rPr>
        <w:t>的母婴室。”本条做出相应规定。公共场所确无条件配建独立母婴</w:t>
      </w:r>
    </w:p>
    <w:p>
      <w:pPr>
        <w:spacing w:after="0" w:line="417" w:lineRule="auto"/>
        <w:jc w:val="both"/>
        <w:rPr>
          <w:sz w:val="21"/>
        </w:rPr>
        <w:sectPr>
          <w:pgSz w:w="11910" w:h="16840"/>
          <w:pgMar w:top="1580" w:right="820" w:bottom="1280" w:left="920" w:header="0" w:footer="1095" w:gutter="0"/>
          <w:cols w:space="720" w:num="1"/>
        </w:sectPr>
      </w:pPr>
    </w:p>
    <w:p>
      <w:pPr>
        <w:pStyle w:val="5"/>
        <w:spacing w:before="60"/>
        <w:ind w:left="212"/>
      </w:pPr>
      <w:r>
        <w:t>室的，应设置移动母婴室或兼容母婴室。</w:t>
      </w:r>
    </w:p>
    <w:p>
      <w:pPr>
        <w:pStyle w:val="5"/>
        <w:spacing w:before="6"/>
        <w:rPr>
          <w:sz w:val="15"/>
        </w:rPr>
      </w:pPr>
    </w:p>
    <w:p>
      <w:pPr>
        <w:pStyle w:val="12"/>
        <w:numPr>
          <w:ilvl w:val="2"/>
          <w:numId w:val="164"/>
        </w:numPr>
        <w:tabs>
          <w:tab w:val="left" w:pos="1052"/>
          <w:tab w:val="left" w:pos="1053"/>
        </w:tabs>
        <w:spacing w:before="1" w:after="0" w:line="240" w:lineRule="auto"/>
        <w:ind w:left="1052" w:right="0" w:hanging="841"/>
        <w:jc w:val="left"/>
        <w:rPr>
          <w:sz w:val="21"/>
        </w:rPr>
      </w:pPr>
      <w:bookmarkStart w:id="727" w:name="4.2.27本条规定了母婴室的设计要求（如图4.2.27）。"/>
      <w:bookmarkEnd w:id="727"/>
      <w:bookmarkStart w:id="728" w:name="4.2.27本条规定了母婴室的设计要求（如图4.2.27）。"/>
      <w:bookmarkEnd w:id="728"/>
      <w:r>
        <w:rPr>
          <w:sz w:val="21"/>
        </w:rPr>
        <w:t>本条规定了母婴室的设计要求（</w:t>
      </w:r>
      <w:r>
        <w:rPr>
          <w:spacing w:val="-18"/>
          <w:sz w:val="21"/>
        </w:rPr>
        <w:t xml:space="preserve">如图 </w:t>
      </w:r>
      <w:r>
        <w:rPr>
          <w:sz w:val="21"/>
        </w:rPr>
        <w:t>4</w:t>
      </w:r>
      <w:r>
        <w:rPr>
          <w:rFonts w:ascii="Calibri" w:eastAsia="Calibri"/>
          <w:sz w:val="21"/>
        </w:rPr>
        <w:t>.</w:t>
      </w:r>
      <w:r>
        <w:rPr>
          <w:sz w:val="21"/>
        </w:rPr>
        <w:t>2</w:t>
      </w:r>
      <w:r>
        <w:rPr>
          <w:rFonts w:ascii="Calibri" w:eastAsia="Calibri"/>
          <w:sz w:val="21"/>
        </w:rPr>
        <w:t>.</w:t>
      </w:r>
      <w:r>
        <w:rPr>
          <w:sz w:val="21"/>
        </w:rPr>
        <w:t>27）。</w:t>
      </w:r>
    </w:p>
    <w:p>
      <w:pPr>
        <w:pStyle w:val="5"/>
        <w:spacing w:before="2"/>
        <w:rPr>
          <w:sz w:val="24"/>
        </w:rPr>
      </w:pPr>
      <w:r>
        <w:drawing>
          <wp:anchor distT="0" distB="0" distL="0" distR="0" simplePos="0" relativeHeight="251659264" behindDoc="0" locked="0" layoutInCell="1" allowOverlap="1">
            <wp:simplePos x="0" y="0"/>
            <wp:positionH relativeFrom="page">
              <wp:posOffset>2155190</wp:posOffset>
            </wp:positionH>
            <wp:positionV relativeFrom="paragraph">
              <wp:posOffset>221615</wp:posOffset>
            </wp:positionV>
            <wp:extent cx="2747645" cy="2883535"/>
            <wp:effectExtent l="0" t="0" r="0" b="0"/>
            <wp:wrapTopAndBottom/>
            <wp:docPr id="14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71.jpeg"/>
                    <pic:cNvPicPr>
                      <a:picLocks noChangeAspect="1"/>
                    </pic:cNvPicPr>
                  </pic:nvPicPr>
                  <pic:blipFill>
                    <a:blip r:embed="rId96" cstate="print"/>
                    <a:stretch>
                      <a:fillRect/>
                    </a:stretch>
                  </pic:blipFill>
                  <pic:spPr>
                    <a:xfrm>
                      <a:off x="0" y="0"/>
                      <a:ext cx="2747576" cy="2883407"/>
                    </a:xfrm>
                    <a:prstGeom prst="rect">
                      <a:avLst/>
                    </a:prstGeom>
                  </pic:spPr>
                </pic:pic>
              </a:graphicData>
            </a:graphic>
          </wp:anchor>
        </w:drawing>
      </w:r>
    </w:p>
    <w:p>
      <w:pPr>
        <w:pStyle w:val="5"/>
        <w:spacing w:before="12"/>
        <w:rPr>
          <w:sz w:val="24"/>
        </w:rPr>
      </w:pPr>
    </w:p>
    <w:p>
      <w:pPr>
        <w:pStyle w:val="5"/>
        <w:ind w:right="102"/>
        <w:jc w:val="center"/>
      </w:pPr>
      <w:r>
        <w:t>图 4.2.27 母婴室平面示意图</w:t>
      </w:r>
    </w:p>
    <w:p>
      <w:pPr>
        <w:pStyle w:val="5"/>
        <w:spacing w:before="6"/>
        <w:rPr>
          <w:sz w:val="19"/>
        </w:rPr>
      </w:pPr>
    </w:p>
    <w:p>
      <w:pPr>
        <w:pStyle w:val="5"/>
        <w:spacing w:line="417" w:lineRule="auto"/>
        <w:ind w:left="212" w:right="312" w:firstLine="420"/>
        <w:jc w:val="both"/>
      </w:pPr>
      <w:r>
        <w:t>1  参照《深圳市公共场所母婴室设计规程》</w:t>
      </w:r>
      <w:r>
        <w:rPr>
          <w:rFonts w:hint="eastAsia" w:ascii="仿宋" w:hAnsi="仿宋" w:eastAsia="仿宋"/>
        </w:rPr>
        <w:t xml:space="preserve">SJG </w:t>
      </w:r>
      <w:r>
        <w:t>54-2019</w:t>
      </w:r>
      <w:r>
        <w:rPr>
          <w:spacing w:val="-34"/>
        </w:rPr>
        <w:t xml:space="preserve"> 第 </w:t>
      </w:r>
      <w:r>
        <w:t>4.3.1</w:t>
      </w:r>
      <w:r>
        <w:rPr>
          <w:spacing w:val="-8"/>
        </w:rPr>
        <w:t xml:space="preserve"> 条“母婴室应有独立的出入口。</w:t>
      </w:r>
      <w:r>
        <w:rPr>
          <w:spacing w:val="-8"/>
          <w:w w:val="95"/>
        </w:rPr>
        <w:t xml:space="preserve">如必须与公共场所卫生间贴邻的，其出入口应错开布置且互不干扰。”本款规定了母婴室出入口的设置要   </w:t>
      </w:r>
      <w:r>
        <w:rPr>
          <w:spacing w:val="-8"/>
        </w:rPr>
        <w:t>求。</w:t>
      </w:r>
    </w:p>
    <w:p>
      <w:pPr>
        <w:pStyle w:val="5"/>
        <w:spacing w:line="269" w:lineRule="exact"/>
        <w:ind w:left="632"/>
        <w:jc w:val="both"/>
      </w:pPr>
      <w:r>
        <w:t>2、3 参照《深圳市公共场所母婴室设计规程》</w:t>
      </w:r>
      <w:r>
        <w:rPr>
          <w:rFonts w:hint="eastAsia" w:ascii="仿宋" w:hAnsi="仿宋" w:eastAsia="仿宋"/>
        </w:rPr>
        <w:t xml:space="preserve">SJG </w:t>
      </w:r>
      <w:r>
        <w:t>54-2019 第 4.3.5 条第 1 款“哺乳区与护理区、</w:t>
      </w:r>
    </w:p>
    <w:p>
      <w:pPr>
        <w:pStyle w:val="5"/>
        <w:spacing w:before="7"/>
        <w:rPr>
          <w:sz w:val="15"/>
        </w:rPr>
      </w:pPr>
    </w:p>
    <w:p>
      <w:pPr>
        <w:pStyle w:val="5"/>
        <w:ind w:left="212"/>
      </w:pPr>
      <w:r>
        <w:t>休憩区之间，或哺乳单间之间，宜通过隔墙或拉帘（空间受限时）隔开”、第 2 款“哺乳区入口宜安装封</w:t>
      </w:r>
    </w:p>
    <w:p>
      <w:pPr>
        <w:pStyle w:val="5"/>
        <w:spacing w:before="6"/>
        <w:rPr>
          <w:sz w:val="15"/>
        </w:rPr>
      </w:pPr>
    </w:p>
    <w:p>
      <w:pPr>
        <w:pStyle w:val="5"/>
        <w:spacing w:before="1" w:line="417" w:lineRule="auto"/>
        <w:ind w:left="212" w:right="310"/>
      </w:pPr>
      <w:r>
        <w:rPr>
          <w:spacing w:val="-6"/>
        </w:rPr>
        <w:t xml:space="preserve">闭门；空间受限情况下，可采用拉帘”和第 </w:t>
      </w:r>
      <w:r>
        <w:t>3</w:t>
      </w:r>
      <w:r>
        <w:rPr>
          <w:spacing w:val="-8"/>
        </w:rPr>
        <w:t xml:space="preserve"> 款“分隔采用拉帘的，拉帘轨道设置应牢固，拉帘两边需有固定装置。”本款规定了母婴室内部空间分隔的要求。</w:t>
      </w:r>
    </w:p>
    <w:p>
      <w:pPr>
        <w:pStyle w:val="5"/>
        <w:tabs>
          <w:tab w:val="left" w:pos="1688"/>
        </w:tabs>
        <w:spacing w:line="269" w:lineRule="exact"/>
        <w:ind w:left="632"/>
      </w:pPr>
      <w:r>
        <w:t>4、5、6</w:t>
      </w:r>
      <w:r>
        <w:tab/>
      </w:r>
      <w:r>
        <w:t>参照《深圳市公共场所母婴室设计规程》</w:t>
      </w:r>
      <w:r>
        <w:rPr>
          <w:rFonts w:hint="eastAsia" w:ascii="仿宋" w:hAnsi="仿宋" w:eastAsia="仿宋"/>
        </w:rPr>
        <w:t>SJG</w:t>
      </w:r>
      <w:r>
        <w:rPr>
          <w:rFonts w:hint="eastAsia" w:ascii="仿宋" w:hAnsi="仿宋" w:eastAsia="仿宋"/>
          <w:spacing w:val="2"/>
        </w:rPr>
        <w:t xml:space="preserve"> </w:t>
      </w:r>
      <w:r>
        <w:t>54-2019</w:t>
      </w:r>
      <w:r>
        <w:rPr>
          <w:spacing w:val="-52"/>
        </w:rPr>
        <w:t xml:space="preserve"> </w:t>
      </w:r>
      <w:r>
        <w:t>第</w:t>
      </w:r>
      <w:r>
        <w:rPr>
          <w:spacing w:val="-49"/>
        </w:rPr>
        <w:t xml:space="preserve"> </w:t>
      </w:r>
      <w:r>
        <w:t>4.3.9</w:t>
      </w:r>
      <w:r>
        <w:rPr>
          <w:spacing w:val="-52"/>
        </w:rPr>
        <w:t xml:space="preserve"> </w:t>
      </w:r>
      <w:r>
        <w:t>条第</w:t>
      </w:r>
      <w:r>
        <w:rPr>
          <w:spacing w:val="-48"/>
        </w:rPr>
        <w:t xml:space="preserve"> </w:t>
      </w:r>
      <w:r>
        <w:t>1</w:t>
      </w:r>
      <w:r>
        <w:rPr>
          <w:spacing w:val="-50"/>
        </w:rPr>
        <w:t xml:space="preserve"> </w:t>
      </w:r>
      <w:r>
        <w:t>款“母婴室护理区</w:t>
      </w:r>
    </w:p>
    <w:p>
      <w:pPr>
        <w:pStyle w:val="5"/>
        <w:spacing w:before="6"/>
        <w:rPr>
          <w:sz w:val="15"/>
        </w:rPr>
      </w:pPr>
    </w:p>
    <w:p>
      <w:pPr>
        <w:pStyle w:val="5"/>
        <w:ind w:left="212"/>
      </w:pPr>
      <w:r>
        <w:rPr>
          <w:spacing w:val="-8"/>
        </w:rPr>
        <w:t xml:space="preserve">应设置婴儿护理台”、第 </w:t>
      </w:r>
      <w:r>
        <w:t>2</w:t>
      </w:r>
      <w:r>
        <w:rPr>
          <w:spacing w:val="-9"/>
        </w:rPr>
        <w:t xml:space="preserve"> 款“大、中型母婴室护理区应设置成人洗手池，大型母婴室尚应设置儿童洗手</w:t>
      </w:r>
    </w:p>
    <w:p>
      <w:pPr>
        <w:pStyle w:val="5"/>
        <w:spacing w:before="7"/>
        <w:rPr>
          <w:sz w:val="15"/>
        </w:rPr>
      </w:pPr>
    </w:p>
    <w:p>
      <w:pPr>
        <w:pStyle w:val="5"/>
        <w:spacing w:line="417" w:lineRule="auto"/>
        <w:ind w:left="212" w:right="310"/>
      </w:pPr>
      <w:r>
        <w:rPr>
          <w:spacing w:val="-15"/>
        </w:rPr>
        <w:t xml:space="preserve">池”和第 </w:t>
      </w:r>
      <w:r>
        <w:t>3</w:t>
      </w:r>
      <w:r>
        <w:rPr>
          <w:spacing w:val="-9"/>
        </w:rPr>
        <w:t xml:space="preserve"> 款“婴儿安全座椅不可设置在转角处；当设置在隔墙处时，需保证墙体坚固稳定。”本款规定了母婴室内部设计要求。</w:t>
      </w:r>
    </w:p>
    <w:p>
      <w:pPr>
        <w:pStyle w:val="5"/>
        <w:tabs>
          <w:tab w:val="left" w:pos="1059"/>
        </w:tabs>
        <w:spacing w:line="417" w:lineRule="auto"/>
        <w:ind w:left="212" w:right="310" w:firstLine="420"/>
      </w:pPr>
      <w:r>
        <w:t>8</w:t>
      </w:r>
      <w:r>
        <w:tab/>
      </w:r>
      <w:r>
        <w:t>参照《深圳市公共场所母婴室设计规程》</w:t>
      </w:r>
      <w:r>
        <w:rPr>
          <w:rFonts w:hint="eastAsia" w:ascii="仿宋" w:hAnsi="仿宋" w:eastAsia="仿宋"/>
        </w:rPr>
        <w:t xml:space="preserve">SJG </w:t>
      </w:r>
      <w:r>
        <w:t>54-2019</w:t>
      </w:r>
      <w:r>
        <w:rPr>
          <w:spacing w:val="-34"/>
        </w:rPr>
        <w:t xml:space="preserve"> 第 </w:t>
      </w:r>
      <w:r>
        <w:t>4.3.6</w:t>
      </w:r>
      <w:r>
        <w:rPr>
          <w:spacing w:val="-26"/>
        </w:rPr>
        <w:t xml:space="preserve"> 条第 </w:t>
      </w:r>
      <w:r>
        <w:t>1</w:t>
      </w:r>
      <w:r>
        <w:rPr>
          <w:spacing w:val="-12"/>
        </w:rPr>
        <w:t xml:space="preserve"> 款“距地面高度 </w:t>
      </w:r>
      <w:r>
        <w:t>1.3m 以下的内墙阴阳角、窗台及窗口竖边等阳角处，应做成圆角。”本款规定了母婴室内墙的设置要求。</w:t>
      </w:r>
    </w:p>
    <w:p>
      <w:pPr>
        <w:pStyle w:val="12"/>
        <w:numPr>
          <w:ilvl w:val="0"/>
          <w:numId w:val="163"/>
        </w:numPr>
        <w:tabs>
          <w:tab w:val="left" w:pos="4324"/>
        </w:tabs>
        <w:spacing w:before="0" w:after="0" w:line="269" w:lineRule="exact"/>
        <w:ind w:left="4324" w:right="99" w:hanging="4324"/>
        <w:jc w:val="left"/>
        <w:rPr>
          <w:rFonts w:hint="eastAsia" w:ascii="黑体" w:eastAsia="黑体"/>
          <w:sz w:val="21"/>
        </w:rPr>
      </w:pPr>
      <w:bookmarkStart w:id="729" w:name="VI公共浴室及更衣室"/>
      <w:bookmarkEnd w:id="729"/>
      <w:bookmarkStart w:id="730" w:name="VI公共浴室及更衣室"/>
      <w:bookmarkEnd w:id="730"/>
      <w:r>
        <w:rPr>
          <w:rFonts w:hint="eastAsia" w:ascii="黑体" w:eastAsia="黑体"/>
          <w:sz w:val="21"/>
        </w:rPr>
        <w:t>公共浴室及更衣室</w:t>
      </w:r>
    </w:p>
    <w:p>
      <w:pPr>
        <w:pStyle w:val="5"/>
        <w:spacing w:before="6"/>
        <w:rPr>
          <w:rFonts w:ascii="黑体"/>
          <w:sz w:val="15"/>
        </w:rPr>
      </w:pPr>
    </w:p>
    <w:p>
      <w:pPr>
        <w:pStyle w:val="12"/>
        <w:numPr>
          <w:ilvl w:val="2"/>
          <w:numId w:val="164"/>
        </w:numPr>
        <w:tabs>
          <w:tab w:val="left" w:pos="1052"/>
          <w:tab w:val="left" w:pos="1053"/>
        </w:tabs>
        <w:spacing w:before="1" w:after="0" w:line="240" w:lineRule="auto"/>
        <w:ind w:left="1052" w:right="0" w:hanging="841"/>
        <w:jc w:val="left"/>
        <w:rPr>
          <w:sz w:val="21"/>
        </w:rPr>
      </w:pPr>
      <w:bookmarkStart w:id="731" w:name="4.2.28本条规定了公共浴室的无障碍设计要求。"/>
      <w:bookmarkEnd w:id="731"/>
      <w:bookmarkStart w:id="732" w:name="4.2.28本条规定了公共浴室的无障碍设计要求。"/>
      <w:bookmarkEnd w:id="732"/>
      <w:r>
        <w:rPr>
          <w:sz w:val="21"/>
        </w:rPr>
        <w:t>本条规定了公共浴室的无障碍设计要求。</w:t>
      </w:r>
    </w:p>
    <w:p>
      <w:pPr>
        <w:spacing w:after="0" w:line="240" w:lineRule="auto"/>
        <w:jc w:val="left"/>
        <w:rPr>
          <w:sz w:val="21"/>
        </w:rPr>
        <w:sectPr>
          <w:pgSz w:w="11910" w:h="16840"/>
          <w:pgMar w:top="1580" w:right="820" w:bottom="1280" w:left="920" w:header="0" w:footer="1095" w:gutter="0"/>
          <w:cols w:space="720" w:num="1"/>
        </w:sectPr>
      </w:pPr>
    </w:p>
    <w:p>
      <w:pPr>
        <w:pStyle w:val="12"/>
        <w:numPr>
          <w:ilvl w:val="0"/>
          <w:numId w:val="165"/>
        </w:numPr>
        <w:tabs>
          <w:tab w:val="left" w:pos="1057"/>
          <w:tab w:val="left" w:pos="1058"/>
        </w:tabs>
        <w:spacing w:before="60" w:after="0" w:line="240" w:lineRule="auto"/>
        <w:ind w:left="1057" w:right="0" w:hanging="421"/>
        <w:jc w:val="left"/>
        <w:rPr>
          <w:sz w:val="21"/>
        </w:rPr>
      </w:pPr>
      <w:r>
        <w:rPr>
          <w:sz w:val="21"/>
        </w:rPr>
        <w:t>本款为公共浴室中单独的无障碍淋浴间的要求，不包括淋浴纳入无障碍卫生间的情况。</w:t>
      </w:r>
    </w:p>
    <w:p>
      <w:pPr>
        <w:pStyle w:val="5"/>
        <w:spacing w:before="6"/>
        <w:rPr>
          <w:sz w:val="15"/>
        </w:rPr>
      </w:pPr>
    </w:p>
    <w:p>
      <w:pPr>
        <w:pStyle w:val="12"/>
        <w:numPr>
          <w:ilvl w:val="0"/>
          <w:numId w:val="165"/>
        </w:numPr>
        <w:tabs>
          <w:tab w:val="left" w:pos="1057"/>
          <w:tab w:val="left" w:pos="1058"/>
        </w:tabs>
        <w:spacing w:before="1" w:after="0" w:line="240" w:lineRule="auto"/>
        <w:ind w:left="1057" w:right="0" w:hanging="421"/>
        <w:jc w:val="left"/>
        <w:rPr>
          <w:sz w:val="21"/>
        </w:rPr>
      </w:pPr>
      <w:r>
        <w:rPr>
          <w:sz w:val="21"/>
        </w:rPr>
        <w:t>浴间的入口采用活动的门帘既可以节省浴间面积，而且在紧急情况时便于救援。</w:t>
      </w:r>
    </w:p>
    <w:p>
      <w:pPr>
        <w:pStyle w:val="5"/>
        <w:spacing w:before="6"/>
        <w:rPr>
          <w:sz w:val="15"/>
        </w:rPr>
      </w:pPr>
    </w:p>
    <w:p>
      <w:pPr>
        <w:pStyle w:val="12"/>
        <w:numPr>
          <w:ilvl w:val="0"/>
          <w:numId w:val="163"/>
        </w:numPr>
        <w:tabs>
          <w:tab w:val="left" w:pos="4692"/>
        </w:tabs>
        <w:spacing w:before="0" w:after="0" w:line="240" w:lineRule="auto"/>
        <w:ind w:left="4691" w:right="99" w:hanging="4692"/>
        <w:jc w:val="left"/>
        <w:rPr>
          <w:rFonts w:hint="eastAsia" w:ascii="黑体" w:eastAsia="黑体"/>
          <w:sz w:val="21"/>
        </w:rPr>
      </w:pPr>
      <w:bookmarkStart w:id="733" w:name="VII无障碍客房"/>
      <w:bookmarkEnd w:id="733"/>
      <w:bookmarkStart w:id="734" w:name="VII无障碍客房"/>
      <w:bookmarkEnd w:id="734"/>
      <w:r>
        <w:rPr>
          <w:rFonts w:hint="eastAsia" w:ascii="黑体" w:eastAsia="黑体"/>
          <w:sz w:val="21"/>
        </w:rPr>
        <w:t>无障碍客房</w:t>
      </w:r>
    </w:p>
    <w:p>
      <w:pPr>
        <w:pStyle w:val="5"/>
        <w:spacing w:before="7"/>
        <w:rPr>
          <w:rFonts w:ascii="黑体"/>
          <w:sz w:val="15"/>
        </w:rPr>
      </w:pPr>
    </w:p>
    <w:p>
      <w:pPr>
        <w:pStyle w:val="12"/>
        <w:numPr>
          <w:ilvl w:val="2"/>
          <w:numId w:val="166"/>
        </w:numPr>
        <w:tabs>
          <w:tab w:val="left" w:pos="1052"/>
          <w:tab w:val="left" w:pos="1053"/>
        </w:tabs>
        <w:spacing w:before="0" w:after="0" w:line="417" w:lineRule="auto"/>
        <w:ind w:left="212" w:right="315" w:firstLine="0"/>
        <w:jc w:val="left"/>
        <w:rPr>
          <w:sz w:val="21"/>
        </w:rPr>
      </w:pPr>
      <w:bookmarkStart w:id="735" w:name="4.2.30本条及本节其他各条为一般通用意义上的无障碍客房要求。当项目建设要求提"/>
      <w:bookmarkEnd w:id="735"/>
      <w:bookmarkStart w:id="736" w:name="4.2.30本条及本节其他各条为一般通用意义上的无障碍客房要求。当项目建设要求提"/>
      <w:bookmarkEnd w:id="736"/>
      <w:r>
        <w:rPr>
          <w:spacing w:val="-1"/>
          <w:w w:val="95"/>
          <w:sz w:val="21"/>
        </w:rPr>
        <w:t xml:space="preserve">本条及本节其他各条为一般通用意义上的无障碍客房要求。当项目建设要求提供一定比例的无障   </w:t>
      </w:r>
      <w:r>
        <w:rPr>
          <w:spacing w:val="-1"/>
          <w:sz w:val="21"/>
        </w:rPr>
        <w:t>碍客房时，所提供的客房应满足本标准的设计要求。</w:t>
      </w:r>
    </w:p>
    <w:p>
      <w:pPr>
        <w:pStyle w:val="12"/>
        <w:numPr>
          <w:ilvl w:val="2"/>
          <w:numId w:val="166"/>
        </w:numPr>
        <w:tabs>
          <w:tab w:val="left" w:pos="1052"/>
          <w:tab w:val="left" w:pos="1053"/>
        </w:tabs>
        <w:spacing w:before="0" w:after="0" w:line="417" w:lineRule="auto"/>
        <w:ind w:left="212" w:right="312" w:firstLine="0"/>
        <w:jc w:val="left"/>
        <w:rPr>
          <w:sz w:val="21"/>
        </w:rPr>
      </w:pPr>
      <w:bookmarkStart w:id="737" w:name="4.2.31人员活动空间指的是人需要进入的厅、通道和房间。内部需要留有直径不小于"/>
      <w:bookmarkEnd w:id="737"/>
      <w:bookmarkStart w:id="738" w:name="4.2.31人员活动空间指的是人需要进入的厅、通道和房间。内部需要留有直径不小于"/>
      <w:bookmarkEnd w:id="738"/>
      <w:r>
        <w:rPr>
          <w:spacing w:val="-4"/>
          <w:sz w:val="21"/>
        </w:rPr>
        <w:t xml:space="preserve">人员活动空间指的是人需要进入的厅、通道和房间。内部需要留有直径不小于 </w:t>
      </w:r>
      <w:r>
        <w:rPr>
          <w:sz w:val="21"/>
        </w:rPr>
        <w:t>1.50</w:t>
      </w:r>
      <w:r>
        <w:rPr>
          <w:rFonts w:hint="eastAsia" w:ascii="仿宋" w:eastAsia="仿宋"/>
          <w:sz w:val="21"/>
        </w:rPr>
        <w:t>m</w:t>
      </w:r>
      <w:r>
        <w:rPr>
          <w:rFonts w:hint="eastAsia" w:ascii="仿宋" w:eastAsia="仿宋"/>
          <w:spacing w:val="-61"/>
          <w:sz w:val="21"/>
        </w:rPr>
        <w:t xml:space="preserve"> </w:t>
      </w:r>
      <w:r>
        <w:rPr>
          <w:sz w:val="21"/>
        </w:rPr>
        <w:t>的轮椅回转</w:t>
      </w:r>
      <w:r>
        <w:rPr>
          <w:spacing w:val="-3"/>
          <w:sz w:val="21"/>
        </w:rPr>
        <w:t xml:space="preserve">空间，也可将通道的宽度做到不小于 </w:t>
      </w:r>
      <w:r>
        <w:rPr>
          <w:sz w:val="21"/>
        </w:rPr>
        <w:t>1.50</w:t>
      </w:r>
      <w:r>
        <w:rPr>
          <w:rFonts w:hint="eastAsia" w:ascii="仿宋" w:eastAsia="仿宋"/>
          <w:sz w:val="21"/>
        </w:rPr>
        <w:t>m</w:t>
      </w:r>
      <w:r>
        <w:rPr>
          <w:sz w:val="21"/>
        </w:rPr>
        <w:t>。</w:t>
      </w:r>
    </w:p>
    <w:p>
      <w:pPr>
        <w:pStyle w:val="12"/>
        <w:numPr>
          <w:ilvl w:val="2"/>
          <w:numId w:val="166"/>
        </w:numPr>
        <w:tabs>
          <w:tab w:val="left" w:pos="1052"/>
          <w:tab w:val="left" w:pos="1053"/>
        </w:tabs>
        <w:spacing w:before="0" w:after="0" w:line="417" w:lineRule="auto"/>
        <w:ind w:left="212" w:right="315" w:firstLine="0"/>
        <w:jc w:val="left"/>
        <w:rPr>
          <w:sz w:val="21"/>
        </w:rPr>
      </w:pPr>
      <w:bookmarkStart w:id="739" w:name="4.2.32无障碍客房无障碍卫生间往往将淋浴或盆浴纳入其内，其无障碍淋浴或盆浴区"/>
      <w:bookmarkEnd w:id="739"/>
      <w:bookmarkStart w:id="740" w:name="4.2.32无障碍客房无障碍卫生间往往将淋浴或盆浴纳入其内，其无障碍淋浴或盆浴区"/>
      <w:bookmarkEnd w:id="740"/>
      <w:r>
        <w:rPr>
          <w:spacing w:val="-1"/>
          <w:w w:val="95"/>
          <w:sz w:val="21"/>
        </w:rPr>
        <w:t xml:space="preserve">无障碍客房无障碍卫生间往往将淋浴或盆浴纳入其内，其无障碍淋浴或盆浴区域应满足本规范的   </w:t>
      </w:r>
      <w:r>
        <w:rPr>
          <w:spacing w:val="-1"/>
          <w:sz w:val="21"/>
        </w:rPr>
        <w:t>有关设计要求。</w:t>
      </w:r>
    </w:p>
    <w:p>
      <w:pPr>
        <w:pStyle w:val="12"/>
        <w:numPr>
          <w:ilvl w:val="2"/>
          <w:numId w:val="166"/>
        </w:numPr>
        <w:tabs>
          <w:tab w:val="left" w:pos="1052"/>
          <w:tab w:val="left" w:pos="1053"/>
        </w:tabs>
        <w:spacing w:before="0" w:after="0" w:line="269" w:lineRule="exact"/>
        <w:ind w:left="1052" w:right="0" w:hanging="841"/>
        <w:jc w:val="left"/>
        <w:rPr>
          <w:sz w:val="21"/>
        </w:rPr>
      </w:pPr>
      <w:r>
        <w:rPr>
          <w:w w:val="95"/>
          <w:sz w:val="21"/>
        </w:rPr>
        <w:t>本条规定了无障碍客房的设计要求。</w:t>
      </w:r>
    </w:p>
    <w:p>
      <w:pPr>
        <w:pStyle w:val="5"/>
        <w:spacing w:before="6"/>
        <w:rPr>
          <w:sz w:val="15"/>
        </w:rPr>
      </w:pPr>
    </w:p>
    <w:p>
      <w:pPr>
        <w:pStyle w:val="5"/>
        <w:tabs>
          <w:tab w:val="left" w:pos="1059"/>
        </w:tabs>
        <w:ind w:left="640"/>
      </w:pPr>
      <w:r>
        <w:t>1</w:t>
      </w:r>
      <w:r>
        <w:tab/>
      </w:r>
      <w:r>
        <w:rPr>
          <w:w w:val="95"/>
        </w:rPr>
        <w:t>低位猫眼的设置便于乘轮椅者的使用。</w:t>
      </w:r>
    </w:p>
    <w:p>
      <w:pPr>
        <w:pStyle w:val="5"/>
        <w:spacing w:before="7"/>
        <w:rPr>
          <w:sz w:val="15"/>
        </w:rPr>
      </w:pPr>
    </w:p>
    <w:p>
      <w:pPr>
        <w:pStyle w:val="12"/>
        <w:numPr>
          <w:ilvl w:val="0"/>
          <w:numId w:val="167"/>
        </w:numPr>
        <w:tabs>
          <w:tab w:val="left" w:pos="1059"/>
          <w:tab w:val="left" w:pos="1060"/>
        </w:tabs>
        <w:spacing w:before="0" w:after="0" w:line="240" w:lineRule="auto"/>
        <w:ind w:left="1060" w:right="0" w:hanging="420"/>
        <w:jc w:val="left"/>
        <w:rPr>
          <w:sz w:val="21"/>
        </w:rPr>
      </w:pPr>
      <w:r>
        <w:rPr>
          <w:sz w:val="21"/>
        </w:rPr>
        <w:t>本款为确保乘轮椅者能够在床与轮椅之间顺畅移动。</w:t>
      </w:r>
    </w:p>
    <w:p>
      <w:pPr>
        <w:pStyle w:val="5"/>
        <w:spacing w:before="7"/>
        <w:rPr>
          <w:sz w:val="15"/>
        </w:rPr>
      </w:pPr>
    </w:p>
    <w:p>
      <w:pPr>
        <w:pStyle w:val="12"/>
        <w:numPr>
          <w:ilvl w:val="0"/>
          <w:numId w:val="167"/>
        </w:numPr>
        <w:tabs>
          <w:tab w:val="left" w:pos="1060"/>
        </w:tabs>
        <w:spacing w:before="0" w:after="0" w:line="417" w:lineRule="auto"/>
        <w:ind w:left="212" w:right="315" w:firstLine="427"/>
        <w:jc w:val="both"/>
        <w:rPr>
          <w:sz w:val="21"/>
        </w:rPr>
      </w:pPr>
      <w:r>
        <w:rPr>
          <w:sz w:val="21"/>
        </w:rPr>
        <w:t>在我国现行标准《无障碍设计规范》</w:t>
      </w:r>
      <w:r>
        <w:rPr>
          <w:rFonts w:hint="eastAsia" w:ascii="仿宋" w:eastAsia="仿宋"/>
          <w:sz w:val="21"/>
        </w:rPr>
        <w:t>GB</w:t>
      </w:r>
      <w:r>
        <w:rPr>
          <w:rFonts w:hint="eastAsia" w:ascii="仿宋" w:eastAsia="仿宋"/>
          <w:spacing w:val="3"/>
          <w:sz w:val="21"/>
        </w:rPr>
        <w:t xml:space="preserve"> </w:t>
      </w:r>
      <w:r>
        <w:rPr>
          <w:sz w:val="21"/>
        </w:rPr>
        <w:t>50763-2012</w:t>
      </w:r>
      <w:r>
        <w:rPr>
          <w:spacing w:val="-8"/>
          <w:sz w:val="21"/>
        </w:rPr>
        <w:t xml:space="preserve"> 中没有明确此项设计要求，考虑到乘轮椅者及手部力量较弱人士的操作，本款参照国内外无障碍设计增加了相关要求。</w:t>
      </w:r>
    </w:p>
    <w:p>
      <w:pPr>
        <w:pStyle w:val="12"/>
        <w:numPr>
          <w:ilvl w:val="0"/>
          <w:numId w:val="163"/>
        </w:numPr>
        <w:tabs>
          <w:tab w:val="left" w:pos="4480"/>
        </w:tabs>
        <w:spacing w:before="0" w:after="0" w:line="269" w:lineRule="exact"/>
        <w:ind w:left="4480" w:right="99" w:hanging="4480"/>
        <w:jc w:val="left"/>
        <w:rPr>
          <w:rFonts w:hint="eastAsia" w:ascii="黑体" w:eastAsia="黑体"/>
          <w:sz w:val="21"/>
        </w:rPr>
      </w:pPr>
      <w:bookmarkStart w:id="741" w:name="VIII无障碍住房/宿舍"/>
      <w:bookmarkEnd w:id="741"/>
      <w:bookmarkStart w:id="742" w:name="VIII无障碍住房/宿舍"/>
      <w:bookmarkEnd w:id="742"/>
      <w:r>
        <w:rPr>
          <w:rFonts w:hint="eastAsia" w:ascii="黑体" w:eastAsia="黑体"/>
          <w:sz w:val="21"/>
        </w:rPr>
        <w:t>无障碍住房/宿舍</w:t>
      </w:r>
    </w:p>
    <w:p>
      <w:pPr>
        <w:pStyle w:val="5"/>
        <w:spacing w:before="6"/>
        <w:rPr>
          <w:rFonts w:ascii="黑体"/>
          <w:sz w:val="15"/>
        </w:rPr>
      </w:pPr>
    </w:p>
    <w:p>
      <w:pPr>
        <w:pStyle w:val="12"/>
        <w:numPr>
          <w:ilvl w:val="2"/>
          <w:numId w:val="166"/>
        </w:numPr>
        <w:tabs>
          <w:tab w:val="left" w:pos="1053"/>
        </w:tabs>
        <w:spacing w:before="0" w:after="0" w:line="417" w:lineRule="auto"/>
        <w:ind w:left="212" w:right="312" w:firstLine="0"/>
        <w:jc w:val="both"/>
        <w:rPr>
          <w:sz w:val="21"/>
        </w:rPr>
      </w:pPr>
      <w:r>
        <w:rPr>
          <w:sz w:val="21"/>
        </w:rPr>
        <w:t>本条及本节其他各条为一般通用意义上的无障碍住房</w:t>
      </w:r>
      <w:r>
        <w:rPr>
          <w:spacing w:val="3"/>
          <w:sz w:val="21"/>
        </w:rPr>
        <w:t>/</w:t>
      </w:r>
      <w:r>
        <w:rPr>
          <w:sz w:val="21"/>
        </w:rPr>
        <w:t>宿舍要求。当项目建设要求提供一定比例</w:t>
      </w:r>
      <w:r>
        <w:rPr>
          <w:w w:val="95"/>
          <w:sz w:val="21"/>
        </w:rPr>
        <w:t>的无障碍住房/</w:t>
      </w:r>
      <w:r>
        <w:rPr>
          <w:spacing w:val="-4"/>
          <w:w w:val="95"/>
          <w:sz w:val="21"/>
        </w:rPr>
        <w:t>宿舍时，所提供的客房应满足本标准的设计要求。进行局部无障碍改造的住房</w:t>
      </w:r>
      <w:r>
        <w:rPr>
          <w:w w:val="95"/>
          <w:sz w:val="21"/>
        </w:rPr>
        <w:t xml:space="preserve">/宿舍不属于   </w:t>
      </w:r>
      <w:r>
        <w:rPr>
          <w:sz w:val="21"/>
        </w:rPr>
        <w:t>一般通用意义上的无障碍住房/宿舍，可根据长期使用者的要求具体处理。</w:t>
      </w:r>
    </w:p>
    <w:p>
      <w:pPr>
        <w:pStyle w:val="12"/>
        <w:numPr>
          <w:ilvl w:val="2"/>
          <w:numId w:val="166"/>
        </w:numPr>
        <w:tabs>
          <w:tab w:val="left" w:pos="1053"/>
        </w:tabs>
        <w:spacing w:before="0" w:after="0" w:line="417" w:lineRule="auto"/>
        <w:ind w:left="212" w:right="312" w:firstLine="0"/>
        <w:jc w:val="both"/>
        <w:rPr>
          <w:sz w:val="21"/>
        </w:rPr>
      </w:pPr>
      <w:r>
        <w:rPr>
          <w:sz w:val="21"/>
        </w:rPr>
        <w:t>无障碍住房</w:t>
      </w:r>
      <w:r>
        <w:rPr>
          <w:spacing w:val="3"/>
          <w:sz w:val="21"/>
        </w:rPr>
        <w:t>/</w:t>
      </w:r>
      <w:r>
        <w:rPr>
          <w:sz w:val="21"/>
        </w:rPr>
        <w:t>宿舍无障碍卫生间往往将淋浴或盆浴纳入其内，其无障碍淋浴或盆浴区域应满足本标准的有关设计要求。</w:t>
      </w:r>
    </w:p>
    <w:p>
      <w:pPr>
        <w:pStyle w:val="12"/>
        <w:numPr>
          <w:ilvl w:val="2"/>
          <w:numId w:val="168"/>
        </w:numPr>
        <w:tabs>
          <w:tab w:val="left" w:pos="1053"/>
        </w:tabs>
        <w:spacing w:before="0" w:after="0" w:line="417" w:lineRule="auto"/>
        <w:ind w:left="212" w:right="311" w:firstLine="0"/>
        <w:jc w:val="both"/>
        <w:rPr>
          <w:sz w:val="21"/>
        </w:rPr>
      </w:pPr>
      <w:bookmarkStart w:id="743" w:name="4.2.37无障碍住房/宿舍室内各使用空间的面积都略大于现行国家标准《住宅设计规"/>
      <w:bookmarkEnd w:id="743"/>
      <w:bookmarkStart w:id="744" w:name="4.2.37无障碍住房/宿舍室内各使用空间的面积都略大于现行国家标准《住宅设计规"/>
      <w:bookmarkEnd w:id="744"/>
      <w:r>
        <w:rPr>
          <w:spacing w:val="1"/>
          <w:sz w:val="21"/>
        </w:rPr>
        <w:t>无障碍住房</w:t>
      </w:r>
      <w:r>
        <w:rPr>
          <w:sz w:val="21"/>
        </w:rPr>
        <w:t>/宿舍室内各使用空间的面积都略大于现行国家标准《住宅设计规范》</w:t>
      </w:r>
      <w:r>
        <w:rPr>
          <w:rFonts w:hint="eastAsia" w:ascii="仿宋" w:eastAsia="仿宋"/>
          <w:sz w:val="21"/>
        </w:rPr>
        <w:t>GB</w:t>
      </w:r>
      <w:r>
        <w:rPr>
          <w:sz w:val="21"/>
        </w:rPr>
        <w:t>50096-2011 中相应的最低面积标准，为轮椅通行和停留提供一定的空间。</w:t>
      </w:r>
    </w:p>
    <w:p>
      <w:pPr>
        <w:pStyle w:val="12"/>
        <w:numPr>
          <w:ilvl w:val="2"/>
          <w:numId w:val="168"/>
        </w:numPr>
        <w:tabs>
          <w:tab w:val="left" w:pos="1053"/>
        </w:tabs>
        <w:spacing w:before="0" w:after="0" w:line="269" w:lineRule="exact"/>
        <w:ind w:left="1052" w:right="0" w:hanging="841"/>
        <w:jc w:val="both"/>
        <w:rPr>
          <w:sz w:val="21"/>
        </w:rPr>
      </w:pPr>
      <w:bookmarkStart w:id="745" w:name="4.2.38本条规定了无障碍客房的设计要求。"/>
      <w:bookmarkEnd w:id="745"/>
      <w:bookmarkStart w:id="746" w:name="4.2.38本条规定了无障碍客房的设计要求。"/>
      <w:bookmarkEnd w:id="746"/>
      <w:r>
        <w:rPr>
          <w:sz w:val="21"/>
        </w:rPr>
        <w:t>本条规定了无障碍客房的设计要求。</w:t>
      </w:r>
    </w:p>
    <w:p>
      <w:pPr>
        <w:pStyle w:val="5"/>
        <w:spacing w:before="6"/>
        <w:rPr>
          <w:sz w:val="15"/>
        </w:rPr>
      </w:pPr>
    </w:p>
    <w:p>
      <w:pPr>
        <w:pStyle w:val="5"/>
        <w:spacing w:line="417" w:lineRule="auto"/>
        <w:ind w:left="212" w:right="312" w:firstLine="427"/>
        <w:jc w:val="both"/>
      </w:pPr>
      <w:r>
        <w:t>3</w:t>
      </w:r>
      <w:r>
        <w:rPr>
          <w:spacing w:val="-1"/>
        </w:rPr>
        <w:t xml:space="preserve"> 阳台地面与居室存在高差，或地面上安装有落地门框时，可采取设置缓坡和改变阳台门安装方式解决无障碍通行问题。</w:t>
      </w:r>
    </w:p>
    <w:p>
      <w:pPr>
        <w:pStyle w:val="5"/>
        <w:spacing w:line="417" w:lineRule="auto"/>
        <w:ind w:left="212" w:right="310" w:firstLine="427"/>
        <w:jc w:val="both"/>
      </w:pPr>
      <w:r>
        <w:t>5</w:t>
      </w:r>
      <w:r>
        <w:rPr>
          <w:spacing w:val="-2"/>
        </w:rPr>
        <w:t xml:space="preserve"> 主要人员活动空间指的是人员会比较长时间停留的空间，包括起居室</w:t>
      </w:r>
      <w:r>
        <w:t>（厅</w:t>
      </w:r>
      <w:r>
        <w:rPr>
          <w:spacing w:val="-5"/>
        </w:rPr>
        <w:t>）</w:t>
      </w:r>
      <w:r>
        <w:rPr>
          <w:spacing w:val="-3"/>
        </w:rPr>
        <w:t>、卧室、卫生间、厨房等。</w:t>
      </w:r>
    </w:p>
    <w:p>
      <w:pPr>
        <w:pStyle w:val="12"/>
        <w:numPr>
          <w:ilvl w:val="0"/>
          <w:numId w:val="163"/>
        </w:numPr>
        <w:tabs>
          <w:tab w:val="left" w:pos="4744"/>
        </w:tabs>
        <w:spacing w:before="0" w:after="0" w:line="269" w:lineRule="exact"/>
        <w:ind w:left="4744" w:right="99" w:hanging="4744"/>
        <w:jc w:val="left"/>
        <w:rPr>
          <w:rFonts w:hint="eastAsia" w:ascii="黑体" w:eastAsia="黑体"/>
          <w:sz w:val="21"/>
        </w:rPr>
      </w:pPr>
      <w:bookmarkStart w:id="747" w:name="IX轮椅席位"/>
      <w:bookmarkEnd w:id="747"/>
      <w:bookmarkStart w:id="748" w:name="IX轮椅席位"/>
      <w:bookmarkEnd w:id="748"/>
      <w:r>
        <w:rPr>
          <w:rFonts w:hint="eastAsia" w:ascii="黑体" w:eastAsia="黑体"/>
          <w:sz w:val="21"/>
        </w:rPr>
        <w:t>轮椅席位</w:t>
      </w:r>
    </w:p>
    <w:p>
      <w:pPr>
        <w:pStyle w:val="5"/>
        <w:spacing w:before="7"/>
        <w:rPr>
          <w:rFonts w:ascii="黑体"/>
          <w:sz w:val="15"/>
        </w:rPr>
      </w:pPr>
    </w:p>
    <w:p>
      <w:pPr>
        <w:pStyle w:val="12"/>
        <w:numPr>
          <w:ilvl w:val="2"/>
          <w:numId w:val="168"/>
        </w:numPr>
        <w:tabs>
          <w:tab w:val="left" w:pos="1053"/>
        </w:tabs>
        <w:spacing w:before="0" w:after="0" w:line="240" w:lineRule="auto"/>
        <w:ind w:left="1052" w:right="0" w:hanging="841"/>
        <w:jc w:val="both"/>
        <w:rPr>
          <w:sz w:val="21"/>
        </w:rPr>
      </w:pPr>
      <w:bookmarkStart w:id="749" w:name="4.2.39观众厅的视线设计时要考虑轮椅席位，保证坐席之间相互不遮挡。当轮椅坐席"/>
      <w:bookmarkEnd w:id="749"/>
      <w:bookmarkStart w:id="750" w:name="4.2.39观众厅的视线设计时要考虑轮椅席位，保证坐席之间相互不遮挡。当轮椅坐席"/>
      <w:bookmarkEnd w:id="750"/>
      <w:r>
        <w:rPr>
          <w:spacing w:val="-2"/>
          <w:sz w:val="21"/>
        </w:rPr>
        <w:t>观众厅的视线设计时要考虑轮椅席位，保证坐席之间相互不遮挡。当轮椅坐席处可安装易于拆卸</w:t>
      </w:r>
    </w:p>
    <w:p>
      <w:pPr>
        <w:spacing w:after="0" w:line="240" w:lineRule="auto"/>
        <w:jc w:val="both"/>
        <w:rPr>
          <w:sz w:val="21"/>
        </w:rPr>
        <w:sectPr>
          <w:pgSz w:w="11910" w:h="16840"/>
          <w:pgMar w:top="1580" w:right="820" w:bottom="1280" w:left="920" w:header="0" w:footer="1095" w:gutter="0"/>
          <w:cols w:space="720" w:num="1"/>
        </w:sectPr>
      </w:pPr>
    </w:p>
    <w:p>
      <w:pPr>
        <w:pStyle w:val="5"/>
        <w:spacing w:before="60"/>
        <w:ind w:left="212"/>
      </w:pPr>
      <w:r>
        <w:t>的固定座椅时，也要考虑不同使用状况的视线要求。</w:t>
      </w:r>
    </w:p>
    <w:p>
      <w:pPr>
        <w:pStyle w:val="5"/>
        <w:spacing w:before="6"/>
        <w:rPr>
          <w:sz w:val="15"/>
        </w:rPr>
      </w:pPr>
    </w:p>
    <w:p>
      <w:pPr>
        <w:pStyle w:val="12"/>
        <w:numPr>
          <w:ilvl w:val="2"/>
          <w:numId w:val="168"/>
        </w:numPr>
        <w:tabs>
          <w:tab w:val="left" w:pos="1053"/>
        </w:tabs>
        <w:spacing w:before="1" w:after="0" w:line="417" w:lineRule="auto"/>
        <w:ind w:left="212" w:right="312" w:firstLine="0"/>
        <w:jc w:val="both"/>
        <w:rPr>
          <w:sz w:val="21"/>
        </w:rPr>
      </w:pPr>
      <w:bookmarkStart w:id="751" w:name="4.2.40轮椅席位应设在方便疏散的位置，不应影响其他观众席位，也不应妨碍公共通"/>
      <w:bookmarkEnd w:id="751"/>
      <w:bookmarkStart w:id="752" w:name="4.2.40轮椅席位应设在方便疏散的位置，不应影响其他观众席位，也不应妨碍公共通"/>
      <w:bookmarkEnd w:id="752"/>
      <w:r>
        <w:rPr>
          <w:spacing w:val="-3"/>
          <w:w w:val="95"/>
          <w:sz w:val="21"/>
        </w:rPr>
        <w:t xml:space="preserve">轮椅席位应设在方便疏散的位置，不应影响其他观众席位，也不应妨碍公共通道的通行。轮椅席   </w:t>
      </w:r>
      <w:r>
        <w:rPr>
          <w:spacing w:val="-3"/>
          <w:sz w:val="21"/>
        </w:rPr>
        <w:t>位可以集中设置，也可以分地段设置，平时也可以用作安放活动座椅等使用。</w:t>
      </w:r>
    </w:p>
    <w:p>
      <w:pPr>
        <w:pStyle w:val="12"/>
        <w:numPr>
          <w:ilvl w:val="2"/>
          <w:numId w:val="168"/>
        </w:numPr>
        <w:tabs>
          <w:tab w:val="left" w:pos="1053"/>
        </w:tabs>
        <w:spacing w:before="0" w:after="0" w:line="417" w:lineRule="auto"/>
        <w:ind w:left="212" w:right="310" w:firstLine="0"/>
        <w:jc w:val="both"/>
        <w:rPr>
          <w:sz w:val="21"/>
        </w:rPr>
      </w:pPr>
      <w:bookmarkStart w:id="753" w:name="4.2.41乘轮椅者作为观众或需登台者，除了观众厅之外，可能需要使用到售票处、餐"/>
      <w:bookmarkEnd w:id="753"/>
      <w:bookmarkStart w:id="754" w:name="4.2.41乘轮椅者作为观众或需登台者，除了观众厅之外，可能需要使用到售票处、餐"/>
      <w:bookmarkEnd w:id="754"/>
      <w:r>
        <w:rPr>
          <w:spacing w:val="-4"/>
          <w:sz w:val="21"/>
        </w:rPr>
        <w:t>乘轮椅者作为观众或需登台者，除了观众厅之外，可能需要使用到售票处、餐厅、休息厅、设置</w:t>
      </w:r>
      <w:r>
        <w:rPr>
          <w:spacing w:val="-6"/>
          <w:w w:val="95"/>
          <w:sz w:val="21"/>
        </w:rPr>
        <w:t xml:space="preserve">无障碍设施的公共卫生间或无障碍卫生间，也有可能需要登台演讲或表演等。应根据功能需求确保轮椅席   </w:t>
      </w:r>
      <w:r>
        <w:rPr>
          <w:spacing w:val="-6"/>
          <w:sz w:val="21"/>
        </w:rPr>
        <w:t>位区与其他必要的空间或位置之间的无障碍连接。在我国现行标准《无障碍设计规范》</w:t>
      </w:r>
      <w:r>
        <w:rPr>
          <w:rFonts w:hint="eastAsia" w:ascii="仿宋" w:eastAsia="仿宋"/>
          <w:spacing w:val="-6"/>
          <w:sz w:val="21"/>
        </w:rPr>
        <w:t>GB</w:t>
      </w:r>
      <w:r>
        <w:rPr>
          <w:rFonts w:hint="eastAsia" w:ascii="仿宋" w:eastAsia="仿宋"/>
          <w:spacing w:val="8"/>
          <w:sz w:val="21"/>
        </w:rPr>
        <w:t xml:space="preserve"> </w:t>
      </w:r>
      <w:r>
        <w:rPr>
          <w:sz w:val="21"/>
        </w:rPr>
        <w:t>50763-2012</w:t>
      </w:r>
      <w:r>
        <w:rPr>
          <w:spacing w:val="-24"/>
          <w:sz w:val="21"/>
        </w:rPr>
        <w:t xml:space="preserve"> 中没有明确此要求，本条参照《无障碍通用规范》（送审稿）及国外标准增加了相关要求。</w:t>
      </w:r>
    </w:p>
    <w:p>
      <w:pPr>
        <w:pStyle w:val="12"/>
        <w:numPr>
          <w:ilvl w:val="2"/>
          <w:numId w:val="168"/>
        </w:numPr>
        <w:tabs>
          <w:tab w:val="left" w:pos="1053"/>
        </w:tabs>
        <w:spacing w:before="0" w:after="0" w:line="268" w:lineRule="exact"/>
        <w:ind w:left="1052" w:right="0" w:hanging="841"/>
        <w:jc w:val="both"/>
        <w:rPr>
          <w:sz w:val="21"/>
        </w:rPr>
      </w:pPr>
      <w:bookmarkStart w:id="755" w:name="4.2.42本条规定了轮椅席位的设计要求。"/>
      <w:bookmarkEnd w:id="755"/>
      <w:bookmarkStart w:id="756" w:name="4.2.42本条规定了轮椅席位的设计要求。"/>
      <w:bookmarkEnd w:id="756"/>
      <w:r>
        <w:rPr>
          <w:sz w:val="21"/>
        </w:rPr>
        <w:t>本条规定了轮椅席位的设计要求。</w:t>
      </w:r>
    </w:p>
    <w:p>
      <w:pPr>
        <w:pStyle w:val="5"/>
        <w:spacing w:before="6"/>
        <w:rPr>
          <w:sz w:val="15"/>
        </w:rPr>
      </w:pPr>
    </w:p>
    <w:p>
      <w:pPr>
        <w:pStyle w:val="12"/>
        <w:numPr>
          <w:ilvl w:val="3"/>
          <w:numId w:val="168"/>
        </w:numPr>
        <w:tabs>
          <w:tab w:val="left" w:pos="1060"/>
        </w:tabs>
        <w:spacing w:before="0" w:after="0" w:line="417" w:lineRule="auto"/>
        <w:ind w:left="212" w:right="312" w:firstLine="427"/>
        <w:jc w:val="both"/>
        <w:rPr>
          <w:sz w:val="21"/>
        </w:rPr>
      </w:pPr>
      <w:r>
        <w:rPr>
          <w:sz w:val="21"/>
        </w:rPr>
        <w:t>一个轮椅席位的宽度（面向舞台或银幕）</w:t>
      </w:r>
      <w:r>
        <w:rPr>
          <w:spacing w:val="-24"/>
          <w:sz w:val="21"/>
        </w:rPr>
        <w:t xml:space="preserve">为 </w:t>
      </w:r>
      <w:r>
        <w:rPr>
          <w:sz w:val="21"/>
        </w:rPr>
        <w:t>800</w:t>
      </w:r>
      <w:r>
        <w:rPr>
          <w:rFonts w:hint="eastAsia" w:ascii="仿宋" w:eastAsia="仿宋"/>
          <w:sz w:val="21"/>
        </w:rPr>
        <w:t>mm</w:t>
      </w:r>
      <w:r>
        <w:rPr>
          <w:sz w:val="21"/>
        </w:rPr>
        <w:t>，是乘轮椅者的手臂推动轮椅时所需的最小宽</w:t>
      </w:r>
      <w:r>
        <w:rPr>
          <w:spacing w:val="-4"/>
          <w:w w:val="95"/>
          <w:sz w:val="21"/>
        </w:rPr>
        <w:t xml:space="preserve">度。考虑到轮椅从前方或后部进出轮椅席位时前后的移动空间以及乘轮椅者前脚会伸出轮椅踏板，本款参   </w:t>
      </w:r>
      <w:r>
        <w:rPr>
          <w:spacing w:val="-7"/>
          <w:sz w:val="21"/>
        </w:rPr>
        <w:t xml:space="preserve">照国外标准，轮椅席位的最小深度设为 </w:t>
      </w:r>
      <w:r>
        <w:rPr>
          <w:sz w:val="21"/>
        </w:rPr>
        <w:t>1.30</w:t>
      </w:r>
      <w:r>
        <w:rPr>
          <w:rFonts w:hint="eastAsia" w:ascii="仿宋" w:eastAsia="仿宋"/>
          <w:sz w:val="21"/>
        </w:rPr>
        <w:t>m</w:t>
      </w:r>
      <w:r>
        <w:rPr>
          <w:sz w:val="21"/>
        </w:rPr>
        <w:t>。前后通道不可占压轮椅席位的尺寸范围。</w:t>
      </w:r>
    </w:p>
    <w:p>
      <w:pPr>
        <w:pStyle w:val="12"/>
        <w:numPr>
          <w:ilvl w:val="3"/>
          <w:numId w:val="168"/>
        </w:numPr>
        <w:tabs>
          <w:tab w:val="left" w:pos="1060"/>
        </w:tabs>
        <w:spacing w:before="0" w:after="0" w:line="417" w:lineRule="auto"/>
        <w:ind w:left="212" w:right="312" w:firstLine="427"/>
        <w:jc w:val="both"/>
        <w:rPr>
          <w:sz w:val="21"/>
        </w:rPr>
      </w:pPr>
      <w:r>
        <w:rPr>
          <w:sz w:val="21"/>
        </w:rPr>
        <w:t>本款规定了设置轮椅席位的数量比例。400</w:t>
      </w:r>
      <w:r>
        <w:rPr>
          <w:spacing w:val="-12"/>
          <w:sz w:val="21"/>
        </w:rPr>
        <w:t xml:space="preserve"> 座以上时，当不能被 </w:t>
      </w:r>
      <w:r>
        <w:rPr>
          <w:sz w:val="21"/>
        </w:rPr>
        <w:t>200</w:t>
      </w:r>
      <w:r>
        <w:rPr>
          <w:spacing w:val="-14"/>
          <w:sz w:val="21"/>
        </w:rPr>
        <w:t xml:space="preserve"> 整除时，不足 </w:t>
      </w:r>
      <w:r>
        <w:rPr>
          <w:sz w:val="21"/>
        </w:rPr>
        <w:t>200</w:t>
      </w:r>
      <w:r>
        <w:rPr>
          <w:spacing w:val="-12"/>
          <w:sz w:val="21"/>
        </w:rPr>
        <w:t xml:space="preserve"> 的部分也</w:t>
      </w:r>
      <w:r>
        <w:rPr>
          <w:spacing w:val="-22"/>
          <w:sz w:val="21"/>
        </w:rPr>
        <w:t xml:space="preserve">应设置 </w:t>
      </w:r>
      <w:r>
        <w:rPr>
          <w:sz w:val="21"/>
        </w:rPr>
        <w:t>1</w:t>
      </w:r>
      <w:r>
        <w:rPr>
          <w:spacing w:val="-12"/>
          <w:sz w:val="21"/>
        </w:rPr>
        <w:t xml:space="preserve"> 个轮椅坐席。例如当 </w:t>
      </w:r>
      <w:r>
        <w:rPr>
          <w:sz w:val="21"/>
        </w:rPr>
        <w:t>750</w:t>
      </w:r>
      <w:r>
        <w:rPr>
          <w:spacing w:val="-15"/>
          <w:sz w:val="21"/>
        </w:rPr>
        <w:t xml:space="preserve"> 座时，应设置 </w:t>
      </w:r>
      <w:r>
        <w:rPr>
          <w:sz w:val="21"/>
        </w:rPr>
        <w:t>4</w:t>
      </w:r>
      <w:r>
        <w:rPr>
          <w:spacing w:val="-9"/>
          <w:sz w:val="21"/>
        </w:rPr>
        <w:t xml:space="preserve"> 个轮椅坐席。</w:t>
      </w:r>
    </w:p>
    <w:p>
      <w:pPr>
        <w:pStyle w:val="12"/>
        <w:numPr>
          <w:ilvl w:val="3"/>
          <w:numId w:val="168"/>
        </w:numPr>
        <w:tabs>
          <w:tab w:val="left" w:pos="1060"/>
        </w:tabs>
        <w:spacing w:before="0" w:after="0" w:line="417" w:lineRule="auto"/>
        <w:ind w:left="212" w:right="312" w:firstLine="427"/>
        <w:jc w:val="both"/>
        <w:rPr>
          <w:sz w:val="21"/>
        </w:rPr>
      </w:pPr>
      <w:r>
        <w:rPr>
          <w:spacing w:val="-3"/>
          <w:w w:val="95"/>
          <w:sz w:val="21"/>
        </w:rPr>
        <w:t xml:space="preserve">考虑到乘轮椅者大多有人陪伴出行，所以设置陪护席位。若陪护席位无法设置在轮椅席位旁，也   </w:t>
      </w:r>
      <w:r>
        <w:rPr>
          <w:spacing w:val="-3"/>
          <w:sz w:val="21"/>
        </w:rPr>
        <w:t>要尽可能在邻近处设置。</w:t>
      </w:r>
    </w:p>
    <w:p>
      <w:pPr>
        <w:pStyle w:val="12"/>
        <w:numPr>
          <w:ilvl w:val="3"/>
          <w:numId w:val="168"/>
        </w:numPr>
        <w:tabs>
          <w:tab w:val="left" w:pos="1060"/>
        </w:tabs>
        <w:spacing w:before="0" w:after="0" w:line="417" w:lineRule="auto"/>
        <w:ind w:left="212" w:right="315" w:firstLine="427"/>
        <w:jc w:val="both"/>
        <w:rPr>
          <w:sz w:val="21"/>
        </w:rPr>
      </w:pPr>
      <w:r>
        <w:rPr>
          <w:spacing w:val="-3"/>
          <w:w w:val="95"/>
          <w:sz w:val="21"/>
        </w:rPr>
        <w:t xml:space="preserve">为了更经济有效地利用空间，当固定坐席数量不能满足使用要求，且轮椅席位未被使用时，允许   </w:t>
      </w:r>
      <w:r>
        <w:rPr>
          <w:spacing w:val="-3"/>
          <w:sz w:val="21"/>
        </w:rPr>
        <w:t>在轮椅坐席处安放活动座椅。</w:t>
      </w:r>
    </w:p>
    <w:p>
      <w:pPr>
        <w:pStyle w:val="5"/>
        <w:spacing w:line="269" w:lineRule="exact"/>
        <w:ind w:left="640"/>
        <w:jc w:val="both"/>
      </w:pPr>
      <w:r>
        <w:t>6 轮椅席位的地面坡度不应大于 1</w:t>
      </w:r>
      <w:r>
        <w:rPr>
          <w:rFonts w:ascii="Calibri" w:eastAsia="Calibri"/>
        </w:rPr>
        <w:t>:</w:t>
      </w:r>
      <w:r>
        <w:t>50，保证了轮椅安全停放。</w:t>
      </w:r>
    </w:p>
    <w:p>
      <w:pPr>
        <w:pStyle w:val="5"/>
        <w:spacing w:before="5"/>
        <w:rPr>
          <w:sz w:val="15"/>
        </w:rPr>
      </w:pPr>
    </w:p>
    <w:p>
      <w:pPr>
        <w:pStyle w:val="12"/>
        <w:numPr>
          <w:ilvl w:val="0"/>
          <w:numId w:val="163"/>
        </w:numPr>
        <w:tabs>
          <w:tab w:val="left" w:pos="4480"/>
        </w:tabs>
        <w:spacing w:before="1" w:after="0" w:line="240" w:lineRule="auto"/>
        <w:ind w:left="4480" w:right="102" w:hanging="4480"/>
        <w:jc w:val="left"/>
        <w:rPr>
          <w:rFonts w:hint="eastAsia" w:ascii="黑体" w:eastAsia="黑体"/>
          <w:sz w:val="21"/>
        </w:rPr>
      </w:pPr>
      <w:bookmarkStart w:id="757" w:name="X低位服务设施"/>
      <w:bookmarkEnd w:id="757"/>
      <w:bookmarkStart w:id="758" w:name="X低位服务设施"/>
      <w:bookmarkEnd w:id="758"/>
      <w:r>
        <w:rPr>
          <w:rFonts w:hint="eastAsia" w:ascii="黑体" w:eastAsia="黑体"/>
          <w:sz w:val="21"/>
        </w:rPr>
        <w:t>低位服务设施</w:t>
      </w:r>
    </w:p>
    <w:p>
      <w:pPr>
        <w:pStyle w:val="5"/>
        <w:spacing w:before="6"/>
        <w:rPr>
          <w:rFonts w:ascii="黑体"/>
          <w:sz w:val="15"/>
        </w:rPr>
      </w:pPr>
    </w:p>
    <w:p>
      <w:pPr>
        <w:pStyle w:val="12"/>
        <w:numPr>
          <w:ilvl w:val="2"/>
          <w:numId w:val="168"/>
        </w:numPr>
        <w:tabs>
          <w:tab w:val="left" w:pos="849"/>
          <w:tab w:val="left" w:pos="1902"/>
        </w:tabs>
        <w:spacing w:before="0" w:after="0" w:line="240" w:lineRule="auto"/>
        <w:ind w:left="848" w:right="0" w:hanging="637"/>
        <w:jc w:val="left"/>
        <w:rPr>
          <w:sz w:val="21"/>
        </w:rPr>
      </w:pPr>
      <w:bookmarkStart w:id="759" w:name="4.2.43、4.2.44  低位服务设施可以使乘轮椅者或身高较矮的人士方便地接"/>
      <w:bookmarkEnd w:id="759"/>
      <w:bookmarkStart w:id="760" w:name="4.2.43、4.2.44  低位服务设施可以使乘轮椅者或身高较矮的人士方便地接"/>
      <w:bookmarkEnd w:id="760"/>
      <w:r>
        <w:rPr>
          <w:sz w:val="21"/>
        </w:rPr>
        <w:t>、</w:t>
      </w:r>
      <w:r>
        <w:rPr>
          <w:b/>
          <w:sz w:val="21"/>
        </w:rPr>
        <w:t>4.2.44</w:t>
      </w:r>
      <w:r>
        <w:rPr>
          <w:b/>
          <w:sz w:val="21"/>
        </w:rPr>
        <w:tab/>
      </w:r>
      <w:r>
        <w:rPr>
          <w:sz w:val="21"/>
        </w:rPr>
        <w:t>低位服务设施可以使乘轮椅者或身高较矮的人士方便地接触和使用各种服务设施。</w:t>
      </w:r>
    </w:p>
    <w:p>
      <w:pPr>
        <w:pStyle w:val="5"/>
        <w:spacing w:before="7"/>
        <w:rPr>
          <w:sz w:val="15"/>
        </w:rPr>
      </w:pPr>
    </w:p>
    <w:p>
      <w:pPr>
        <w:pStyle w:val="12"/>
        <w:numPr>
          <w:ilvl w:val="2"/>
          <w:numId w:val="169"/>
        </w:numPr>
        <w:tabs>
          <w:tab w:val="left" w:pos="1053"/>
        </w:tabs>
        <w:spacing w:before="0" w:after="0" w:line="240" w:lineRule="auto"/>
        <w:ind w:left="1052" w:right="0" w:hanging="841"/>
        <w:jc w:val="both"/>
        <w:rPr>
          <w:sz w:val="21"/>
        </w:rPr>
      </w:pPr>
      <w:bookmarkStart w:id="761" w:name="4.2.45低位服务设施前的轮椅回转空间可利用低位服务设施下部的空间。"/>
      <w:bookmarkEnd w:id="761"/>
      <w:bookmarkStart w:id="762" w:name="4.2.45低位服务设施前的轮椅回转空间可利用低位服务设施下部的空间。"/>
      <w:bookmarkEnd w:id="762"/>
      <w:r>
        <w:rPr>
          <w:sz w:val="21"/>
        </w:rPr>
        <w:t>低位服务设施前的轮椅回转空间可利用低位服务设施下部的空间。</w:t>
      </w:r>
    </w:p>
    <w:p>
      <w:pPr>
        <w:pStyle w:val="5"/>
        <w:spacing w:before="7"/>
        <w:rPr>
          <w:sz w:val="15"/>
        </w:rPr>
      </w:pPr>
    </w:p>
    <w:p>
      <w:pPr>
        <w:pStyle w:val="12"/>
        <w:numPr>
          <w:ilvl w:val="2"/>
          <w:numId w:val="169"/>
        </w:numPr>
        <w:tabs>
          <w:tab w:val="left" w:pos="1053"/>
        </w:tabs>
        <w:spacing w:before="0" w:after="0" w:line="240" w:lineRule="auto"/>
        <w:ind w:left="1052" w:right="0" w:hanging="841"/>
        <w:jc w:val="both"/>
        <w:rPr>
          <w:sz w:val="21"/>
        </w:rPr>
      </w:pPr>
      <w:bookmarkStart w:id="763" w:name="4.2.46低位服务设施下方应留出容膝容脚空间便于乘轮椅者使用（如图4.2.46"/>
      <w:bookmarkEnd w:id="763"/>
      <w:bookmarkStart w:id="764" w:name="4.2.46低位服务设施下方应留出容膝容脚空间便于乘轮椅者使用（如图4.2.46"/>
      <w:bookmarkEnd w:id="764"/>
      <w:r>
        <w:rPr>
          <w:sz w:val="21"/>
        </w:rPr>
        <w:t>低位服务设施下方应留出容膝容脚空间便于乘轮椅者使用（</w:t>
      </w:r>
      <w:r>
        <w:rPr>
          <w:spacing w:val="-18"/>
          <w:sz w:val="21"/>
        </w:rPr>
        <w:t xml:space="preserve">如图 </w:t>
      </w:r>
      <w:r>
        <w:rPr>
          <w:sz w:val="21"/>
        </w:rPr>
        <w:t>4.2.46-1</w:t>
      </w:r>
      <w:r>
        <w:rPr>
          <w:spacing w:val="-18"/>
          <w:sz w:val="21"/>
        </w:rPr>
        <w:t xml:space="preserve">、图 </w:t>
      </w:r>
      <w:r>
        <w:rPr>
          <w:sz w:val="21"/>
        </w:rPr>
        <w:t>4.2.46-2）。</w:t>
      </w:r>
    </w:p>
    <w:p>
      <w:pPr>
        <w:pStyle w:val="5"/>
        <w:spacing w:before="5"/>
        <w:rPr>
          <w:sz w:val="20"/>
        </w:rPr>
      </w:pPr>
      <w:r>
        <w:drawing>
          <wp:anchor distT="0" distB="0" distL="0" distR="0" simplePos="0" relativeHeight="251659264" behindDoc="0" locked="0" layoutInCell="1" allowOverlap="1">
            <wp:simplePos x="0" y="0"/>
            <wp:positionH relativeFrom="page">
              <wp:posOffset>1434465</wp:posOffset>
            </wp:positionH>
            <wp:positionV relativeFrom="paragraph">
              <wp:posOffset>190500</wp:posOffset>
            </wp:positionV>
            <wp:extent cx="1576705" cy="770890"/>
            <wp:effectExtent l="0" t="0" r="0" b="0"/>
            <wp:wrapTopAndBottom/>
            <wp:docPr id="1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72.jpeg"/>
                    <pic:cNvPicPr>
                      <a:picLocks noChangeAspect="1"/>
                    </pic:cNvPicPr>
                  </pic:nvPicPr>
                  <pic:blipFill>
                    <a:blip r:embed="rId97" cstate="print"/>
                    <a:stretch>
                      <a:fillRect/>
                    </a:stretch>
                  </pic:blipFill>
                  <pic:spPr>
                    <a:xfrm>
                      <a:off x="0" y="0"/>
                      <a:ext cx="1576446" cy="771144"/>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4527550</wp:posOffset>
            </wp:positionH>
            <wp:positionV relativeFrom="paragraph">
              <wp:posOffset>190500</wp:posOffset>
            </wp:positionV>
            <wp:extent cx="1576705" cy="770890"/>
            <wp:effectExtent l="0" t="0" r="0" b="0"/>
            <wp:wrapTopAndBottom/>
            <wp:docPr id="14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73.jpeg"/>
                    <pic:cNvPicPr>
                      <a:picLocks noChangeAspect="1"/>
                    </pic:cNvPicPr>
                  </pic:nvPicPr>
                  <pic:blipFill>
                    <a:blip r:embed="rId98" cstate="print"/>
                    <a:stretch>
                      <a:fillRect/>
                    </a:stretch>
                  </pic:blipFill>
                  <pic:spPr>
                    <a:xfrm>
                      <a:off x="0" y="0"/>
                      <a:ext cx="1576446" cy="771144"/>
                    </a:xfrm>
                    <a:prstGeom prst="rect">
                      <a:avLst/>
                    </a:prstGeom>
                  </pic:spPr>
                </pic:pic>
              </a:graphicData>
            </a:graphic>
          </wp:anchor>
        </w:drawing>
      </w:r>
    </w:p>
    <w:p>
      <w:pPr>
        <w:pStyle w:val="5"/>
        <w:spacing w:before="6"/>
        <w:rPr>
          <w:sz w:val="20"/>
        </w:rPr>
      </w:pPr>
    </w:p>
    <w:p>
      <w:pPr>
        <w:pStyle w:val="5"/>
        <w:tabs>
          <w:tab w:val="left" w:pos="4819"/>
        </w:tabs>
        <w:ind w:right="99"/>
        <w:jc w:val="center"/>
      </w:pPr>
      <w:r>
        <w:t>图</w:t>
      </w:r>
      <w:r>
        <w:rPr>
          <w:spacing w:val="-55"/>
        </w:rPr>
        <w:t xml:space="preserve"> </w:t>
      </w:r>
      <w:r>
        <w:t>4.2.46-1</w:t>
      </w:r>
      <w:r>
        <w:rPr>
          <w:spacing w:val="-4"/>
        </w:rPr>
        <w:t xml:space="preserve"> </w:t>
      </w:r>
      <w:r>
        <w:t>容膝容脚空间正立面示意图</w:t>
      </w:r>
      <w:r>
        <w:tab/>
      </w:r>
      <w:r>
        <w:t>图</w:t>
      </w:r>
      <w:r>
        <w:rPr>
          <w:spacing w:val="-54"/>
        </w:rPr>
        <w:t xml:space="preserve"> </w:t>
      </w:r>
      <w:r>
        <w:t>4.2.46-2</w:t>
      </w:r>
      <w:r>
        <w:rPr>
          <w:spacing w:val="-2"/>
        </w:rPr>
        <w:t xml:space="preserve"> </w:t>
      </w:r>
      <w:r>
        <w:t>容膝容脚空间侧立面示意图</w:t>
      </w:r>
    </w:p>
    <w:p>
      <w:pPr>
        <w:pStyle w:val="5"/>
        <w:spacing w:before="6"/>
        <w:rPr>
          <w:sz w:val="19"/>
        </w:rPr>
      </w:pPr>
    </w:p>
    <w:p>
      <w:pPr>
        <w:pStyle w:val="12"/>
        <w:numPr>
          <w:ilvl w:val="3"/>
          <w:numId w:val="133"/>
        </w:numPr>
        <w:tabs>
          <w:tab w:val="left" w:pos="4509"/>
        </w:tabs>
        <w:spacing w:before="0" w:after="0" w:line="417" w:lineRule="auto"/>
        <w:ind w:left="4532" w:right="4186" w:hanging="444"/>
        <w:jc w:val="left"/>
        <w:rPr>
          <w:rFonts w:hint="eastAsia" w:ascii="黑体" w:eastAsia="黑体"/>
          <w:sz w:val="21"/>
        </w:rPr>
      </w:pPr>
      <w:bookmarkStart w:id="765" w:name="_bookmark35"/>
      <w:bookmarkEnd w:id="765"/>
      <w:bookmarkStart w:id="766" w:name="_bookmark35"/>
      <w:bookmarkEnd w:id="766"/>
      <w:bookmarkStart w:id="767" w:name="4.3无障碍信息设施"/>
      <w:bookmarkEnd w:id="767"/>
      <w:r>
        <w:rPr>
          <w:rFonts w:hint="eastAsia" w:ascii="黑体" w:eastAsia="黑体"/>
          <w:spacing w:val="-2"/>
          <w:sz w:val="21"/>
        </w:rPr>
        <w:t>无障碍信息设施</w:t>
      </w:r>
      <w:bookmarkStart w:id="768" w:name="I一般规定"/>
      <w:bookmarkEnd w:id="768"/>
      <w:r>
        <w:rPr>
          <w:rFonts w:hint="eastAsia" w:ascii="黑体" w:eastAsia="黑体"/>
          <w:sz w:val="21"/>
        </w:rPr>
        <w:t>I</w:t>
      </w:r>
      <w:r>
        <w:rPr>
          <w:rFonts w:hint="eastAsia" w:ascii="黑体" w:eastAsia="黑体"/>
          <w:spacing w:val="-12"/>
          <w:sz w:val="21"/>
        </w:rPr>
        <w:t xml:space="preserve"> 一般规定</w:t>
      </w:r>
    </w:p>
    <w:p>
      <w:pPr>
        <w:pStyle w:val="12"/>
        <w:numPr>
          <w:ilvl w:val="2"/>
          <w:numId w:val="170"/>
        </w:numPr>
        <w:tabs>
          <w:tab w:val="left" w:pos="1053"/>
        </w:tabs>
        <w:spacing w:before="0" w:after="0" w:line="269" w:lineRule="exact"/>
        <w:ind w:left="1052" w:right="0" w:hanging="841"/>
        <w:jc w:val="both"/>
        <w:rPr>
          <w:sz w:val="21"/>
        </w:rPr>
      </w:pPr>
      <w:bookmarkStart w:id="769" w:name="4.3.1鼓励采用新理念、新技术、新理念、新材料、新工艺，鼓励采用通用设计产品，"/>
      <w:bookmarkEnd w:id="769"/>
      <w:bookmarkStart w:id="770" w:name="4.3.1鼓励采用新理念、新技术、新理念、新材料、新工艺，鼓励采用通用设计产品，"/>
      <w:bookmarkEnd w:id="770"/>
      <w:r>
        <w:rPr>
          <w:spacing w:val="-3"/>
          <w:sz w:val="21"/>
        </w:rPr>
        <w:t>鼓励采用新理念、新技术、新理念、新材料、新工艺，鼓励采用通用设计产品，扩充信息设施的</w:t>
      </w:r>
    </w:p>
    <w:p>
      <w:pPr>
        <w:spacing w:after="0" w:line="269" w:lineRule="exact"/>
        <w:jc w:val="both"/>
        <w:rPr>
          <w:sz w:val="21"/>
        </w:rPr>
        <w:sectPr>
          <w:footerReference r:id="rId13" w:type="default"/>
          <w:pgSz w:w="11910" w:h="16840"/>
          <w:pgMar w:top="1580" w:right="820" w:bottom="1280" w:left="920" w:header="0" w:footer="1095" w:gutter="0"/>
          <w:pgNumType w:start="80"/>
          <w:cols w:space="720" w:num="1"/>
        </w:sectPr>
      </w:pPr>
    </w:p>
    <w:p>
      <w:pPr>
        <w:pStyle w:val="5"/>
        <w:spacing w:before="60"/>
        <w:ind w:left="212"/>
      </w:pPr>
      <w:r>
        <w:t>种类，提供更科学、更先进的无障碍设计服务。</w:t>
      </w:r>
    </w:p>
    <w:p>
      <w:pPr>
        <w:pStyle w:val="5"/>
        <w:spacing w:before="6"/>
        <w:rPr>
          <w:sz w:val="15"/>
        </w:rPr>
      </w:pPr>
    </w:p>
    <w:p>
      <w:pPr>
        <w:pStyle w:val="12"/>
        <w:numPr>
          <w:ilvl w:val="2"/>
          <w:numId w:val="170"/>
        </w:numPr>
        <w:tabs>
          <w:tab w:val="left" w:pos="1052"/>
          <w:tab w:val="left" w:pos="1053"/>
        </w:tabs>
        <w:spacing w:before="1" w:after="0" w:line="240" w:lineRule="auto"/>
        <w:ind w:left="1052" w:right="0" w:hanging="841"/>
        <w:jc w:val="left"/>
        <w:rPr>
          <w:sz w:val="21"/>
        </w:rPr>
      </w:pPr>
      <w:bookmarkStart w:id="771" w:name="4.3.2无障碍通行设施和无障碍服务设施均需配置标识设施，指明设施位置及方向。 "/>
      <w:bookmarkEnd w:id="771"/>
      <w:bookmarkStart w:id="772" w:name="4.3.2无障碍通行设施和无障碍服务设施均需配置标识设施，指明设施位置及方向。 "/>
      <w:bookmarkEnd w:id="772"/>
      <w:r>
        <w:rPr>
          <w:sz w:val="21"/>
        </w:rPr>
        <w:t>无障碍通行设施和无障碍服务设施均需配置标识设施，指明设施位置及方向。</w:t>
      </w:r>
    </w:p>
    <w:p>
      <w:pPr>
        <w:pStyle w:val="5"/>
        <w:spacing w:before="6"/>
        <w:rPr>
          <w:sz w:val="15"/>
        </w:rPr>
      </w:pPr>
    </w:p>
    <w:p>
      <w:pPr>
        <w:pStyle w:val="12"/>
        <w:numPr>
          <w:ilvl w:val="2"/>
          <w:numId w:val="170"/>
        </w:numPr>
        <w:tabs>
          <w:tab w:val="left" w:pos="1052"/>
          <w:tab w:val="left" w:pos="1053"/>
        </w:tabs>
        <w:spacing w:before="0" w:after="0" w:line="417" w:lineRule="auto"/>
        <w:ind w:left="212" w:right="202" w:firstLine="0"/>
        <w:jc w:val="left"/>
        <w:rPr>
          <w:sz w:val="21"/>
        </w:rPr>
      </w:pPr>
      <w:bookmarkStart w:id="773" w:name="4.3.3信息无障碍是指任何人在任何情况下都能平等、方便、无障碍地获取信息或使用"/>
      <w:bookmarkEnd w:id="773"/>
      <w:bookmarkStart w:id="774" w:name="4.3.3信息无障碍是指任何人在任何情况下都能平等、方便、无障碍地获取信息或使用"/>
      <w:bookmarkEnd w:id="774"/>
      <w:r>
        <w:rPr>
          <w:spacing w:val="-2"/>
          <w:sz w:val="21"/>
        </w:rPr>
        <w:t>信息无障碍是指任何人在任何情况下都能平等、方便、无障碍地获取信息或使用通常的沟通手段</w:t>
      </w:r>
      <w:r>
        <w:rPr>
          <w:spacing w:val="-5"/>
          <w:sz w:val="21"/>
        </w:rPr>
        <w:t>利用信息。依据《无障碍环境建设条例》第二十四条：“公共服务机构和公共场所应当创造条件为残疾人</w:t>
      </w:r>
      <w:r>
        <w:rPr>
          <w:spacing w:val="-12"/>
          <w:w w:val="95"/>
          <w:sz w:val="21"/>
        </w:rPr>
        <w:t xml:space="preserve">提供语音和文字提示、手语、盲文等信息交流服务。”语音信息密集的公共场所，如运动场馆、集会场所、    </w:t>
      </w:r>
      <w:r>
        <w:rPr>
          <w:spacing w:val="-15"/>
          <w:w w:val="95"/>
          <w:sz w:val="21"/>
        </w:rPr>
        <w:t xml:space="preserve">教育机构、公共事务服务场所、交通枢纽场站等，提供文字信息辅助可以帮助听觉障碍者获得必要的信息。   </w:t>
      </w:r>
      <w:r>
        <w:rPr>
          <w:spacing w:val="-15"/>
          <w:sz w:val="21"/>
        </w:rPr>
        <w:t>以声音为主要传播手段的公共服务，应提供字幕或文本服务。在如查询、阅览、个人自助终端等以视觉信</w:t>
      </w:r>
      <w:r>
        <w:rPr>
          <w:spacing w:val="-12"/>
          <w:sz w:val="21"/>
        </w:rPr>
        <w:t>息为主的公共服务中，提供听觉信息的辅助服务可以帮助视觉障碍者获得必要的信息。听觉信息的辅助服务包括语音引导、文字转语音等。</w:t>
      </w:r>
    </w:p>
    <w:p>
      <w:pPr>
        <w:pStyle w:val="12"/>
        <w:numPr>
          <w:ilvl w:val="2"/>
          <w:numId w:val="170"/>
        </w:numPr>
        <w:tabs>
          <w:tab w:val="left" w:pos="1052"/>
          <w:tab w:val="left" w:pos="1053"/>
        </w:tabs>
        <w:spacing w:before="0" w:after="0" w:line="417" w:lineRule="auto"/>
        <w:ind w:left="212" w:right="312" w:firstLine="0"/>
        <w:jc w:val="left"/>
        <w:rPr>
          <w:sz w:val="21"/>
        </w:rPr>
      </w:pPr>
      <w:bookmarkStart w:id="775" w:name="4.3.4无障碍信息设施不应受到遮挡，也不应遮挡其他设施或影响通行流线，且保障能"/>
      <w:bookmarkEnd w:id="775"/>
      <w:bookmarkStart w:id="776" w:name="4.3.4无障碍信息设施不应受到遮挡，也不应遮挡其他设施或影响通行流线，且保障能"/>
      <w:bookmarkEnd w:id="776"/>
      <w:r>
        <w:rPr>
          <w:spacing w:val="-2"/>
          <w:w w:val="95"/>
          <w:sz w:val="21"/>
        </w:rPr>
        <w:t xml:space="preserve">无障碍信息设施不应受到遮挡，也不应遮挡其他设施或影响通行流线，且保障能够让不同高度的   </w:t>
      </w:r>
      <w:r>
        <w:rPr>
          <w:spacing w:val="-2"/>
          <w:sz w:val="21"/>
        </w:rPr>
        <w:t>站立者、乘轮椅者都能看到和使用。</w:t>
      </w:r>
    </w:p>
    <w:p>
      <w:pPr>
        <w:pStyle w:val="12"/>
        <w:numPr>
          <w:ilvl w:val="1"/>
          <w:numId w:val="163"/>
        </w:numPr>
        <w:tabs>
          <w:tab w:val="left" w:pos="4744"/>
        </w:tabs>
        <w:spacing w:before="0" w:after="0" w:line="269" w:lineRule="exact"/>
        <w:ind w:left="4744" w:right="99" w:hanging="4744"/>
        <w:jc w:val="left"/>
        <w:rPr>
          <w:rFonts w:hint="eastAsia" w:ascii="黑体" w:eastAsia="黑体"/>
          <w:sz w:val="21"/>
        </w:rPr>
      </w:pPr>
      <w:bookmarkStart w:id="777" w:name="II标识设施"/>
      <w:bookmarkEnd w:id="777"/>
      <w:bookmarkStart w:id="778" w:name="II标识设施"/>
      <w:bookmarkEnd w:id="778"/>
      <w:r>
        <w:rPr>
          <w:rFonts w:hint="eastAsia" w:ascii="黑体" w:eastAsia="黑体"/>
          <w:sz w:val="21"/>
        </w:rPr>
        <w:t>标识设施</w:t>
      </w:r>
    </w:p>
    <w:p>
      <w:pPr>
        <w:pStyle w:val="5"/>
        <w:spacing w:before="6"/>
        <w:rPr>
          <w:rFonts w:ascii="黑体"/>
          <w:sz w:val="15"/>
        </w:rPr>
      </w:pPr>
    </w:p>
    <w:p>
      <w:pPr>
        <w:pStyle w:val="12"/>
        <w:numPr>
          <w:ilvl w:val="2"/>
          <w:numId w:val="170"/>
        </w:numPr>
        <w:tabs>
          <w:tab w:val="left" w:pos="1053"/>
        </w:tabs>
        <w:spacing w:before="0" w:after="0" w:line="417" w:lineRule="auto"/>
        <w:ind w:left="212" w:right="312" w:firstLine="0"/>
        <w:jc w:val="both"/>
        <w:rPr>
          <w:sz w:val="21"/>
        </w:rPr>
      </w:pPr>
      <w:bookmarkStart w:id="779" w:name="4.3.5本条规定了标识设施适用的范围。标识设施主要用以标明无障碍设施的位置、信"/>
      <w:bookmarkEnd w:id="779"/>
      <w:bookmarkStart w:id="780" w:name="4.3.5本条规定了标识设施适用的范围。标识设施主要用以标明无障碍设施的位置、信"/>
      <w:bookmarkEnd w:id="780"/>
      <w:r>
        <w:rPr>
          <w:spacing w:val="-3"/>
          <w:w w:val="95"/>
          <w:sz w:val="21"/>
        </w:rPr>
        <w:t xml:space="preserve">本条规定了标识设施适用的范围。标识设施主要用以标明无障碍设施的位置、信息、走向及危险   </w:t>
      </w:r>
      <w:r>
        <w:rPr>
          <w:spacing w:val="-3"/>
          <w:sz w:val="21"/>
        </w:rPr>
        <w:t>警示。</w:t>
      </w:r>
    </w:p>
    <w:p>
      <w:pPr>
        <w:pStyle w:val="12"/>
        <w:numPr>
          <w:ilvl w:val="2"/>
          <w:numId w:val="170"/>
        </w:numPr>
        <w:tabs>
          <w:tab w:val="left" w:pos="1053"/>
        </w:tabs>
        <w:spacing w:before="0" w:after="0" w:line="269" w:lineRule="exact"/>
        <w:ind w:left="1052" w:right="0" w:hanging="841"/>
        <w:jc w:val="both"/>
        <w:rPr>
          <w:sz w:val="21"/>
        </w:rPr>
      </w:pPr>
      <w:bookmarkStart w:id="781" w:name="4.3.6本条规定了标识设施的类别。"/>
      <w:bookmarkEnd w:id="781"/>
      <w:bookmarkStart w:id="782" w:name="4.3.6本条规定了标识设施的类别。"/>
      <w:bookmarkEnd w:id="782"/>
      <w:r>
        <w:rPr>
          <w:sz w:val="21"/>
        </w:rPr>
        <w:t>本条规定了标识设施的类别。</w:t>
      </w:r>
    </w:p>
    <w:p>
      <w:pPr>
        <w:pStyle w:val="5"/>
        <w:spacing w:before="7"/>
        <w:rPr>
          <w:sz w:val="15"/>
        </w:rPr>
      </w:pPr>
    </w:p>
    <w:p>
      <w:pPr>
        <w:pStyle w:val="12"/>
        <w:numPr>
          <w:ilvl w:val="3"/>
          <w:numId w:val="170"/>
        </w:numPr>
        <w:tabs>
          <w:tab w:val="left" w:pos="1104"/>
        </w:tabs>
        <w:spacing w:before="0" w:after="0" w:line="417" w:lineRule="auto"/>
        <w:ind w:left="212" w:right="310" w:firstLine="424"/>
        <w:jc w:val="both"/>
        <w:rPr>
          <w:sz w:val="21"/>
        </w:rPr>
      </w:pPr>
      <w:bookmarkStart w:id="783" w:name="1   标识设施的具体形式参照国家标准《公共信息图形符号第9部分：无障碍设施符号"/>
      <w:bookmarkEnd w:id="783"/>
      <w:bookmarkStart w:id="784" w:name="1   标识设施的具体形式参照国家标准《公共信息图形符号第9部分：无障碍设施符号"/>
      <w:bookmarkEnd w:id="784"/>
      <w:r>
        <w:rPr>
          <w:spacing w:val="10"/>
          <w:sz w:val="21"/>
        </w:rPr>
        <w:t xml:space="preserve">标识设施的具体形式参照国家标准《公共信息图形符号第 </w:t>
      </w:r>
      <w:r>
        <w:rPr>
          <w:sz w:val="21"/>
        </w:rPr>
        <w:t>9</w:t>
      </w:r>
      <w:r>
        <w:rPr>
          <w:spacing w:val="7"/>
          <w:sz w:val="21"/>
        </w:rPr>
        <w:t xml:space="preserve"> 部分：无障碍设施符号》</w:t>
      </w:r>
      <w:r>
        <w:rPr>
          <w:rFonts w:hint="eastAsia" w:ascii="仿宋" w:hAnsi="仿宋" w:eastAsia="仿宋"/>
          <w:sz w:val="21"/>
        </w:rPr>
        <w:t>GB</w:t>
      </w:r>
      <w:r>
        <w:rPr>
          <w:sz w:val="21"/>
        </w:rPr>
        <w:t>/</w:t>
      </w:r>
      <w:r>
        <w:rPr>
          <w:rFonts w:hint="eastAsia" w:ascii="仿宋" w:hAnsi="仿宋" w:eastAsia="仿宋"/>
          <w:sz w:val="21"/>
        </w:rPr>
        <w:t xml:space="preserve">T </w:t>
      </w:r>
      <w:r>
        <w:rPr>
          <w:sz w:val="21"/>
        </w:rPr>
        <w:t>10001.9-2021</w:t>
      </w:r>
      <w:r>
        <w:rPr>
          <w:spacing w:val="-11"/>
          <w:sz w:val="21"/>
        </w:rPr>
        <w:t xml:space="preserve"> 中的无障碍设施标志进行编制，将其与《无障碍设计规范》</w:t>
      </w:r>
      <w:r>
        <w:rPr>
          <w:sz w:val="21"/>
        </w:rPr>
        <w:t>GB50763-2012</w:t>
      </w:r>
      <w:r>
        <w:rPr>
          <w:spacing w:val="-20"/>
          <w:sz w:val="21"/>
        </w:rPr>
        <w:t xml:space="preserve"> 中的附录 </w:t>
      </w:r>
      <w:r>
        <w:rPr>
          <w:spacing w:val="-10"/>
          <w:sz w:val="21"/>
        </w:rPr>
        <w:t>A</w:t>
      </w:r>
      <w:r>
        <w:rPr>
          <w:spacing w:val="-4"/>
          <w:sz w:val="21"/>
        </w:rPr>
        <w:t>“无障</w:t>
      </w:r>
      <w:r>
        <w:rPr>
          <w:spacing w:val="-6"/>
          <w:sz w:val="21"/>
        </w:rPr>
        <w:t xml:space="preserve">碍标志”、附录 </w:t>
      </w:r>
      <w:r>
        <w:rPr>
          <w:spacing w:val="2"/>
          <w:sz w:val="21"/>
        </w:rPr>
        <w:t>B</w:t>
      </w:r>
      <w:r>
        <w:rPr>
          <w:spacing w:val="-4"/>
          <w:sz w:val="21"/>
        </w:rPr>
        <w:t xml:space="preserve">“无障碍设施标志牌”、附录 </w:t>
      </w:r>
      <w:r>
        <w:rPr>
          <w:spacing w:val="2"/>
          <w:sz w:val="21"/>
        </w:rPr>
        <w:t>C</w:t>
      </w:r>
      <w:r>
        <w:rPr>
          <w:sz w:val="21"/>
        </w:rPr>
        <w:t>“用于指示方向的无障碍设施标志牌”的规定归纳合并</w:t>
      </w:r>
      <w:r>
        <w:rPr>
          <w:spacing w:val="-6"/>
          <w:sz w:val="21"/>
        </w:rPr>
        <w:t xml:space="preserve">为本标准中附录 </w:t>
      </w:r>
      <w:r>
        <w:rPr>
          <w:sz w:val="21"/>
        </w:rPr>
        <w:t>A</w:t>
      </w:r>
      <w:r>
        <w:rPr>
          <w:spacing w:val="-3"/>
          <w:sz w:val="21"/>
        </w:rPr>
        <w:t xml:space="preserve">“常用标识设施”的内容。本标准附录 </w:t>
      </w:r>
      <w:r>
        <w:rPr>
          <w:sz w:val="21"/>
        </w:rPr>
        <w:t>A</w:t>
      </w:r>
      <w:r>
        <w:rPr>
          <w:spacing w:val="-8"/>
          <w:sz w:val="21"/>
        </w:rPr>
        <w:t xml:space="preserve"> 中包括各类常用标识设施的具体形式及带指示方式的具体形式。轮椅朝向应与通行方向一致。</w:t>
      </w:r>
    </w:p>
    <w:p>
      <w:pPr>
        <w:pStyle w:val="12"/>
        <w:numPr>
          <w:ilvl w:val="3"/>
          <w:numId w:val="170"/>
        </w:numPr>
        <w:tabs>
          <w:tab w:val="left" w:pos="1058"/>
        </w:tabs>
        <w:spacing w:before="0" w:after="0" w:line="268" w:lineRule="exact"/>
        <w:ind w:left="1057" w:right="0" w:hanging="421"/>
        <w:jc w:val="both"/>
        <w:rPr>
          <w:sz w:val="21"/>
        </w:rPr>
      </w:pPr>
      <w:bookmarkStart w:id="785" w:name="2   对于本标准附录A中未规定的标识设施可按需求拓展。"/>
      <w:bookmarkEnd w:id="785"/>
      <w:bookmarkStart w:id="786" w:name="2   对于本标准附录A中未规定的标识设施可按需求拓展。"/>
      <w:bookmarkEnd w:id="786"/>
      <w:r>
        <w:rPr>
          <w:spacing w:val="-7"/>
          <w:sz w:val="21"/>
        </w:rPr>
        <w:t xml:space="preserve">对于本标准附录 </w:t>
      </w:r>
      <w:r>
        <w:rPr>
          <w:sz w:val="21"/>
        </w:rPr>
        <w:t>A</w:t>
      </w:r>
      <w:r>
        <w:rPr>
          <w:spacing w:val="-8"/>
          <w:sz w:val="21"/>
        </w:rPr>
        <w:t xml:space="preserve"> 中未规定的标识设施可按需求拓展。</w:t>
      </w:r>
    </w:p>
    <w:p>
      <w:pPr>
        <w:pStyle w:val="5"/>
        <w:spacing w:before="6"/>
        <w:rPr>
          <w:sz w:val="15"/>
        </w:rPr>
      </w:pPr>
    </w:p>
    <w:p>
      <w:pPr>
        <w:pStyle w:val="12"/>
        <w:numPr>
          <w:ilvl w:val="2"/>
          <w:numId w:val="170"/>
        </w:numPr>
        <w:tabs>
          <w:tab w:val="left" w:pos="1053"/>
        </w:tabs>
        <w:spacing w:before="0" w:after="0" w:line="240" w:lineRule="auto"/>
        <w:ind w:left="1052" w:right="0" w:hanging="841"/>
        <w:jc w:val="both"/>
        <w:rPr>
          <w:sz w:val="21"/>
        </w:rPr>
      </w:pPr>
      <w:bookmarkStart w:id="787" w:name="4.3.7本条规定了标识设施的设计要求。"/>
      <w:bookmarkEnd w:id="787"/>
      <w:bookmarkStart w:id="788" w:name="4.3.7本条规定了标识设施的设计要求。"/>
      <w:bookmarkEnd w:id="788"/>
      <w:r>
        <w:rPr>
          <w:sz w:val="21"/>
        </w:rPr>
        <w:t>本条规定了标识设施的设计要求。</w:t>
      </w:r>
    </w:p>
    <w:p>
      <w:pPr>
        <w:pStyle w:val="5"/>
        <w:spacing w:before="7"/>
        <w:rPr>
          <w:sz w:val="15"/>
        </w:rPr>
      </w:pPr>
    </w:p>
    <w:p>
      <w:pPr>
        <w:pStyle w:val="5"/>
        <w:spacing w:line="417" w:lineRule="auto"/>
        <w:ind w:left="212" w:right="208" w:firstLine="427"/>
        <w:jc w:val="both"/>
      </w:pPr>
      <w:r>
        <w:t>1、2   用于无障碍的标识设施是城市、建筑标识系统的必要组成部分，不能出现断点以至失去引导作用。应考虑所处环境、设施特征、标识大小和人流密集度，选择标识形式并设置间距。可选择贴壁式、</w:t>
      </w:r>
      <w:r>
        <w:rPr>
          <w:spacing w:val="-10"/>
        </w:rPr>
        <w:t xml:space="preserve">横越式、地牌式、悬挂式、地面式和阅读板式等安装展呈形式。带指示方向的标志设置间距不宜超过 </w:t>
      </w:r>
      <w:r>
        <w:t>50</w:t>
      </w:r>
      <w:r>
        <w:rPr>
          <w:rFonts w:hint="eastAsia" w:ascii="仿宋" w:eastAsia="仿宋"/>
        </w:rPr>
        <w:t>m</w:t>
      </w:r>
      <w:r>
        <w:t>。</w:t>
      </w:r>
    </w:p>
    <w:p>
      <w:pPr>
        <w:pStyle w:val="12"/>
        <w:numPr>
          <w:ilvl w:val="0"/>
          <w:numId w:val="171"/>
        </w:numPr>
        <w:tabs>
          <w:tab w:val="left" w:pos="1060"/>
        </w:tabs>
        <w:spacing w:before="0" w:after="0" w:line="417" w:lineRule="auto"/>
        <w:ind w:left="212" w:right="310" w:firstLine="427"/>
        <w:jc w:val="both"/>
        <w:rPr>
          <w:sz w:val="21"/>
        </w:rPr>
      </w:pPr>
      <w:r>
        <w:rPr>
          <w:spacing w:val="-1"/>
          <w:w w:val="95"/>
          <w:sz w:val="21"/>
        </w:rPr>
        <w:t>需要安全警示处包括禁止靠近或触碰的地点和设施</w:t>
      </w:r>
      <w:r>
        <w:rPr>
          <w:w w:val="95"/>
          <w:sz w:val="21"/>
        </w:rPr>
        <w:t>（</w:t>
      </w:r>
      <w:r>
        <w:rPr>
          <w:spacing w:val="-3"/>
          <w:w w:val="95"/>
          <w:sz w:val="21"/>
        </w:rPr>
        <w:t>如机房、设备、施工地点等</w:t>
      </w:r>
      <w:r>
        <w:rPr>
          <w:spacing w:val="-4"/>
          <w:w w:val="95"/>
          <w:sz w:val="21"/>
        </w:rPr>
        <w:t>）</w:t>
      </w:r>
      <w:r>
        <w:rPr>
          <w:spacing w:val="-2"/>
          <w:w w:val="95"/>
          <w:sz w:val="21"/>
        </w:rPr>
        <w:t xml:space="preserve">，及可能发生   </w:t>
      </w:r>
      <w:r>
        <w:rPr>
          <w:spacing w:val="-5"/>
          <w:w w:val="95"/>
          <w:sz w:val="21"/>
        </w:rPr>
        <w:t xml:space="preserve">人身伤害的位置。涉及人身安全的警示对于所有人都非常重要，对于视觉障碍、听觉障碍的人群，必须提   </w:t>
      </w:r>
      <w:r>
        <w:rPr>
          <w:spacing w:val="-5"/>
          <w:sz w:val="21"/>
        </w:rPr>
        <w:t>供保证他们能够获得警示信息的标识。</w:t>
      </w:r>
    </w:p>
    <w:p>
      <w:pPr>
        <w:pStyle w:val="12"/>
        <w:numPr>
          <w:ilvl w:val="0"/>
          <w:numId w:val="171"/>
        </w:numPr>
        <w:tabs>
          <w:tab w:val="left" w:pos="1060"/>
        </w:tabs>
        <w:spacing w:before="0" w:after="0" w:line="269" w:lineRule="exact"/>
        <w:ind w:left="1060" w:right="0" w:hanging="420"/>
        <w:jc w:val="both"/>
        <w:rPr>
          <w:sz w:val="21"/>
        </w:rPr>
      </w:pPr>
      <w:r>
        <w:rPr>
          <w:spacing w:val="-2"/>
          <w:sz w:val="21"/>
        </w:rPr>
        <w:t xml:space="preserve">人行范围内，悬挑式标志牌下边缘距地面高度不应小于 </w:t>
      </w:r>
      <w:r>
        <w:rPr>
          <w:sz w:val="21"/>
        </w:rPr>
        <w:t>2.20</w:t>
      </w:r>
      <w:r>
        <w:rPr>
          <w:rFonts w:hint="eastAsia" w:ascii="仿宋" w:eastAsia="仿宋"/>
          <w:sz w:val="21"/>
        </w:rPr>
        <w:t>m</w:t>
      </w:r>
      <w:r>
        <w:rPr>
          <w:sz w:val="21"/>
        </w:rPr>
        <w:t>；悬挂式标志牌下边缘距地面高度</w:t>
      </w:r>
    </w:p>
    <w:p>
      <w:pPr>
        <w:spacing w:after="0" w:line="269" w:lineRule="exact"/>
        <w:jc w:val="both"/>
        <w:rPr>
          <w:sz w:val="21"/>
        </w:rPr>
        <w:sectPr>
          <w:pgSz w:w="11910" w:h="16840"/>
          <w:pgMar w:top="1580" w:right="820" w:bottom="1280" w:left="920" w:header="0" w:footer="1095" w:gutter="0"/>
          <w:cols w:space="720" w:num="1"/>
        </w:sectPr>
      </w:pPr>
    </w:p>
    <w:p>
      <w:pPr>
        <w:pStyle w:val="5"/>
        <w:spacing w:before="60"/>
        <w:ind w:left="212"/>
      </w:pPr>
      <w:bookmarkStart w:id="789" w:name="5城市道路"/>
      <w:bookmarkEnd w:id="789"/>
      <w:r>
        <w:t>不应小于 2.50</w:t>
      </w:r>
      <w:r>
        <w:rPr>
          <w:rFonts w:hint="eastAsia" w:ascii="仿宋" w:eastAsia="仿宋"/>
        </w:rPr>
        <w:t>m</w:t>
      </w:r>
      <w:r>
        <w:t>；阅读板式标志牌不得影响人流有效通行宽度。</w:t>
      </w:r>
    </w:p>
    <w:p>
      <w:pPr>
        <w:pStyle w:val="5"/>
        <w:spacing w:before="6"/>
        <w:rPr>
          <w:sz w:val="15"/>
        </w:rPr>
      </w:pPr>
    </w:p>
    <w:p>
      <w:pPr>
        <w:pStyle w:val="12"/>
        <w:numPr>
          <w:ilvl w:val="0"/>
          <w:numId w:val="171"/>
        </w:numPr>
        <w:tabs>
          <w:tab w:val="left" w:pos="1059"/>
          <w:tab w:val="left" w:pos="1060"/>
        </w:tabs>
        <w:spacing w:before="1" w:after="0" w:line="417" w:lineRule="auto"/>
        <w:ind w:left="212" w:right="208" w:firstLine="427"/>
        <w:jc w:val="left"/>
        <w:rPr>
          <w:sz w:val="21"/>
        </w:rPr>
      </w:pPr>
      <w:r>
        <w:rPr>
          <w:spacing w:val="-3"/>
          <w:sz w:val="21"/>
        </w:rPr>
        <w:t>标识尽可能优先使用图形，配置文字时宜使用易于辨识的字体。涉及外籍人士环境，配置文字时</w:t>
      </w:r>
      <w:r>
        <w:rPr>
          <w:spacing w:val="-11"/>
          <w:w w:val="95"/>
          <w:sz w:val="21"/>
        </w:rPr>
        <w:t xml:space="preserve">应同时配置英文。宜采用国际标准规格尺寸。标识底色与环境背景色、标识底色与图形色宜采用高对比度；   </w:t>
      </w:r>
      <w:r>
        <w:rPr>
          <w:spacing w:val="-11"/>
          <w:sz w:val="21"/>
        </w:rPr>
        <w:t>宜采用黑底白字（图）</w:t>
      </w:r>
      <w:r>
        <w:rPr>
          <w:spacing w:val="-2"/>
          <w:sz w:val="21"/>
        </w:rPr>
        <w:t>、蓝底白字</w:t>
      </w:r>
      <w:r>
        <w:rPr>
          <w:sz w:val="21"/>
        </w:rPr>
        <w:t>（图</w:t>
      </w:r>
      <w:r>
        <w:rPr>
          <w:spacing w:val="-3"/>
          <w:sz w:val="21"/>
        </w:rPr>
        <w:t>）</w:t>
      </w:r>
      <w:r>
        <w:rPr>
          <w:sz w:val="21"/>
        </w:rPr>
        <w:t>、白（浅</w:t>
      </w:r>
      <w:r>
        <w:rPr>
          <w:spacing w:val="-3"/>
          <w:sz w:val="21"/>
        </w:rPr>
        <w:t>）</w:t>
      </w:r>
      <w:r>
        <w:rPr>
          <w:sz w:val="21"/>
        </w:rPr>
        <w:t>底黑字（图）；表示危险警示的标识宜采用黄底红字</w:t>
      </w:r>
    </w:p>
    <w:p>
      <w:pPr>
        <w:pStyle w:val="5"/>
        <w:spacing w:line="269" w:lineRule="exact"/>
        <w:ind w:left="212"/>
      </w:pPr>
      <w:r>
        <w:t>（图）。图形和字符大小、间距应依据视距要求进行尺寸控制，并应符合《公共建筑标识系统技术规范》</w:t>
      </w:r>
    </w:p>
    <w:p>
      <w:pPr>
        <w:pStyle w:val="5"/>
        <w:spacing w:before="6"/>
        <w:rPr>
          <w:sz w:val="15"/>
        </w:rPr>
      </w:pPr>
    </w:p>
    <w:p>
      <w:pPr>
        <w:pStyle w:val="5"/>
        <w:ind w:left="212"/>
      </w:pPr>
      <w:r>
        <w:rPr>
          <w:rFonts w:hint="eastAsia" w:ascii="仿宋" w:eastAsia="仿宋"/>
        </w:rPr>
        <w:t xml:space="preserve">GB/T </w:t>
      </w:r>
      <w:r>
        <w:t>51223-2017 第 5.3 节有关规定。</w:t>
      </w:r>
    </w:p>
    <w:p>
      <w:pPr>
        <w:pStyle w:val="5"/>
        <w:spacing w:before="7"/>
        <w:rPr>
          <w:sz w:val="15"/>
        </w:rPr>
      </w:pPr>
    </w:p>
    <w:p>
      <w:pPr>
        <w:pStyle w:val="12"/>
        <w:numPr>
          <w:ilvl w:val="1"/>
          <w:numId w:val="163"/>
        </w:numPr>
        <w:tabs>
          <w:tab w:val="left" w:pos="4797"/>
        </w:tabs>
        <w:spacing w:before="0" w:after="0" w:line="240" w:lineRule="auto"/>
        <w:ind w:left="4796" w:right="99" w:hanging="4797"/>
        <w:jc w:val="left"/>
        <w:rPr>
          <w:rFonts w:hint="eastAsia" w:ascii="黑体" w:eastAsia="黑体"/>
          <w:sz w:val="21"/>
        </w:rPr>
      </w:pPr>
      <w:bookmarkStart w:id="790" w:name="III盲文设施"/>
      <w:bookmarkEnd w:id="790"/>
      <w:bookmarkStart w:id="791" w:name="III盲文设施"/>
      <w:bookmarkEnd w:id="791"/>
      <w:r>
        <w:rPr>
          <w:rFonts w:hint="eastAsia" w:ascii="黑体" w:eastAsia="黑体"/>
          <w:sz w:val="21"/>
        </w:rPr>
        <w:t>盲文设施</w:t>
      </w:r>
    </w:p>
    <w:p>
      <w:pPr>
        <w:pStyle w:val="5"/>
        <w:spacing w:before="7"/>
        <w:rPr>
          <w:rFonts w:ascii="黑体"/>
          <w:sz w:val="15"/>
        </w:rPr>
      </w:pPr>
    </w:p>
    <w:p>
      <w:pPr>
        <w:pStyle w:val="12"/>
        <w:numPr>
          <w:ilvl w:val="2"/>
          <w:numId w:val="170"/>
        </w:numPr>
        <w:tabs>
          <w:tab w:val="left" w:pos="1052"/>
          <w:tab w:val="left" w:pos="1053"/>
        </w:tabs>
        <w:spacing w:before="0" w:after="0" w:line="417" w:lineRule="auto"/>
        <w:ind w:left="212" w:right="311" w:firstLine="0"/>
        <w:jc w:val="left"/>
        <w:rPr>
          <w:sz w:val="21"/>
        </w:rPr>
      </w:pPr>
      <w:bookmarkStart w:id="792" w:name="4.3.8本条规定了盲文设施的设计要求。盲文设施所使用盲文应符合现行国家标准《中"/>
      <w:bookmarkEnd w:id="792"/>
      <w:bookmarkStart w:id="793" w:name="4.3.8本条规定了盲文设施的设计要求。盲文设施所使用盲文应符合现行国家标准《中"/>
      <w:bookmarkEnd w:id="793"/>
      <w:r>
        <w:rPr>
          <w:spacing w:val="4"/>
          <w:w w:val="95"/>
          <w:sz w:val="21"/>
        </w:rPr>
        <w:t>本条规定了盲文设施的设计要求。盲文设施所使用盲文应符合现行国家标准《中国盲文》</w:t>
      </w:r>
      <w:r>
        <w:rPr>
          <w:rFonts w:hint="eastAsia" w:ascii="仿宋" w:eastAsia="仿宋"/>
          <w:w w:val="95"/>
          <w:sz w:val="21"/>
        </w:rPr>
        <w:t xml:space="preserve">GB/T </w:t>
      </w:r>
      <w:r>
        <w:rPr>
          <w:sz w:val="21"/>
        </w:rPr>
        <w:t>15720</w:t>
      </w:r>
      <w:r>
        <w:rPr>
          <w:spacing w:val="-10"/>
          <w:sz w:val="21"/>
        </w:rPr>
        <w:t xml:space="preserve"> 有关规定。</w:t>
      </w:r>
    </w:p>
    <w:p>
      <w:pPr>
        <w:pStyle w:val="5"/>
        <w:tabs>
          <w:tab w:val="left" w:pos="1059"/>
        </w:tabs>
        <w:spacing w:line="417" w:lineRule="auto"/>
        <w:ind w:left="212" w:right="315" w:firstLine="427"/>
      </w:pPr>
      <w:r>
        <w:t>4</w:t>
      </w:r>
      <w:r>
        <w:tab/>
      </w:r>
      <w:r>
        <w:rPr>
          <w:spacing w:val="-3"/>
          <w:w w:val="95"/>
        </w:rPr>
        <w:t xml:space="preserve">有门锁的单开门，盲文门牌宜安装在门锁一侧的墙面上；双开门，盲文门牌宜安装在门右侧墙面   </w:t>
      </w:r>
      <w:r>
        <w:rPr>
          <w:spacing w:val="-3"/>
        </w:rPr>
        <w:t>上；无门锁的单向推门，盲文门牌宜安装在可推动门面板上。门把手上宜安装推拉方向指示铭牌。</w:t>
      </w:r>
    </w:p>
    <w:p>
      <w:pPr>
        <w:pStyle w:val="12"/>
        <w:numPr>
          <w:ilvl w:val="1"/>
          <w:numId w:val="163"/>
        </w:numPr>
        <w:tabs>
          <w:tab w:val="left" w:pos="4744"/>
        </w:tabs>
        <w:spacing w:before="0" w:after="0" w:line="269" w:lineRule="exact"/>
        <w:ind w:left="4744" w:right="99" w:hanging="4744"/>
        <w:jc w:val="left"/>
        <w:rPr>
          <w:rFonts w:hint="eastAsia" w:ascii="黑体" w:eastAsia="黑体"/>
          <w:sz w:val="21"/>
        </w:rPr>
      </w:pPr>
      <w:bookmarkStart w:id="794" w:name="IV交互设备"/>
      <w:bookmarkEnd w:id="794"/>
      <w:bookmarkStart w:id="795" w:name="IV交互设备"/>
      <w:bookmarkEnd w:id="795"/>
      <w:r>
        <w:rPr>
          <w:rFonts w:hint="eastAsia" w:ascii="黑体" w:eastAsia="黑体"/>
          <w:sz w:val="21"/>
        </w:rPr>
        <w:t>交互设备</w:t>
      </w:r>
    </w:p>
    <w:p>
      <w:pPr>
        <w:pStyle w:val="5"/>
        <w:spacing w:before="6"/>
        <w:rPr>
          <w:rFonts w:ascii="黑体"/>
          <w:sz w:val="15"/>
        </w:rPr>
      </w:pPr>
    </w:p>
    <w:p>
      <w:pPr>
        <w:pStyle w:val="12"/>
        <w:numPr>
          <w:ilvl w:val="2"/>
          <w:numId w:val="172"/>
        </w:numPr>
        <w:tabs>
          <w:tab w:val="left" w:pos="1064"/>
          <w:tab w:val="left" w:pos="1065"/>
        </w:tabs>
        <w:spacing w:before="0" w:after="0" w:line="417" w:lineRule="auto"/>
        <w:ind w:left="212" w:right="312" w:firstLine="0"/>
        <w:jc w:val="left"/>
        <w:rPr>
          <w:sz w:val="21"/>
        </w:rPr>
      </w:pPr>
      <w:bookmarkStart w:id="796" w:name="4.3.10本条规定了交互设备的类别。鼓励采用新理念、新技术、新材料、新工艺，鼓"/>
      <w:bookmarkEnd w:id="796"/>
      <w:bookmarkStart w:id="797" w:name="4.3.10本条规定了交互设备的类别。鼓励采用新理念、新技术、新材料、新工艺，鼓"/>
      <w:bookmarkEnd w:id="797"/>
      <w:r>
        <w:rPr>
          <w:spacing w:val="-5"/>
          <w:w w:val="95"/>
          <w:sz w:val="21"/>
        </w:rPr>
        <w:t xml:space="preserve">本条规定了交互设备的类别。鼓励采用新理念、新技术、新材料、新工艺，鼓励采用通用设计产   </w:t>
      </w:r>
      <w:r>
        <w:rPr>
          <w:spacing w:val="-5"/>
          <w:sz w:val="21"/>
        </w:rPr>
        <w:t>品，扩充交互设备的类别。</w:t>
      </w:r>
    </w:p>
    <w:p>
      <w:pPr>
        <w:pStyle w:val="12"/>
        <w:numPr>
          <w:ilvl w:val="2"/>
          <w:numId w:val="172"/>
        </w:numPr>
        <w:tabs>
          <w:tab w:val="left" w:pos="1052"/>
          <w:tab w:val="left" w:pos="1053"/>
        </w:tabs>
        <w:spacing w:before="0" w:after="0" w:line="269" w:lineRule="exact"/>
        <w:ind w:left="1052" w:right="0" w:hanging="841"/>
        <w:jc w:val="left"/>
        <w:rPr>
          <w:sz w:val="21"/>
        </w:rPr>
      </w:pPr>
      <w:bookmarkStart w:id="798" w:name="4.3.11本条规定了过街音响提示装置的设置要求。"/>
      <w:bookmarkEnd w:id="798"/>
      <w:bookmarkStart w:id="799" w:name="4.3.11本条规定了过街音响提示装置的设置要求。"/>
      <w:bookmarkEnd w:id="799"/>
      <w:r>
        <w:rPr>
          <w:sz w:val="21"/>
        </w:rPr>
        <w:t>本条规定了过街音响提示装置的设置要求。</w:t>
      </w:r>
    </w:p>
    <w:p>
      <w:pPr>
        <w:pStyle w:val="5"/>
        <w:spacing w:before="7"/>
        <w:rPr>
          <w:sz w:val="15"/>
        </w:rPr>
      </w:pPr>
    </w:p>
    <w:p>
      <w:pPr>
        <w:pStyle w:val="5"/>
        <w:tabs>
          <w:tab w:val="left" w:pos="1059"/>
        </w:tabs>
        <w:spacing w:line="417" w:lineRule="auto"/>
        <w:ind w:left="212" w:right="208" w:firstLine="427"/>
      </w:pPr>
      <w:r>
        <w:t>2</w:t>
      </w:r>
      <w:r>
        <w:tab/>
      </w:r>
      <w:r>
        <w:rPr>
          <w:spacing w:val="-2"/>
        </w:rPr>
        <w:t>过街音响提示装置不具备语言播报功能，只发出间歇、可变的声音信号以提示通行导航或危险信</w:t>
      </w:r>
      <w:r>
        <w:rPr>
          <w:spacing w:val="-11"/>
          <w:w w:val="95"/>
        </w:rPr>
        <w:t xml:space="preserve">息。过街音响提示装置应使用间歇或者可变的声音信号。公共场所、交通建筑中的音响具备语音播报功能。   </w:t>
      </w:r>
      <w:r>
        <w:rPr>
          <w:spacing w:val="-13"/>
        </w:rPr>
        <w:t xml:space="preserve">在背景噪声干扰下，音响声音清晰度不应小于 </w:t>
      </w:r>
      <w:r>
        <w:t>75</w:t>
      </w:r>
      <w:r>
        <w:rPr>
          <w:spacing w:val="-4"/>
        </w:rPr>
        <w:t xml:space="preserve">%，强度不应小于背景环境噪声 </w:t>
      </w:r>
      <w:r>
        <w:t>15</w:t>
      </w:r>
      <w:r>
        <w:rPr>
          <w:rFonts w:hint="eastAsia" w:ascii="仿宋" w:eastAsia="仿宋"/>
        </w:rPr>
        <w:t>dB</w:t>
      </w:r>
      <w:r>
        <w:t>。</w:t>
      </w:r>
    </w:p>
    <w:p>
      <w:pPr>
        <w:pStyle w:val="12"/>
        <w:numPr>
          <w:ilvl w:val="2"/>
          <w:numId w:val="172"/>
        </w:numPr>
        <w:tabs>
          <w:tab w:val="left" w:pos="1052"/>
          <w:tab w:val="left" w:pos="1053"/>
        </w:tabs>
        <w:spacing w:before="0" w:after="0" w:line="417" w:lineRule="auto"/>
        <w:ind w:left="212" w:right="312" w:firstLine="0"/>
        <w:jc w:val="left"/>
        <w:rPr>
          <w:sz w:val="21"/>
        </w:rPr>
      </w:pPr>
      <w:bookmarkStart w:id="800" w:name="4.3.12本条规定了交互设备的设计要求。交互设备是依托红外感应、智能识别、GP"/>
      <w:bookmarkEnd w:id="800"/>
      <w:bookmarkStart w:id="801" w:name="4.3.12本条规定了交互设备的设计要求。交互设备是依托红外感应、智能识别、GP"/>
      <w:bookmarkEnd w:id="801"/>
      <w:r>
        <w:rPr>
          <w:sz w:val="21"/>
        </w:rPr>
        <w:t>本条规定了交互设备的设计要求。交互设备是依托红外感应、智能识别、</w:t>
      </w:r>
      <w:r>
        <w:rPr>
          <w:rFonts w:hint="eastAsia" w:ascii="仿宋" w:eastAsia="仿宋"/>
          <w:sz w:val="21"/>
        </w:rPr>
        <w:t>GPS</w:t>
      </w:r>
      <w:r>
        <w:rPr>
          <w:rFonts w:hint="eastAsia" w:ascii="仿宋" w:eastAsia="仿宋"/>
          <w:spacing w:val="-47"/>
          <w:sz w:val="21"/>
        </w:rPr>
        <w:t xml:space="preserve"> </w:t>
      </w:r>
      <w:r>
        <w:rPr>
          <w:sz w:val="21"/>
        </w:rPr>
        <w:t>定位、信息集成、多点触控等技术，实现人与环境、服务之间的信息交流的设施。</w:t>
      </w:r>
    </w:p>
    <w:p>
      <w:pPr>
        <w:pStyle w:val="12"/>
        <w:numPr>
          <w:ilvl w:val="3"/>
          <w:numId w:val="172"/>
        </w:numPr>
        <w:tabs>
          <w:tab w:val="left" w:pos="1060"/>
        </w:tabs>
        <w:spacing w:before="0" w:after="0" w:line="417" w:lineRule="auto"/>
        <w:ind w:left="212" w:right="312" w:firstLine="427"/>
        <w:jc w:val="both"/>
        <w:rPr>
          <w:sz w:val="21"/>
        </w:rPr>
      </w:pPr>
      <w:r>
        <w:rPr>
          <w:spacing w:val="-2"/>
          <w:w w:val="95"/>
          <w:sz w:val="21"/>
        </w:rPr>
        <w:t xml:space="preserve">交互设备应尽最大可能满足所有人的使用需求，各类残障人士的身体行动特征不同，设施宜带有   </w:t>
      </w:r>
      <w:r>
        <w:rPr>
          <w:spacing w:val="-2"/>
          <w:sz w:val="21"/>
        </w:rPr>
        <w:t>机械调节或电子调节功能。</w:t>
      </w:r>
    </w:p>
    <w:p>
      <w:pPr>
        <w:pStyle w:val="12"/>
        <w:numPr>
          <w:ilvl w:val="3"/>
          <w:numId w:val="172"/>
        </w:numPr>
        <w:tabs>
          <w:tab w:val="left" w:pos="1053"/>
        </w:tabs>
        <w:spacing w:before="0" w:after="0" w:line="417" w:lineRule="auto"/>
        <w:ind w:left="212" w:right="315" w:firstLine="420"/>
        <w:jc w:val="both"/>
        <w:rPr>
          <w:sz w:val="21"/>
        </w:rPr>
      </w:pPr>
      <w:r>
        <w:rPr>
          <w:spacing w:val="-2"/>
          <w:w w:val="95"/>
          <w:sz w:val="21"/>
        </w:rPr>
        <w:t xml:space="preserve">免提对话功能是对手部力量弱的使用者的辅助，音量放大功能是对弱听者的辅助，助听耦合功能   </w:t>
      </w:r>
      <w:r>
        <w:rPr>
          <w:spacing w:val="-2"/>
          <w:sz w:val="21"/>
        </w:rPr>
        <w:t>是对佩戴助听器者的辅助。</w:t>
      </w:r>
    </w:p>
    <w:p>
      <w:pPr>
        <w:pStyle w:val="12"/>
        <w:numPr>
          <w:ilvl w:val="3"/>
          <w:numId w:val="172"/>
        </w:numPr>
        <w:tabs>
          <w:tab w:val="left" w:pos="1053"/>
        </w:tabs>
        <w:spacing w:before="0" w:after="0" w:line="417" w:lineRule="auto"/>
        <w:ind w:left="212" w:right="310" w:firstLine="420"/>
        <w:jc w:val="both"/>
        <w:rPr>
          <w:sz w:val="21"/>
        </w:rPr>
      </w:pPr>
      <w:r>
        <w:rPr>
          <w:spacing w:val="-3"/>
          <w:sz w:val="21"/>
        </w:rPr>
        <w:t>自助终端是指场所内布置用于查询、引导、简单业务实现等自助使用的终端设备。低位自助终端方便乘轮椅者使用。采用视觉和听觉两种信息传递方式，方便视觉障碍者和听觉障碍者的使用。</w:t>
      </w:r>
    </w:p>
    <w:p>
      <w:pPr>
        <w:pStyle w:val="12"/>
        <w:numPr>
          <w:ilvl w:val="3"/>
          <w:numId w:val="172"/>
        </w:numPr>
        <w:tabs>
          <w:tab w:val="left" w:pos="1060"/>
        </w:tabs>
        <w:spacing w:before="0" w:after="0" w:line="417" w:lineRule="auto"/>
        <w:ind w:left="212" w:right="310" w:firstLine="427"/>
        <w:jc w:val="both"/>
        <w:rPr>
          <w:sz w:val="21"/>
        </w:rPr>
      </w:pPr>
      <w:r>
        <w:rPr>
          <w:spacing w:val="-3"/>
          <w:w w:val="95"/>
          <w:sz w:val="21"/>
        </w:rPr>
        <w:t xml:space="preserve">公用计算机指公共服务设施中的电脑、网吧中的电脑等。屏幕放大功能是普遍的辅助功能，有些   </w:t>
      </w:r>
      <w:r>
        <w:rPr>
          <w:spacing w:val="-6"/>
          <w:w w:val="95"/>
          <w:sz w:val="21"/>
        </w:rPr>
        <w:t xml:space="preserve">操作系统自带，也可以使用第三方软件实现更多辅助功能。目前针对残障人群的辅助设备越来越多，比如   </w:t>
      </w:r>
      <w:r>
        <w:rPr>
          <w:spacing w:val="-6"/>
          <w:sz w:val="21"/>
        </w:rPr>
        <w:t>盲文键盘、盲文点阵输出，残障人群可以使用已经熟悉的输入输出设备替换传统的键盘来操控计算机。</w:t>
      </w:r>
    </w:p>
    <w:p>
      <w:pPr>
        <w:spacing w:after="0" w:line="417" w:lineRule="auto"/>
        <w:jc w:val="both"/>
        <w:rPr>
          <w:sz w:val="21"/>
        </w:rPr>
        <w:sectPr>
          <w:pgSz w:w="11910" w:h="16840"/>
          <w:pgMar w:top="1580" w:right="820" w:bottom="1280" w:left="920" w:header="0" w:footer="1095" w:gutter="0"/>
          <w:cols w:space="720" w:num="1"/>
        </w:sectPr>
      </w:pPr>
    </w:p>
    <w:p>
      <w:pPr>
        <w:pStyle w:val="2"/>
        <w:numPr>
          <w:ilvl w:val="3"/>
          <w:numId w:val="172"/>
        </w:numPr>
        <w:tabs>
          <w:tab w:val="left" w:pos="4599"/>
          <w:tab w:val="left" w:pos="4600"/>
        </w:tabs>
        <w:spacing w:before="68" w:after="0" w:line="240" w:lineRule="auto"/>
        <w:ind w:left="4600" w:right="0" w:hanging="420"/>
        <w:jc w:val="left"/>
      </w:pPr>
      <w:bookmarkStart w:id="802" w:name="_bookmark36"/>
      <w:bookmarkEnd w:id="802"/>
      <w:r>
        <w:t>城市道路</w:t>
      </w:r>
    </w:p>
    <w:p>
      <w:pPr>
        <w:pStyle w:val="12"/>
        <w:numPr>
          <w:ilvl w:val="4"/>
          <w:numId w:val="172"/>
        </w:numPr>
        <w:tabs>
          <w:tab w:val="left" w:pos="4824"/>
        </w:tabs>
        <w:spacing w:before="206" w:after="0" w:line="240" w:lineRule="auto"/>
        <w:ind w:left="4823" w:right="0" w:hanging="421"/>
        <w:jc w:val="left"/>
        <w:rPr>
          <w:rFonts w:hint="eastAsia" w:ascii="黑体" w:eastAsia="黑体"/>
          <w:sz w:val="21"/>
        </w:rPr>
      </w:pPr>
      <w:bookmarkStart w:id="803" w:name="5.1一般规定"/>
      <w:bookmarkEnd w:id="803"/>
      <w:bookmarkStart w:id="804" w:name="_bookmark37"/>
      <w:bookmarkEnd w:id="804"/>
      <w:bookmarkStart w:id="805" w:name="_bookmark37"/>
      <w:bookmarkEnd w:id="805"/>
      <w:r>
        <w:rPr>
          <w:rFonts w:hint="eastAsia" w:ascii="黑体" w:eastAsia="黑体"/>
          <w:sz w:val="21"/>
        </w:rPr>
        <w:t>一般规定</w:t>
      </w:r>
    </w:p>
    <w:p>
      <w:pPr>
        <w:pStyle w:val="5"/>
        <w:spacing w:before="6"/>
        <w:rPr>
          <w:rFonts w:ascii="黑体"/>
          <w:sz w:val="15"/>
        </w:rPr>
      </w:pPr>
    </w:p>
    <w:p>
      <w:pPr>
        <w:pStyle w:val="12"/>
        <w:numPr>
          <w:ilvl w:val="2"/>
          <w:numId w:val="173"/>
        </w:numPr>
        <w:tabs>
          <w:tab w:val="left" w:pos="1065"/>
        </w:tabs>
        <w:spacing w:before="1" w:after="0" w:line="417" w:lineRule="auto"/>
        <w:ind w:left="212" w:right="307" w:firstLine="0"/>
        <w:jc w:val="both"/>
        <w:rPr>
          <w:sz w:val="21"/>
        </w:rPr>
      </w:pPr>
      <w:bookmarkStart w:id="806" w:name="5.1.1《无障碍设计规范》GB 50763-2012第4.1.1条“城市道路无"/>
      <w:bookmarkEnd w:id="806"/>
      <w:bookmarkStart w:id="807" w:name="5.1.1《无障碍设计规范》GB 50763-2012第4.1.1条“城市道路无"/>
      <w:bookmarkEnd w:id="807"/>
      <w:r>
        <w:rPr>
          <w:sz w:val="21"/>
        </w:rPr>
        <w:t>《无障碍设计规范》</w:t>
      </w:r>
      <w:r>
        <w:rPr>
          <w:rFonts w:hint="eastAsia" w:ascii="仿宋" w:hAnsi="仿宋" w:eastAsia="仿宋"/>
          <w:sz w:val="21"/>
        </w:rPr>
        <w:t>GB</w:t>
      </w:r>
      <w:r>
        <w:rPr>
          <w:rFonts w:hint="eastAsia" w:ascii="仿宋" w:hAnsi="仿宋" w:eastAsia="仿宋"/>
          <w:spacing w:val="2"/>
          <w:sz w:val="21"/>
        </w:rPr>
        <w:t xml:space="preserve"> </w:t>
      </w:r>
      <w:r>
        <w:rPr>
          <w:sz w:val="21"/>
        </w:rPr>
        <w:t>50763-2012</w:t>
      </w:r>
      <w:r>
        <w:rPr>
          <w:spacing w:val="-35"/>
          <w:sz w:val="21"/>
        </w:rPr>
        <w:t xml:space="preserve"> 第 </w:t>
      </w:r>
      <w:r>
        <w:rPr>
          <w:sz w:val="21"/>
        </w:rPr>
        <w:t>4.1.1</w:t>
      </w:r>
      <w:r>
        <w:rPr>
          <w:spacing w:val="-8"/>
          <w:sz w:val="21"/>
        </w:rPr>
        <w:t xml:space="preserve"> 条“城市道路无障碍设计的范围应包括：城市各级</w:t>
      </w:r>
      <w:r>
        <w:rPr>
          <w:spacing w:val="-8"/>
          <w:w w:val="95"/>
          <w:sz w:val="21"/>
        </w:rPr>
        <w:t xml:space="preserve">道路；城镇各级道路；步行街；旅游景点、城市景观带的周边道路。”结合深圳市实际行政区划情况，本   </w:t>
      </w:r>
      <w:r>
        <w:rPr>
          <w:spacing w:val="-8"/>
          <w:sz w:val="21"/>
        </w:rPr>
        <w:t>条将城市道路无障碍设计的范围调整为：城市各级道路；步行街；旅游景点、城市景观带的周边道路。</w:t>
      </w:r>
    </w:p>
    <w:p>
      <w:pPr>
        <w:pStyle w:val="12"/>
        <w:numPr>
          <w:ilvl w:val="2"/>
          <w:numId w:val="173"/>
        </w:numPr>
        <w:tabs>
          <w:tab w:val="left" w:pos="1065"/>
        </w:tabs>
        <w:spacing w:before="0" w:after="0" w:line="417" w:lineRule="auto"/>
        <w:ind w:left="212" w:right="315" w:firstLine="0"/>
        <w:jc w:val="both"/>
        <w:rPr>
          <w:sz w:val="21"/>
        </w:rPr>
      </w:pPr>
      <w:bookmarkStart w:id="808" w:name="5.1.2城市道路的无障碍设施与毗连的城市工程无障碍设施有效衔接，保证无障碍设施"/>
      <w:bookmarkEnd w:id="808"/>
      <w:bookmarkStart w:id="809" w:name="5.1.2城市道路的无障碍设施与毗连的城市工程无障碍设施有效衔接，保证无障碍设施"/>
      <w:bookmarkEnd w:id="809"/>
      <w:r>
        <w:rPr>
          <w:spacing w:val="-2"/>
          <w:w w:val="95"/>
          <w:sz w:val="21"/>
        </w:rPr>
        <w:t xml:space="preserve">城市道路的无障碍设施与毗连的城市工程无障碍设施有效衔接，保证无障碍设施的连续性与完整   </w:t>
      </w:r>
      <w:r>
        <w:rPr>
          <w:spacing w:val="-2"/>
          <w:sz w:val="21"/>
        </w:rPr>
        <w:t>性，便于人们顺畅使用。</w:t>
      </w:r>
    </w:p>
    <w:p>
      <w:pPr>
        <w:pStyle w:val="5"/>
        <w:spacing w:line="417" w:lineRule="auto"/>
        <w:ind w:left="212" w:right="310"/>
        <w:jc w:val="both"/>
      </w:pPr>
      <w:r>
        <w:rPr>
          <w:b/>
        </w:rPr>
        <w:t>5.1.4</w:t>
      </w:r>
      <w:bookmarkStart w:id="810" w:name="5.1.4深圳属亚热带海洋性气候，高温、多雨的气候特征明显，城市道路中人行道、人"/>
      <w:bookmarkEnd w:id="810"/>
      <w:r>
        <w:rPr>
          <w:b/>
          <w:spacing w:val="92"/>
        </w:rPr>
        <w:t xml:space="preserve"> </w:t>
      </w:r>
      <w:r>
        <w:t>深圳</w:t>
      </w:r>
      <w:r>
        <w:rPr>
          <w:color w:val="333333"/>
          <w:spacing w:val="-1"/>
        </w:rPr>
        <w:t>属亚热带海洋性气候，</w:t>
      </w:r>
      <w:r>
        <w:rPr>
          <w:spacing w:val="-5"/>
        </w:rPr>
        <w:t>高温、多雨的气候特征明显，城市道路中人行道、人行天桥及自行车停放区可与绿化结合，或设置雨棚。</w:t>
      </w:r>
    </w:p>
    <w:p>
      <w:pPr>
        <w:pStyle w:val="5"/>
        <w:spacing w:line="269" w:lineRule="exact"/>
        <w:ind w:left="212"/>
        <w:jc w:val="both"/>
      </w:pPr>
      <w:r>
        <w:rPr>
          <w:b/>
        </w:rPr>
        <w:t>5.1.6</w:t>
      </w:r>
      <w:bookmarkStart w:id="811" w:name="5.1.6城市道路宜配建下列无障碍设施,如表5.1.6。"/>
      <w:bookmarkEnd w:id="811"/>
      <w:r>
        <w:rPr>
          <w:b/>
        </w:rPr>
        <w:t xml:space="preserve"> </w:t>
      </w:r>
      <w:r>
        <w:t>城市道路宜配建下列无障碍设施,如表 5.1.6。</w:t>
      </w:r>
    </w:p>
    <w:p>
      <w:pPr>
        <w:spacing w:after="0" w:line="269" w:lineRule="exact"/>
        <w:jc w:val="both"/>
        <w:sectPr>
          <w:pgSz w:w="11910" w:h="16840"/>
          <w:pgMar w:top="1580" w:right="820" w:bottom="1280" w:left="920" w:header="0" w:footer="1095" w:gutter="0"/>
          <w:cols w:space="720" w:num="1"/>
        </w:sectPr>
      </w:pPr>
    </w:p>
    <w:p>
      <w:pPr>
        <w:spacing w:before="55" w:after="29"/>
        <w:ind w:left="5727" w:right="5725" w:firstLine="0"/>
        <w:jc w:val="center"/>
        <w:rPr>
          <w:rFonts w:hint="eastAsia" w:ascii="黑体" w:eastAsia="黑体"/>
          <w:sz w:val="20"/>
        </w:rPr>
      </w:pPr>
      <w:r>
        <mc:AlternateContent>
          <mc:Choice Requires="wps">
            <w:drawing>
              <wp:anchor distT="0" distB="0" distL="114300" distR="114300" simplePos="0" relativeHeight="251672576" behindDoc="1" locked="0" layoutInCell="1" allowOverlap="1">
                <wp:simplePos x="0" y="0"/>
                <wp:positionH relativeFrom="page">
                  <wp:posOffset>723900</wp:posOffset>
                </wp:positionH>
                <wp:positionV relativeFrom="paragraph">
                  <wp:posOffset>226695</wp:posOffset>
                </wp:positionV>
                <wp:extent cx="1058545" cy="1953260"/>
                <wp:effectExtent l="4445" t="2540" r="3810" b="6350"/>
                <wp:wrapNone/>
                <wp:docPr id="4" name="直线 4"/>
                <wp:cNvGraphicFramePr/>
                <a:graphic xmlns:a="http://schemas.openxmlformats.org/drawingml/2006/main">
                  <a:graphicData uri="http://schemas.microsoft.com/office/word/2010/wordprocessingShape">
                    <wps:wsp>
                      <wps:cNvSpPr/>
                      <wps:spPr>
                        <a:xfrm>
                          <a:off x="0" y="0"/>
                          <a:ext cx="1058545" cy="195326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57pt;margin-top:17.85pt;height:153.8pt;width:83.35pt;mso-position-horizontal-relative:page;z-index:-251643904;mso-width-relative:page;mso-height-relative:page;" filled="f" stroked="t" coordsize="21600,21600" o:gfxdata="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TMPt61wAAAAoBAAAPAAAAAAAAAAEAIAAAACIAAABkcnMvZG93bnJldi54bWxQSwECFAAUAAAA&#10;CACHTuJAfvAzKO8BAADhAwAADgAAAAAAAAABACAAAAAmAQAAZHJzL2Uyb0RvYy54bWxQSwUGAAAA&#10;AAYABgBZAQAAhwU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673600" behindDoc="1" locked="0" layoutInCell="1" allowOverlap="1">
                <wp:simplePos x="0" y="0"/>
                <wp:positionH relativeFrom="page">
                  <wp:posOffset>2180590</wp:posOffset>
                </wp:positionH>
                <wp:positionV relativeFrom="page">
                  <wp:posOffset>2291080</wp:posOffset>
                </wp:positionV>
                <wp:extent cx="158115" cy="92075"/>
                <wp:effectExtent l="0" t="0" r="0" b="0"/>
                <wp:wrapNone/>
                <wp:docPr id="6" name="文本框 5"/>
                <wp:cNvGraphicFramePr/>
                <a:graphic xmlns:a="http://schemas.openxmlformats.org/drawingml/2006/main">
                  <a:graphicData uri="http://schemas.microsoft.com/office/word/2010/wordprocessingShape">
                    <wps:wsp>
                      <wps:cNvSpPr txBox="1"/>
                      <wps:spPr>
                        <a:xfrm>
                          <a:off x="0" y="0"/>
                          <a:ext cx="158115" cy="92075"/>
                        </a:xfrm>
                        <a:prstGeom prst="rect">
                          <a:avLst/>
                        </a:prstGeom>
                        <a:noFill/>
                        <a:ln>
                          <a:noFill/>
                        </a:ln>
                      </wps:spPr>
                      <wps:txbx>
                        <w:txbxContent>
                          <w:p>
                            <w:pPr>
                              <w:pStyle w:val="5"/>
                              <w:spacing w:line="249" w:lineRule="exact"/>
                              <w:ind w:left="20"/>
                            </w:pPr>
                            <w:r>
                              <w:rPr>
                                <w:w w:val="99"/>
                              </w:rPr>
                              <w:t>/</w:t>
                            </w:r>
                          </w:p>
                        </w:txbxContent>
                      </wps:txbx>
                      <wps:bodyPr vert="vert" lIns="0" tIns="0" rIns="0" bIns="0" upright="1"/>
                    </wps:wsp>
                  </a:graphicData>
                </a:graphic>
              </wp:anchor>
            </w:drawing>
          </mc:Choice>
          <mc:Fallback>
            <w:pict>
              <v:shape id="文本框 5" o:spid="_x0000_s1026" o:spt="202" type="#_x0000_t202" style="position:absolute;left:0pt;margin-left:171.7pt;margin-top:180.4pt;height:7.25pt;width:12.45pt;mso-position-horizontal-relative:page;mso-position-vertical-relative:page;z-index:-251642880;mso-width-relative:page;mso-height-relative:page;" filled="f" stroked="f" coordsize="21600,21600" o:gfxdata="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cZ9JjbAAAACwEAAA8AAAAAAAAAAQAgAAAAIgAAAGRycy9kb3ducmV2&#10;LnhtbFBLAQIUABQAAAAIAIdO4kAiumGHwAEAAHwDAAAOAAAAAAAAAAEAIAAAACoBAABkcnMvZTJv&#10;RG9jLnhtbFBLBQYAAAAABgAGAFkBAABcBQAAAAA=&#10;">
                <v:fill on="f" focussize="0,0"/>
                <v:stroke on="f"/>
                <v:imagedata o:title=""/>
                <o:lock v:ext="edit" aspectratio="f"/>
                <v:textbox inset="0mm,0mm,0mm,0mm" style="layout-flow:vertical;">
                  <w:txbxContent>
                    <w:p>
                      <w:pPr>
                        <w:pStyle w:val="5"/>
                        <w:spacing w:line="249" w:lineRule="exact"/>
                        <w:ind w:left="20"/>
                      </w:pPr>
                      <w:r>
                        <w:rPr>
                          <w:w w:val="99"/>
                        </w:rPr>
                        <w:t>/</w:t>
                      </w:r>
                    </w:p>
                  </w:txbxContent>
                </v:textbox>
              </v:shape>
            </w:pict>
          </mc:Fallback>
        </mc:AlternateContent>
      </w:r>
      <w:r>
        <w:rPr>
          <w:rFonts w:hint="eastAsia" w:ascii="黑体" w:eastAsia="黑体"/>
          <w:sz w:val="20"/>
        </w:rPr>
        <w:t xml:space="preserve">表 </w:t>
      </w:r>
      <w:r>
        <w:rPr>
          <w:b/>
          <w:sz w:val="20"/>
        </w:rPr>
        <w:t xml:space="preserve">5.1.6 </w:t>
      </w:r>
      <w:r>
        <w:rPr>
          <w:rFonts w:hint="eastAsia" w:ascii="黑体" w:eastAsia="黑体"/>
          <w:sz w:val="20"/>
        </w:rPr>
        <w:t>城市道路无障碍设施配建表</w:t>
      </w:r>
    </w:p>
    <w:tbl>
      <w:tblPr>
        <w:tblStyle w:val="9"/>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106"/>
        <w:gridCol w:w="495"/>
        <w:gridCol w:w="496"/>
        <w:gridCol w:w="496"/>
        <w:gridCol w:w="496"/>
        <w:gridCol w:w="496"/>
        <w:gridCol w:w="496"/>
        <w:gridCol w:w="496"/>
        <w:gridCol w:w="496"/>
        <w:gridCol w:w="496"/>
        <w:gridCol w:w="496"/>
        <w:gridCol w:w="496"/>
        <w:gridCol w:w="496"/>
        <w:gridCol w:w="496"/>
        <w:gridCol w:w="495"/>
        <w:gridCol w:w="496"/>
        <w:gridCol w:w="496"/>
        <w:gridCol w:w="496"/>
        <w:gridCol w:w="496"/>
        <w:gridCol w:w="496"/>
        <w:gridCol w:w="496"/>
        <w:gridCol w:w="496"/>
        <w:gridCol w:w="496"/>
        <w:gridCol w:w="496"/>
        <w:gridCol w:w="496"/>
        <w:gridCol w:w="496"/>
        <w:gridCol w:w="4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8" w:hRule="atLeast"/>
        </w:trPr>
        <w:tc>
          <w:tcPr>
            <w:tcW w:w="1678" w:type="dxa"/>
            <w:gridSpan w:val="2"/>
            <w:vMerge w:val="restart"/>
            <w:tcBorders>
              <w:bottom w:val="single" w:color="000000" w:sz="4" w:space="0"/>
              <w:right w:val="single" w:color="000000" w:sz="4" w:space="0"/>
            </w:tcBorders>
          </w:tcPr>
          <w:p>
            <w:pPr>
              <w:pStyle w:val="13"/>
              <w:rPr>
                <w:rFonts w:ascii="黑体"/>
                <w:sz w:val="24"/>
              </w:rPr>
            </w:pPr>
          </w:p>
          <w:p>
            <w:pPr>
              <w:pStyle w:val="13"/>
              <w:spacing w:line="278" w:lineRule="auto"/>
              <w:ind w:left="889" w:right="245" w:hanging="104"/>
              <w:rPr>
                <w:sz w:val="21"/>
              </w:rPr>
            </w:pPr>
            <w:r>
              <w:rPr>
                <w:sz w:val="21"/>
              </w:rPr>
              <w:t>无障碍设施</w:t>
            </w:r>
          </w:p>
          <w:p>
            <w:pPr>
              <w:pStyle w:val="13"/>
              <w:rPr>
                <w:rFonts w:ascii="黑体"/>
                <w:sz w:val="20"/>
              </w:rPr>
            </w:pPr>
          </w:p>
          <w:p>
            <w:pPr>
              <w:pStyle w:val="13"/>
              <w:rPr>
                <w:rFonts w:ascii="黑体"/>
                <w:sz w:val="20"/>
              </w:rPr>
            </w:pPr>
          </w:p>
          <w:p>
            <w:pPr>
              <w:pStyle w:val="13"/>
              <w:rPr>
                <w:rFonts w:ascii="黑体"/>
                <w:sz w:val="20"/>
              </w:rPr>
            </w:pPr>
          </w:p>
          <w:p>
            <w:pPr>
              <w:pStyle w:val="13"/>
              <w:rPr>
                <w:rFonts w:ascii="黑体"/>
                <w:sz w:val="20"/>
              </w:rPr>
            </w:pPr>
          </w:p>
          <w:p>
            <w:pPr>
              <w:pStyle w:val="13"/>
              <w:rPr>
                <w:rFonts w:ascii="黑体"/>
                <w:sz w:val="20"/>
              </w:rPr>
            </w:pPr>
          </w:p>
          <w:p>
            <w:pPr>
              <w:pStyle w:val="13"/>
              <w:spacing w:before="9"/>
              <w:rPr>
                <w:rFonts w:ascii="黑体"/>
                <w:sz w:val="15"/>
              </w:rPr>
            </w:pPr>
          </w:p>
          <w:p>
            <w:pPr>
              <w:pStyle w:val="13"/>
              <w:spacing w:before="1"/>
              <w:ind w:left="318"/>
              <w:rPr>
                <w:sz w:val="21"/>
              </w:rPr>
            </w:pPr>
            <w:r>
              <w:rPr>
                <w:sz w:val="21"/>
              </w:rPr>
              <w:t>类型</w:t>
            </w:r>
          </w:p>
        </w:tc>
        <w:tc>
          <w:tcPr>
            <w:tcW w:w="6942" w:type="dxa"/>
            <w:gridSpan w:val="14"/>
            <w:tcBorders>
              <w:left w:val="single" w:color="000000" w:sz="4" w:space="0"/>
              <w:bottom w:val="single" w:color="000000" w:sz="4" w:space="0"/>
              <w:right w:val="single" w:color="000000" w:sz="4" w:space="0"/>
            </w:tcBorders>
          </w:tcPr>
          <w:p>
            <w:pPr>
              <w:pStyle w:val="13"/>
              <w:spacing w:before="115"/>
              <w:ind w:left="2719" w:right="2703"/>
              <w:jc w:val="center"/>
              <w:rPr>
                <w:sz w:val="21"/>
              </w:rPr>
            </w:pPr>
            <w:r>
              <w:rPr>
                <w:sz w:val="21"/>
              </w:rPr>
              <w:t>无障碍通行设施</w:t>
            </w:r>
          </w:p>
        </w:tc>
        <w:tc>
          <w:tcPr>
            <w:tcW w:w="4464" w:type="dxa"/>
            <w:gridSpan w:val="9"/>
            <w:tcBorders>
              <w:left w:val="single" w:color="000000" w:sz="4" w:space="0"/>
              <w:bottom w:val="single" w:color="000000" w:sz="4" w:space="0"/>
              <w:right w:val="single" w:color="000000" w:sz="4" w:space="0"/>
            </w:tcBorders>
          </w:tcPr>
          <w:p>
            <w:pPr>
              <w:pStyle w:val="13"/>
              <w:spacing w:before="115"/>
              <w:ind w:left="1500"/>
              <w:rPr>
                <w:sz w:val="21"/>
              </w:rPr>
            </w:pPr>
            <w:r>
              <w:rPr>
                <w:sz w:val="21"/>
              </w:rPr>
              <w:t>无障碍服务设施</w:t>
            </w:r>
          </w:p>
        </w:tc>
        <w:tc>
          <w:tcPr>
            <w:tcW w:w="1488" w:type="dxa"/>
            <w:gridSpan w:val="3"/>
            <w:tcBorders>
              <w:left w:val="single" w:color="000000" w:sz="4" w:space="0"/>
              <w:bottom w:val="single" w:color="000000" w:sz="4" w:space="0"/>
              <w:right w:val="single" w:color="000000" w:sz="4" w:space="0"/>
            </w:tcBorders>
          </w:tcPr>
          <w:p>
            <w:pPr>
              <w:pStyle w:val="13"/>
              <w:spacing w:before="13" w:line="240" w:lineRule="exact"/>
              <w:ind w:left="643" w:right="100" w:hanging="526"/>
              <w:rPr>
                <w:sz w:val="21"/>
              </w:rPr>
            </w:pPr>
            <w:r>
              <w:rPr>
                <w:sz w:val="21"/>
              </w:rPr>
              <w:t>无障碍信息设施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53" w:hRule="atLeast"/>
        </w:trPr>
        <w:tc>
          <w:tcPr>
            <w:tcW w:w="1678" w:type="dxa"/>
            <w:gridSpan w:val="2"/>
            <w:vMerge w:val="continue"/>
            <w:tcBorders>
              <w:top w:val="nil"/>
              <w:bottom w:val="single" w:color="000000" w:sz="4" w:space="0"/>
              <w:right w:val="single" w:color="000000" w:sz="4" w:space="0"/>
            </w:tcBorders>
          </w:tcPr>
          <w:p>
            <w:pPr>
              <w:rPr>
                <w:sz w:val="2"/>
                <w:szCs w:val="2"/>
              </w:rPr>
            </w:pPr>
          </w:p>
        </w:tc>
        <w:tc>
          <w:tcPr>
            <w:tcW w:w="495" w:type="dxa"/>
            <w:tcBorders>
              <w:top w:val="single" w:color="000000" w:sz="4" w:space="0"/>
              <w:left w:val="single" w:color="000000" w:sz="4" w:space="0"/>
              <w:bottom w:val="single" w:color="000000" w:sz="4" w:space="0"/>
              <w:right w:val="single" w:color="000000" w:sz="4" w:space="0"/>
            </w:tcBorders>
            <w:textDirection w:val="tbRl"/>
          </w:tcPr>
          <w:p>
            <w:pPr>
              <w:pStyle w:val="13"/>
              <w:spacing w:before="15"/>
              <w:ind w:left="333"/>
              <w:rPr>
                <w:sz w:val="21"/>
              </w:rPr>
            </w:pPr>
            <w:r>
              <w:rPr>
                <w:sz w:val="21"/>
              </w:rPr>
              <w:t>无障碍机动车停车位</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7"/>
              <w:ind w:left="174"/>
              <w:rPr>
                <w:sz w:val="21"/>
              </w:rPr>
            </w:pPr>
            <w:r>
              <w:rPr>
                <w:sz w:val="21"/>
              </w:rPr>
              <w:t>无障碍小汽车上 落客区</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6"/>
              <w:ind w:left="836" w:right="836"/>
              <w:jc w:val="center"/>
              <w:rPr>
                <w:sz w:val="21"/>
              </w:rPr>
            </w:pPr>
            <w:r>
              <w:rPr>
                <w:sz w:val="21"/>
              </w:rPr>
              <w:t>缘石坡道</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8"/>
              <w:ind w:left="836" w:right="836"/>
              <w:jc w:val="center"/>
              <w:rPr>
                <w:sz w:val="21"/>
              </w:rPr>
            </w:pPr>
            <w:r>
              <w:rPr>
                <w:sz w:val="21"/>
              </w:rPr>
              <w:t>盲道</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7"/>
              <w:ind w:left="753"/>
              <w:rPr>
                <w:sz w:val="21"/>
              </w:rPr>
            </w:pPr>
            <w:r>
              <w:rPr>
                <w:sz w:val="21"/>
              </w:rPr>
              <w:t>无障碍通道</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6"/>
              <w:ind w:left="836" w:right="836"/>
              <w:jc w:val="center"/>
              <w:rPr>
                <w:sz w:val="21"/>
              </w:rPr>
            </w:pPr>
            <w:r>
              <w:rPr>
                <w:sz w:val="21"/>
              </w:rPr>
              <w:t>轮椅坡道</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8"/>
              <w:ind w:left="647"/>
              <w:rPr>
                <w:sz w:val="21"/>
              </w:rPr>
            </w:pPr>
            <w:r>
              <w:rPr>
                <w:sz w:val="21"/>
              </w:rPr>
              <w:t>无障碍出入口</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7"/>
              <w:ind w:left="2"/>
              <w:jc w:val="center"/>
              <w:rPr>
                <w:sz w:val="21"/>
              </w:rPr>
            </w:pPr>
            <w:r>
              <w:rPr>
                <w:w w:val="99"/>
                <w:sz w:val="21"/>
              </w:rPr>
              <w:t>门</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6"/>
              <w:ind w:left="753"/>
              <w:rPr>
                <w:sz w:val="21"/>
              </w:rPr>
            </w:pPr>
            <w:r>
              <w:rPr>
                <w:sz w:val="21"/>
              </w:rPr>
              <w:t>无障碍电梯</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8"/>
              <w:ind w:left="753"/>
              <w:rPr>
                <w:sz w:val="21"/>
              </w:rPr>
            </w:pPr>
            <w:r>
              <w:rPr>
                <w:sz w:val="21"/>
              </w:rPr>
              <w:t>无障碍楼梯</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7"/>
              <w:ind w:left="836" w:right="836"/>
              <w:jc w:val="center"/>
              <w:rPr>
                <w:sz w:val="21"/>
              </w:rPr>
            </w:pPr>
            <w:r>
              <w:rPr>
                <w:sz w:val="21"/>
              </w:rPr>
              <w:t>台阶</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6"/>
              <w:ind w:left="836" w:right="836"/>
              <w:jc w:val="center"/>
              <w:rPr>
                <w:sz w:val="21"/>
              </w:rPr>
            </w:pPr>
            <w:r>
              <w:rPr>
                <w:sz w:val="21"/>
              </w:rPr>
              <w:t>自动扶梯</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8"/>
              <w:ind w:left="753"/>
              <w:rPr>
                <w:sz w:val="21"/>
              </w:rPr>
            </w:pPr>
            <w:r>
              <w:rPr>
                <w:sz w:val="21"/>
              </w:rPr>
              <w:t>自动人行道</w:t>
            </w:r>
          </w:p>
        </w:tc>
        <w:tc>
          <w:tcPr>
            <w:tcW w:w="495" w:type="dxa"/>
            <w:tcBorders>
              <w:top w:val="single" w:color="000000" w:sz="4" w:space="0"/>
              <w:left w:val="single" w:color="000000" w:sz="4" w:space="0"/>
              <w:bottom w:val="single" w:color="000000" w:sz="4" w:space="0"/>
              <w:right w:val="single" w:color="000000" w:sz="4" w:space="0"/>
            </w:tcBorders>
            <w:textDirection w:val="tbRl"/>
          </w:tcPr>
          <w:p>
            <w:pPr>
              <w:pStyle w:val="13"/>
              <w:spacing w:before="16"/>
              <w:ind w:left="836" w:right="836"/>
              <w:jc w:val="center"/>
              <w:rPr>
                <w:sz w:val="21"/>
              </w:rPr>
            </w:pPr>
            <w:r>
              <w:rPr>
                <w:sz w:val="21"/>
              </w:rPr>
              <w:t>扶手</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7"/>
              <w:ind w:left="836" w:right="836"/>
              <w:jc w:val="center"/>
              <w:rPr>
                <w:sz w:val="21"/>
              </w:rPr>
            </w:pPr>
            <w:r>
              <w:rPr>
                <w:sz w:val="21"/>
              </w:rPr>
              <w:t>母婴室</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7"/>
              <w:ind w:left="647"/>
              <w:rPr>
                <w:sz w:val="21"/>
              </w:rPr>
            </w:pPr>
            <w:r>
              <w:rPr>
                <w:sz w:val="21"/>
              </w:rPr>
              <w:t>无障碍卫生间</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6"/>
              <w:ind w:left="753"/>
              <w:rPr>
                <w:sz w:val="21"/>
              </w:rPr>
            </w:pPr>
            <w:r>
              <w:rPr>
                <w:sz w:val="21"/>
              </w:rPr>
              <w:t>第三卫生间</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7"/>
              <w:ind w:left="753"/>
              <w:rPr>
                <w:sz w:val="21"/>
              </w:rPr>
            </w:pPr>
            <w:r>
              <w:rPr>
                <w:sz w:val="21"/>
              </w:rPr>
              <w:t>公共卫生间</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7"/>
              <w:ind w:left="436"/>
              <w:rPr>
                <w:sz w:val="21"/>
              </w:rPr>
            </w:pPr>
            <w:r>
              <w:rPr>
                <w:sz w:val="21"/>
              </w:rPr>
              <w:t>公共浴室及更衣室</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6"/>
              <w:ind w:left="753"/>
              <w:rPr>
                <w:sz w:val="21"/>
              </w:rPr>
            </w:pPr>
            <w:r>
              <w:rPr>
                <w:sz w:val="21"/>
              </w:rPr>
              <w:t>无障碍客房</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7"/>
              <w:ind w:left="436"/>
              <w:rPr>
                <w:sz w:val="21"/>
              </w:rPr>
            </w:pPr>
            <w:r>
              <w:rPr>
                <w:sz w:val="21"/>
              </w:rPr>
              <w:t>无障碍住房、宿舍</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7"/>
              <w:ind w:left="836" w:right="836"/>
              <w:jc w:val="center"/>
              <w:rPr>
                <w:sz w:val="21"/>
              </w:rPr>
            </w:pPr>
            <w:r>
              <w:rPr>
                <w:sz w:val="21"/>
              </w:rPr>
              <w:t>轮椅席位</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6"/>
              <w:ind w:left="647"/>
              <w:rPr>
                <w:sz w:val="21"/>
              </w:rPr>
            </w:pPr>
            <w:r>
              <w:rPr>
                <w:sz w:val="21"/>
              </w:rPr>
              <w:t>低位服务设施</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7"/>
              <w:ind w:left="836" w:right="836"/>
              <w:jc w:val="center"/>
              <w:rPr>
                <w:sz w:val="21"/>
              </w:rPr>
            </w:pPr>
            <w:r>
              <w:rPr>
                <w:sz w:val="21"/>
              </w:rPr>
              <w:t>标识设施</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7"/>
              <w:ind w:left="836" w:right="836"/>
              <w:jc w:val="center"/>
              <w:rPr>
                <w:sz w:val="21"/>
              </w:rPr>
            </w:pPr>
            <w:r>
              <w:rPr>
                <w:sz w:val="21"/>
              </w:rPr>
              <w:t>盲文设施</w:t>
            </w:r>
          </w:p>
        </w:tc>
        <w:tc>
          <w:tcPr>
            <w:tcW w:w="496" w:type="dxa"/>
            <w:tcBorders>
              <w:top w:val="single" w:color="000000" w:sz="4" w:space="0"/>
              <w:left w:val="single" w:color="000000" w:sz="4" w:space="0"/>
              <w:bottom w:val="single" w:color="000000" w:sz="4" w:space="0"/>
              <w:right w:val="single" w:color="000000" w:sz="4" w:space="0"/>
            </w:tcBorders>
            <w:textDirection w:val="tbRl"/>
          </w:tcPr>
          <w:p>
            <w:pPr>
              <w:pStyle w:val="13"/>
              <w:spacing w:before="16"/>
              <w:ind w:left="836" w:right="836"/>
              <w:jc w:val="center"/>
              <w:rPr>
                <w:sz w:val="21"/>
              </w:rPr>
            </w:pPr>
            <w:r>
              <w:rPr>
                <w:sz w:val="21"/>
              </w:rPr>
              <w:t>交互设备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5" w:hRule="atLeast"/>
        </w:trPr>
        <w:tc>
          <w:tcPr>
            <w:tcW w:w="572" w:type="dxa"/>
            <w:vMerge w:val="restart"/>
            <w:tcBorders>
              <w:top w:val="single" w:color="000000" w:sz="4" w:space="0"/>
              <w:bottom w:val="single" w:color="000000" w:sz="4" w:space="0"/>
            </w:tcBorders>
            <w:textDirection w:val="tbRl"/>
          </w:tcPr>
          <w:p>
            <w:pPr>
              <w:pStyle w:val="13"/>
              <w:spacing w:before="51"/>
              <w:ind w:left="1619" w:right="1619"/>
              <w:jc w:val="center"/>
              <w:rPr>
                <w:sz w:val="21"/>
              </w:rPr>
            </w:pPr>
            <w:r>
              <w:rPr>
                <w:sz w:val="21"/>
              </w:rPr>
              <w:t>城市道路</w:t>
            </w:r>
          </w:p>
        </w:tc>
        <w:tc>
          <w:tcPr>
            <w:tcW w:w="1106" w:type="dxa"/>
            <w:tcBorders>
              <w:top w:val="single" w:color="000000" w:sz="4" w:space="0"/>
              <w:bottom w:val="single" w:color="000000" w:sz="4" w:space="0"/>
              <w:right w:val="single" w:color="000000" w:sz="4" w:space="0"/>
            </w:tcBorders>
          </w:tcPr>
          <w:p>
            <w:pPr>
              <w:pStyle w:val="13"/>
              <w:spacing w:before="3"/>
              <w:rPr>
                <w:rFonts w:ascii="黑体"/>
                <w:sz w:val="21"/>
              </w:rPr>
            </w:pPr>
          </w:p>
          <w:p>
            <w:pPr>
              <w:pStyle w:val="13"/>
              <w:ind w:left="110" w:right="95"/>
              <w:jc w:val="center"/>
              <w:rPr>
                <w:sz w:val="21"/>
              </w:rPr>
            </w:pPr>
            <w:r>
              <w:rPr>
                <w:sz w:val="21"/>
              </w:rPr>
              <w:t>人行道</w:t>
            </w:r>
          </w:p>
        </w:tc>
        <w:tc>
          <w:tcPr>
            <w:tcW w:w="495"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right="128"/>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7"/>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48"/>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7"/>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right="126"/>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47"/>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right="127"/>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46"/>
              <w:rPr>
                <w:sz w:val="21"/>
              </w:rPr>
            </w:pPr>
            <w:r>
              <w:rPr>
                <w:w w:val="99"/>
                <w:sz w:val="21"/>
              </w:rPr>
              <w:t>—</w:t>
            </w:r>
          </w:p>
        </w:tc>
        <w:tc>
          <w:tcPr>
            <w:tcW w:w="495"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right="127"/>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46"/>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right="128"/>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48"/>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46"/>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right="126"/>
              <w:jc w:val="right"/>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572" w:type="dxa"/>
            <w:vMerge w:val="continue"/>
            <w:tcBorders>
              <w:top w:val="nil"/>
              <w:bottom w:val="single" w:color="000000" w:sz="4" w:space="0"/>
            </w:tcBorders>
            <w:textDirection w:val="tbRl"/>
          </w:tcPr>
          <w:p>
            <w:pPr>
              <w:rPr>
                <w:sz w:val="2"/>
                <w:szCs w:val="2"/>
              </w:rPr>
            </w:pPr>
          </w:p>
        </w:tc>
        <w:tc>
          <w:tcPr>
            <w:tcW w:w="1106" w:type="dxa"/>
            <w:tcBorders>
              <w:top w:val="single" w:color="000000" w:sz="4" w:space="0"/>
              <w:bottom w:val="single" w:color="000000" w:sz="4" w:space="0"/>
              <w:right w:val="single" w:color="000000" w:sz="4" w:space="0"/>
            </w:tcBorders>
          </w:tcPr>
          <w:p>
            <w:pPr>
              <w:pStyle w:val="13"/>
              <w:spacing w:before="5"/>
              <w:rPr>
                <w:rFonts w:ascii="黑体"/>
                <w:sz w:val="21"/>
              </w:rPr>
            </w:pPr>
          </w:p>
          <w:p>
            <w:pPr>
              <w:pStyle w:val="13"/>
              <w:ind w:left="110" w:right="98"/>
              <w:jc w:val="center"/>
              <w:rPr>
                <w:sz w:val="21"/>
              </w:rPr>
            </w:pPr>
            <w:r>
              <w:rPr>
                <w:sz w:val="21"/>
              </w:rPr>
              <w:t>人行横道</w:t>
            </w:r>
          </w:p>
        </w:tc>
        <w:tc>
          <w:tcPr>
            <w:tcW w:w="495"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right="128"/>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7"/>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48"/>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7"/>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right="126"/>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47"/>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right="127"/>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46"/>
              <w:rPr>
                <w:sz w:val="21"/>
              </w:rPr>
            </w:pPr>
            <w:r>
              <w:rPr>
                <w:w w:val="99"/>
                <w:sz w:val="21"/>
              </w:rPr>
              <w:t>—</w:t>
            </w:r>
          </w:p>
        </w:tc>
        <w:tc>
          <w:tcPr>
            <w:tcW w:w="495"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right="127"/>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46"/>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right="128"/>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48"/>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46"/>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right="126"/>
              <w:jc w:val="right"/>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572" w:type="dxa"/>
            <w:vMerge w:val="continue"/>
            <w:tcBorders>
              <w:top w:val="nil"/>
              <w:bottom w:val="single" w:color="000000" w:sz="4" w:space="0"/>
            </w:tcBorders>
            <w:textDirection w:val="tbRl"/>
          </w:tcPr>
          <w:p>
            <w:pPr>
              <w:rPr>
                <w:sz w:val="2"/>
                <w:szCs w:val="2"/>
              </w:rPr>
            </w:pPr>
          </w:p>
        </w:tc>
        <w:tc>
          <w:tcPr>
            <w:tcW w:w="1106" w:type="dxa"/>
            <w:tcBorders>
              <w:top w:val="single" w:color="000000" w:sz="4" w:space="0"/>
              <w:bottom w:val="single" w:color="000000" w:sz="4" w:space="0"/>
              <w:right w:val="single" w:color="000000" w:sz="4" w:space="0"/>
            </w:tcBorders>
          </w:tcPr>
          <w:p>
            <w:pPr>
              <w:pStyle w:val="13"/>
              <w:spacing w:before="117" w:line="278" w:lineRule="auto"/>
              <w:ind w:left="238" w:right="118" w:hanging="106"/>
              <w:rPr>
                <w:sz w:val="21"/>
              </w:rPr>
            </w:pPr>
            <w:r>
              <w:rPr>
                <w:sz w:val="21"/>
              </w:rPr>
              <w:t>人行天桥及地道</w:t>
            </w:r>
          </w:p>
        </w:tc>
        <w:tc>
          <w:tcPr>
            <w:tcW w:w="495"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right="128"/>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7"/>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48"/>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7"/>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right="126"/>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47"/>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right="127"/>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46"/>
              <w:rPr>
                <w:sz w:val="21"/>
              </w:rPr>
            </w:pPr>
            <w:r>
              <w:rPr>
                <w:w w:val="99"/>
                <w:sz w:val="21"/>
              </w:rPr>
              <w:t>—</w:t>
            </w:r>
          </w:p>
        </w:tc>
        <w:tc>
          <w:tcPr>
            <w:tcW w:w="495"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right="127"/>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46"/>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right="128"/>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48"/>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46"/>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2"/>
              <w:rPr>
                <w:rFonts w:ascii="黑体"/>
                <w:sz w:val="20"/>
              </w:rPr>
            </w:pPr>
          </w:p>
          <w:p>
            <w:pPr>
              <w:pStyle w:val="13"/>
              <w:ind w:right="126"/>
              <w:jc w:val="right"/>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572" w:type="dxa"/>
            <w:vMerge w:val="continue"/>
            <w:tcBorders>
              <w:top w:val="nil"/>
              <w:bottom w:val="single" w:color="000000" w:sz="4" w:space="0"/>
            </w:tcBorders>
            <w:textDirection w:val="tbRl"/>
          </w:tcPr>
          <w:p>
            <w:pPr>
              <w:rPr>
                <w:sz w:val="2"/>
                <w:szCs w:val="2"/>
              </w:rPr>
            </w:pPr>
          </w:p>
        </w:tc>
        <w:tc>
          <w:tcPr>
            <w:tcW w:w="1106" w:type="dxa"/>
            <w:tcBorders>
              <w:top w:val="single" w:color="000000" w:sz="4" w:space="0"/>
              <w:bottom w:val="single" w:color="000000" w:sz="4" w:space="0"/>
              <w:right w:val="single" w:color="000000" w:sz="4" w:space="0"/>
            </w:tcBorders>
          </w:tcPr>
          <w:p>
            <w:pPr>
              <w:pStyle w:val="13"/>
              <w:spacing w:before="4"/>
              <w:rPr>
                <w:rFonts w:ascii="黑体"/>
                <w:sz w:val="21"/>
              </w:rPr>
            </w:pPr>
          </w:p>
          <w:p>
            <w:pPr>
              <w:pStyle w:val="13"/>
              <w:ind w:left="110" w:right="98"/>
              <w:jc w:val="center"/>
              <w:rPr>
                <w:sz w:val="21"/>
              </w:rPr>
            </w:pPr>
            <w:r>
              <w:rPr>
                <w:sz w:val="21"/>
              </w:rPr>
              <w:t>公交车站</w:t>
            </w:r>
          </w:p>
        </w:tc>
        <w:tc>
          <w:tcPr>
            <w:tcW w:w="495"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right="128"/>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7"/>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48"/>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7"/>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right="126"/>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47"/>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right="127"/>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46"/>
              <w:rPr>
                <w:sz w:val="21"/>
              </w:rPr>
            </w:pPr>
            <w:r>
              <w:rPr>
                <w:w w:val="99"/>
                <w:sz w:val="21"/>
              </w:rPr>
              <w:t>—</w:t>
            </w:r>
          </w:p>
        </w:tc>
        <w:tc>
          <w:tcPr>
            <w:tcW w:w="495"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right="127"/>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46"/>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right="128"/>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48"/>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46"/>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spacing w:before="1"/>
              <w:ind w:right="126"/>
              <w:jc w:val="right"/>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5" w:hRule="atLeast"/>
        </w:trPr>
        <w:tc>
          <w:tcPr>
            <w:tcW w:w="572" w:type="dxa"/>
            <w:vMerge w:val="continue"/>
            <w:tcBorders>
              <w:top w:val="nil"/>
              <w:bottom w:val="single" w:color="000000" w:sz="4" w:space="0"/>
            </w:tcBorders>
            <w:textDirection w:val="tbRl"/>
          </w:tcPr>
          <w:p>
            <w:pPr>
              <w:rPr>
                <w:sz w:val="2"/>
                <w:szCs w:val="2"/>
              </w:rPr>
            </w:pPr>
          </w:p>
        </w:tc>
        <w:tc>
          <w:tcPr>
            <w:tcW w:w="1106" w:type="dxa"/>
            <w:tcBorders>
              <w:top w:val="single" w:color="000000" w:sz="4" w:space="0"/>
              <w:bottom w:val="single" w:color="000000" w:sz="4" w:space="0"/>
              <w:right w:val="single" w:color="000000" w:sz="4" w:space="0"/>
            </w:tcBorders>
          </w:tcPr>
          <w:p>
            <w:pPr>
              <w:pStyle w:val="13"/>
              <w:spacing w:before="117" w:line="278" w:lineRule="auto"/>
              <w:ind w:left="341" w:right="118" w:hanging="209"/>
              <w:rPr>
                <w:sz w:val="21"/>
              </w:rPr>
            </w:pPr>
            <w:r>
              <w:rPr>
                <w:sz w:val="21"/>
              </w:rPr>
              <w:t>自行车停放区</w:t>
            </w:r>
          </w:p>
        </w:tc>
        <w:tc>
          <w:tcPr>
            <w:tcW w:w="495"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right="128"/>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7"/>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48"/>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7"/>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right="126"/>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47"/>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right="127"/>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46"/>
              <w:rPr>
                <w:sz w:val="21"/>
              </w:rPr>
            </w:pPr>
            <w:r>
              <w:rPr>
                <w:w w:val="99"/>
                <w:sz w:val="21"/>
              </w:rPr>
              <w:t>—</w:t>
            </w:r>
          </w:p>
        </w:tc>
        <w:tc>
          <w:tcPr>
            <w:tcW w:w="495"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6"/>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right="127"/>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46"/>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9"/>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right="128"/>
              <w:jc w:val="right"/>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48"/>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46"/>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left="18"/>
              <w:jc w:val="center"/>
              <w:rPr>
                <w:sz w:val="21"/>
              </w:rPr>
            </w:pPr>
            <w:r>
              <w:rPr>
                <w:w w:val="99"/>
                <w:sz w:val="21"/>
              </w:rPr>
              <w:t>—</w:t>
            </w:r>
          </w:p>
        </w:tc>
        <w:tc>
          <w:tcPr>
            <w:tcW w:w="496" w:type="dxa"/>
            <w:tcBorders>
              <w:top w:val="single" w:color="000000" w:sz="4" w:space="0"/>
              <w:left w:val="single" w:color="000000" w:sz="4" w:space="0"/>
              <w:bottom w:val="single" w:color="000000" w:sz="4" w:space="0"/>
              <w:right w:val="single" w:color="000000" w:sz="4" w:space="0"/>
            </w:tcBorders>
          </w:tcPr>
          <w:p>
            <w:pPr>
              <w:pStyle w:val="13"/>
              <w:spacing w:before="1"/>
              <w:rPr>
                <w:rFonts w:ascii="黑体"/>
                <w:sz w:val="21"/>
              </w:rPr>
            </w:pPr>
          </w:p>
          <w:p>
            <w:pPr>
              <w:pStyle w:val="13"/>
              <w:ind w:right="126"/>
              <w:jc w:val="right"/>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9" w:hRule="atLeast"/>
        </w:trPr>
        <w:tc>
          <w:tcPr>
            <w:tcW w:w="14572" w:type="dxa"/>
            <w:gridSpan w:val="28"/>
            <w:tcBorders>
              <w:top w:val="single" w:color="000000" w:sz="4" w:space="0"/>
              <w:bottom w:val="single" w:color="000000" w:sz="4" w:space="0"/>
              <w:right w:val="single" w:color="000000" w:sz="4" w:space="0"/>
            </w:tcBorders>
          </w:tcPr>
          <w:p>
            <w:pPr>
              <w:pStyle w:val="13"/>
              <w:spacing w:before="140"/>
              <w:ind w:left="107"/>
              <w:rPr>
                <w:sz w:val="21"/>
              </w:rPr>
            </w:pPr>
            <w:r>
              <w:rPr>
                <w:sz w:val="21"/>
              </w:rPr>
              <w:t>备注：“○”表示一般情况下此工程建设范围均应配备的无障碍设施，“—”表示在情况需要时此工程建设范围可选择配备的无障碍设施</w:t>
            </w:r>
          </w:p>
        </w:tc>
      </w:tr>
    </w:tbl>
    <w:p>
      <w:pPr>
        <w:spacing w:after="0"/>
        <w:rPr>
          <w:sz w:val="21"/>
        </w:rPr>
        <w:sectPr>
          <w:footerReference r:id="rId14" w:type="default"/>
          <w:pgSz w:w="16840" w:h="11910" w:orient="landscape"/>
          <w:pgMar w:top="1100" w:right="1020" w:bottom="280" w:left="1020" w:header="0" w:footer="0" w:gutter="0"/>
          <w:cols w:space="720" w:num="1"/>
        </w:sectPr>
      </w:pPr>
    </w:p>
    <w:p>
      <w:pPr>
        <w:pStyle w:val="12"/>
        <w:numPr>
          <w:ilvl w:val="4"/>
          <w:numId w:val="172"/>
        </w:numPr>
        <w:tabs>
          <w:tab w:val="left" w:pos="4829"/>
        </w:tabs>
        <w:spacing w:before="60" w:after="0" w:line="240" w:lineRule="auto"/>
        <w:ind w:left="4828" w:right="0" w:hanging="421"/>
        <w:jc w:val="left"/>
        <w:rPr>
          <w:rFonts w:hint="eastAsia" w:ascii="黑体" w:eastAsia="黑体"/>
          <w:sz w:val="21"/>
        </w:rPr>
      </w:pPr>
      <w:bookmarkStart w:id="812" w:name="5.2人行道"/>
      <w:bookmarkEnd w:id="812"/>
      <w:bookmarkStart w:id="813" w:name="_bookmark38"/>
      <w:bookmarkEnd w:id="813"/>
      <w:bookmarkStart w:id="814" w:name="_bookmark38"/>
      <w:bookmarkEnd w:id="814"/>
      <w:r>
        <w:rPr>
          <w:rFonts w:hint="eastAsia" w:ascii="黑体" w:eastAsia="黑体"/>
          <w:sz w:val="21"/>
        </w:rPr>
        <w:t>人行道</w:t>
      </w:r>
    </w:p>
    <w:p>
      <w:pPr>
        <w:pStyle w:val="5"/>
        <w:spacing w:before="6"/>
        <w:rPr>
          <w:rFonts w:ascii="黑体"/>
          <w:sz w:val="15"/>
        </w:rPr>
      </w:pPr>
    </w:p>
    <w:p>
      <w:pPr>
        <w:pStyle w:val="12"/>
        <w:numPr>
          <w:ilvl w:val="2"/>
          <w:numId w:val="174"/>
        </w:numPr>
        <w:tabs>
          <w:tab w:val="left" w:pos="964"/>
          <w:tab w:val="left" w:pos="965"/>
        </w:tabs>
        <w:spacing w:before="1" w:after="0" w:line="240" w:lineRule="auto"/>
        <w:ind w:left="964" w:right="0" w:hanging="853"/>
        <w:jc w:val="left"/>
        <w:rPr>
          <w:sz w:val="21"/>
        </w:rPr>
      </w:pPr>
      <w:bookmarkStart w:id="815" w:name="5.2.1本条规定了人行道处缘石坡道的设计要求。"/>
      <w:bookmarkEnd w:id="815"/>
      <w:bookmarkStart w:id="816" w:name="5.2.1本条规定了人行道处缘石坡道的设计要求。"/>
      <w:bookmarkEnd w:id="816"/>
      <w:r>
        <w:rPr>
          <w:sz w:val="21"/>
        </w:rPr>
        <w:t>本条规定了人行道处缘石坡道的设计要求。</w:t>
      </w:r>
    </w:p>
    <w:p>
      <w:pPr>
        <w:pStyle w:val="5"/>
        <w:spacing w:before="6"/>
        <w:rPr>
          <w:sz w:val="15"/>
        </w:rPr>
      </w:pPr>
    </w:p>
    <w:p>
      <w:pPr>
        <w:pStyle w:val="12"/>
        <w:numPr>
          <w:ilvl w:val="3"/>
          <w:numId w:val="174"/>
        </w:numPr>
        <w:tabs>
          <w:tab w:val="left" w:pos="959"/>
          <w:tab w:val="left" w:pos="960"/>
        </w:tabs>
        <w:spacing w:before="0" w:after="0" w:line="417" w:lineRule="auto"/>
        <w:ind w:left="112" w:right="108" w:firstLine="424"/>
        <w:jc w:val="left"/>
        <w:rPr>
          <w:sz w:val="21"/>
        </w:rPr>
      </w:pPr>
      <w:r>
        <w:rPr>
          <w:sz w:val="21"/>
        </w:rPr>
        <w:t>参照《深圳市道路设计标准》</w:t>
      </w:r>
      <w:r>
        <w:rPr>
          <w:rFonts w:hint="eastAsia" w:ascii="仿宋" w:hAnsi="仿宋" w:eastAsia="仿宋"/>
          <w:sz w:val="21"/>
        </w:rPr>
        <w:t xml:space="preserve">SJG </w:t>
      </w:r>
      <w:r>
        <w:rPr>
          <w:sz w:val="21"/>
        </w:rPr>
        <w:t>69-2020</w:t>
      </w:r>
      <w:r>
        <w:rPr>
          <w:spacing w:val="-35"/>
          <w:sz w:val="21"/>
        </w:rPr>
        <w:t xml:space="preserve"> 第 </w:t>
      </w:r>
      <w:r>
        <w:rPr>
          <w:sz w:val="21"/>
        </w:rPr>
        <w:t>5.6.3</w:t>
      </w:r>
      <w:r>
        <w:rPr>
          <w:spacing w:val="-27"/>
          <w:sz w:val="21"/>
        </w:rPr>
        <w:t xml:space="preserve"> 条第 </w:t>
      </w:r>
      <w:r>
        <w:rPr>
          <w:sz w:val="21"/>
        </w:rPr>
        <w:t>1</w:t>
      </w:r>
      <w:r>
        <w:rPr>
          <w:spacing w:val="-7"/>
          <w:sz w:val="21"/>
        </w:rPr>
        <w:t xml:space="preserve"> 款“人行道在道路交叉口、出入口处</w:t>
      </w:r>
      <w:r>
        <w:rPr>
          <w:spacing w:val="-13"/>
          <w:w w:val="95"/>
          <w:sz w:val="21"/>
        </w:rPr>
        <w:t xml:space="preserve">与人行横道存在高差时，必须设置缘石坡道。”本款规定在人行道在道路交叉口、出入口等行人通行位置，   </w:t>
      </w:r>
      <w:r>
        <w:rPr>
          <w:spacing w:val="-13"/>
          <w:sz w:val="21"/>
        </w:rPr>
        <w:t>通行线路存在立缘石高差的地方，均应设缘石坡道。</w:t>
      </w:r>
    </w:p>
    <w:p>
      <w:pPr>
        <w:pStyle w:val="12"/>
        <w:numPr>
          <w:ilvl w:val="3"/>
          <w:numId w:val="174"/>
        </w:numPr>
        <w:tabs>
          <w:tab w:val="left" w:pos="960"/>
        </w:tabs>
        <w:spacing w:before="0" w:after="0" w:line="417" w:lineRule="auto"/>
        <w:ind w:left="112" w:right="192" w:firstLine="424"/>
        <w:jc w:val="both"/>
        <w:rPr>
          <w:sz w:val="21"/>
        </w:rPr>
      </w:pPr>
      <w:r>
        <w:rPr>
          <w:sz w:val="21"/>
        </w:rPr>
        <w:t>参照《深圳市道路设计标准》</w:t>
      </w:r>
      <w:r>
        <w:rPr>
          <w:rFonts w:hint="eastAsia" w:ascii="仿宋" w:hAnsi="仿宋" w:eastAsia="仿宋"/>
          <w:sz w:val="21"/>
        </w:rPr>
        <w:t>SJG</w:t>
      </w:r>
      <w:r>
        <w:rPr>
          <w:rFonts w:hint="eastAsia" w:ascii="仿宋" w:hAnsi="仿宋" w:eastAsia="仿宋"/>
          <w:spacing w:val="-1"/>
          <w:sz w:val="21"/>
        </w:rPr>
        <w:t xml:space="preserve"> </w:t>
      </w:r>
      <w:r>
        <w:rPr>
          <w:sz w:val="21"/>
        </w:rPr>
        <w:t>69-2020</w:t>
      </w:r>
      <w:r>
        <w:rPr>
          <w:spacing w:val="-35"/>
          <w:sz w:val="21"/>
        </w:rPr>
        <w:t xml:space="preserve"> 第 </w:t>
      </w:r>
      <w:r>
        <w:rPr>
          <w:sz w:val="21"/>
        </w:rPr>
        <w:t>5.6.3</w:t>
      </w:r>
      <w:r>
        <w:rPr>
          <w:spacing w:val="-27"/>
          <w:sz w:val="21"/>
        </w:rPr>
        <w:t xml:space="preserve"> 条第 </w:t>
      </w:r>
      <w:r>
        <w:rPr>
          <w:sz w:val="21"/>
        </w:rPr>
        <w:t>2</w:t>
      </w:r>
      <w:r>
        <w:rPr>
          <w:spacing w:val="-7"/>
          <w:sz w:val="21"/>
        </w:rPr>
        <w:t xml:space="preserve"> 款“……缘石坡道坡口应与机动车道</w:t>
      </w:r>
      <w:r>
        <w:rPr>
          <w:spacing w:val="-7"/>
          <w:w w:val="95"/>
          <w:sz w:val="21"/>
        </w:rPr>
        <w:t xml:space="preserve">路面齐平，并与人行横道（含自行车横道）等宽。”本款规定缘石坡道坡口与人行横道和自行车道等宽，   </w:t>
      </w:r>
      <w:r>
        <w:rPr>
          <w:spacing w:val="-7"/>
          <w:sz w:val="21"/>
        </w:rPr>
        <w:t>方便行人通过。</w:t>
      </w:r>
    </w:p>
    <w:p>
      <w:pPr>
        <w:pStyle w:val="12"/>
        <w:numPr>
          <w:ilvl w:val="3"/>
          <w:numId w:val="174"/>
        </w:numPr>
        <w:tabs>
          <w:tab w:val="left" w:pos="960"/>
        </w:tabs>
        <w:spacing w:before="0" w:after="0" w:line="417" w:lineRule="auto"/>
        <w:ind w:left="112" w:right="210" w:firstLine="424"/>
        <w:jc w:val="both"/>
        <w:rPr>
          <w:sz w:val="21"/>
        </w:rPr>
      </w:pPr>
      <w:r>
        <w:rPr>
          <w:sz w:val="21"/>
        </w:rPr>
        <w:t>参照《深圳市道路设计标准》</w:t>
      </w:r>
      <w:r>
        <w:rPr>
          <w:rFonts w:hint="eastAsia" w:ascii="仿宋" w:hAnsi="仿宋" w:eastAsia="仿宋"/>
          <w:sz w:val="21"/>
        </w:rPr>
        <w:t>SJG</w:t>
      </w:r>
      <w:r>
        <w:rPr>
          <w:rFonts w:hint="eastAsia" w:ascii="仿宋" w:hAnsi="仿宋" w:eastAsia="仿宋"/>
          <w:spacing w:val="1"/>
          <w:sz w:val="21"/>
        </w:rPr>
        <w:t xml:space="preserve"> </w:t>
      </w:r>
      <w:r>
        <w:rPr>
          <w:sz w:val="21"/>
        </w:rPr>
        <w:t>69-2020</w:t>
      </w:r>
      <w:r>
        <w:rPr>
          <w:spacing w:val="-35"/>
          <w:sz w:val="21"/>
        </w:rPr>
        <w:t xml:space="preserve"> 第 </w:t>
      </w:r>
      <w:r>
        <w:rPr>
          <w:sz w:val="21"/>
        </w:rPr>
        <w:t>5.6.3</w:t>
      </w:r>
      <w:r>
        <w:rPr>
          <w:spacing w:val="-26"/>
          <w:sz w:val="21"/>
        </w:rPr>
        <w:t xml:space="preserve"> 条第 </w:t>
      </w:r>
      <w:r>
        <w:rPr>
          <w:sz w:val="21"/>
        </w:rPr>
        <w:t>5</w:t>
      </w:r>
      <w:r>
        <w:rPr>
          <w:spacing w:val="-7"/>
          <w:sz w:val="21"/>
        </w:rPr>
        <w:t xml:space="preserve"> 款“交叉口规模不大时，相邻人行横道之间的慢行区域宜做成整体式缘石坡道。”本款做出相应规定。</w:t>
      </w:r>
    </w:p>
    <w:p>
      <w:pPr>
        <w:pStyle w:val="12"/>
        <w:numPr>
          <w:ilvl w:val="2"/>
          <w:numId w:val="174"/>
        </w:numPr>
        <w:tabs>
          <w:tab w:val="left" w:pos="965"/>
        </w:tabs>
        <w:spacing w:before="0" w:after="0" w:line="269" w:lineRule="exact"/>
        <w:ind w:left="964" w:right="0" w:hanging="853"/>
        <w:jc w:val="both"/>
        <w:rPr>
          <w:sz w:val="21"/>
        </w:rPr>
      </w:pPr>
      <w:bookmarkStart w:id="817" w:name="5.2.2本条规定了人行道处盲道的设计要求。"/>
      <w:bookmarkEnd w:id="817"/>
      <w:bookmarkStart w:id="818" w:name="5.2.2本条规定了人行道处盲道的设计要求。"/>
      <w:bookmarkEnd w:id="818"/>
      <w:r>
        <w:rPr>
          <w:sz w:val="21"/>
        </w:rPr>
        <w:t>本条规定了人行道处盲道的设计要求。</w:t>
      </w:r>
    </w:p>
    <w:p>
      <w:pPr>
        <w:pStyle w:val="5"/>
        <w:spacing w:before="6"/>
        <w:rPr>
          <w:sz w:val="15"/>
        </w:rPr>
      </w:pPr>
    </w:p>
    <w:p>
      <w:pPr>
        <w:pStyle w:val="12"/>
        <w:numPr>
          <w:ilvl w:val="0"/>
          <w:numId w:val="175"/>
        </w:numPr>
        <w:tabs>
          <w:tab w:val="left" w:pos="960"/>
        </w:tabs>
        <w:spacing w:before="0" w:after="0" w:line="417" w:lineRule="auto"/>
        <w:ind w:left="112" w:right="212" w:firstLine="427"/>
        <w:jc w:val="both"/>
        <w:rPr>
          <w:sz w:val="21"/>
        </w:rPr>
      </w:pPr>
      <w:r>
        <w:rPr>
          <w:spacing w:val="-2"/>
          <w:sz w:val="21"/>
        </w:rPr>
        <w:t xml:space="preserve">视觉障碍者集中区域是指视觉障碍者人数占该区域人数比例 </w:t>
      </w:r>
      <w:r>
        <w:rPr>
          <w:sz w:val="21"/>
        </w:rPr>
        <w:t>1.5％以上的区域，如盲人学校、盲人工厂、医院等。</w:t>
      </w:r>
    </w:p>
    <w:p>
      <w:pPr>
        <w:pStyle w:val="12"/>
        <w:numPr>
          <w:ilvl w:val="0"/>
          <w:numId w:val="175"/>
        </w:numPr>
        <w:tabs>
          <w:tab w:val="left" w:pos="960"/>
        </w:tabs>
        <w:spacing w:before="0" w:after="0" w:line="417" w:lineRule="auto"/>
        <w:ind w:left="112" w:right="215" w:firstLine="427"/>
        <w:jc w:val="both"/>
        <w:rPr>
          <w:sz w:val="21"/>
        </w:rPr>
      </w:pPr>
      <w:r>
        <w:rPr>
          <w:spacing w:val="-3"/>
          <w:w w:val="95"/>
          <w:sz w:val="21"/>
        </w:rPr>
        <w:t xml:space="preserve">人行道行进规律发生变化处，一般指坡道上下坡边缘处、周边场所与建筑出入口、通行受障碍物   </w:t>
      </w:r>
      <w:r>
        <w:rPr>
          <w:spacing w:val="-3"/>
          <w:sz w:val="21"/>
        </w:rPr>
        <w:t>影响处等。</w:t>
      </w:r>
    </w:p>
    <w:p>
      <w:pPr>
        <w:pStyle w:val="12"/>
        <w:numPr>
          <w:ilvl w:val="0"/>
          <w:numId w:val="175"/>
        </w:numPr>
        <w:tabs>
          <w:tab w:val="left" w:pos="960"/>
        </w:tabs>
        <w:spacing w:before="0" w:after="0" w:line="417" w:lineRule="auto"/>
        <w:ind w:left="112" w:right="212" w:firstLine="427"/>
        <w:jc w:val="both"/>
        <w:rPr>
          <w:sz w:val="21"/>
        </w:rPr>
      </w:pPr>
      <w:r>
        <w:rPr>
          <w:sz w:val="21"/>
        </w:rPr>
        <w:t>参照《深圳市道路设计标准》</w:t>
      </w:r>
      <w:r>
        <w:rPr>
          <w:rFonts w:hint="eastAsia" w:ascii="仿宋" w:hAnsi="仿宋" w:eastAsia="仿宋"/>
          <w:sz w:val="21"/>
        </w:rPr>
        <w:t xml:space="preserve">SJG </w:t>
      </w:r>
      <w:r>
        <w:rPr>
          <w:sz w:val="21"/>
        </w:rPr>
        <w:t>69-2020</w:t>
      </w:r>
      <w:r>
        <w:rPr>
          <w:spacing w:val="-35"/>
          <w:sz w:val="21"/>
        </w:rPr>
        <w:t xml:space="preserve"> 第 </w:t>
      </w:r>
      <w:r>
        <w:rPr>
          <w:sz w:val="21"/>
        </w:rPr>
        <w:t>5.6.3</w:t>
      </w:r>
      <w:r>
        <w:rPr>
          <w:spacing w:val="-26"/>
          <w:sz w:val="21"/>
        </w:rPr>
        <w:t xml:space="preserve"> 条第 </w:t>
      </w:r>
      <w:r>
        <w:rPr>
          <w:sz w:val="21"/>
        </w:rPr>
        <w:t>7</w:t>
      </w:r>
      <w:r>
        <w:rPr>
          <w:spacing w:val="-8"/>
          <w:sz w:val="21"/>
        </w:rPr>
        <w:t xml:space="preserve"> 款“缘石坡道及交通安全岛通行区域</w:t>
      </w:r>
      <w:r>
        <w:rPr>
          <w:spacing w:val="-9"/>
          <w:sz w:val="21"/>
        </w:rPr>
        <w:t xml:space="preserve">距离行车道 </w:t>
      </w:r>
      <w:r>
        <w:rPr>
          <w:sz w:val="21"/>
        </w:rPr>
        <w:t>250</w:t>
      </w:r>
      <w:r>
        <w:rPr>
          <w:rFonts w:hint="eastAsia" w:ascii="仿宋" w:hAnsi="仿宋" w:eastAsia="仿宋"/>
          <w:sz w:val="21"/>
        </w:rPr>
        <w:t>mm</w:t>
      </w:r>
      <w:r>
        <w:rPr>
          <w:sz w:val="21"/>
        </w:rPr>
        <w:t>～500</w:t>
      </w:r>
      <w:r>
        <w:rPr>
          <w:rFonts w:hint="eastAsia" w:ascii="仿宋" w:hAnsi="仿宋" w:eastAsia="仿宋"/>
          <w:sz w:val="21"/>
        </w:rPr>
        <w:t>mm</w:t>
      </w:r>
      <w:r>
        <w:rPr>
          <w:rFonts w:hint="eastAsia" w:ascii="仿宋" w:hAnsi="仿宋" w:eastAsia="仿宋"/>
          <w:spacing w:val="-48"/>
          <w:sz w:val="21"/>
        </w:rPr>
        <w:t xml:space="preserve"> </w:t>
      </w:r>
      <w:r>
        <w:rPr>
          <w:sz w:val="21"/>
        </w:rPr>
        <w:t>处应铺设提示盲道，宽度宜与人行横道宽度相同。”本款规定提示盲道与人行横道等宽，能更好保证盲道使用者的安全。</w:t>
      </w:r>
    </w:p>
    <w:p>
      <w:pPr>
        <w:pStyle w:val="12"/>
        <w:numPr>
          <w:ilvl w:val="0"/>
          <w:numId w:val="175"/>
        </w:numPr>
        <w:tabs>
          <w:tab w:val="left" w:pos="953"/>
        </w:tabs>
        <w:spacing w:before="0" w:after="0" w:line="417" w:lineRule="auto"/>
        <w:ind w:left="112" w:right="192" w:firstLine="420"/>
        <w:jc w:val="both"/>
        <w:rPr>
          <w:sz w:val="21"/>
        </w:rPr>
      </w:pPr>
      <w:r>
        <w:rPr>
          <w:w w:val="95"/>
          <w:sz w:val="21"/>
        </w:rPr>
        <w:t xml:space="preserve">深圳市城市道路中的人行道与非机动车道多布置在同一高程上，考虑到视觉障碍者的行走安全，   </w:t>
      </w:r>
      <w:r>
        <w:rPr>
          <w:sz w:val="21"/>
        </w:rPr>
        <w:t>设置盲道时注意与非机动车道的分隔。</w:t>
      </w:r>
    </w:p>
    <w:p>
      <w:pPr>
        <w:pStyle w:val="12"/>
        <w:numPr>
          <w:ilvl w:val="0"/>
          <w:numId w:val="175"/>
        </w:numPr>
        <w:tabs>
          <w:tab w:val="left" w:pos="960"/>
        </w:tabs>
        <w:spacing w:before="0" w:after="0" w:line="417" w:lineRule="auto"/>
        <w:ind w:left="112" w:right="192" w:firstLine="427"/>
        <w:jc w:val="both"/>
        <w:rPr>
          <w:sz w:val="21"/>
        </w:rPr>
      </w:pPr>
      <w:r>
        <w:rPr>
          <w:sz w:val="21"/>
        </w:rPr>
        <w:t>参照《深圳市道路设计标准》</w:t>
      </w:r>
      <w:r>
        <w:rPr>
          <w:rFonts w:hint="eastAsia" w:ascii="仿宋" w:hAnsi="仿宋" w:eastAsia="仿宋"/>
          <w:sz w:val="21"/>
        </w:rPr>
        <w:t xml:space="preserve">SJG </w:t>
      </w:r>
      <w:r>
        <w:rPr>
          <w:sz w:val="21"/>
        </w:rPr>
        <w:t>69-2020</w:t>
      </w:r>
      <w:r>
        <w:rPr>
          <w:spacing w:val="-35"/>
          <w:sz w:val="21"/>
        </w:rPr>
        <w:t xml:space="preserve"> 第 </w:t>
      </w:r>
      <w:r>
        <w:rPr>
          <w:sz w:val="21"/>
        </w:rPr>
        <w:t>5.6.3</w:t>
      </w:r>
      <w:r>
        <w:rPr>
          <w:spacing w:val="-26"/>
          <w:sz w:val="21"/>
        </w:rPr>
        <w:t xml:space="preserve"> 条第 </w:t>
      </w:r>
      <w:r>
        <w:rPr>
          <w:sz w:val="21"/>
        </w:rPr>
        <w:t>6</w:t>
      </w:r>
      <w:r>
        <w:rPr>
          <w:spacing w:val="-8"/>
          <w:sz w:val="21"/>
        </w:rPr>
        <w:t xml:space="preserve"> 款“盲道范围内的检查井盖，其表面</w:t>
      </w:r>
      <w:r>
        <w:rPr>
          <w:spacing w:val="-8"/>
          <w:w w:val="95"/>
          <w:sz w:val="21"/>
        </w:rPr>
        <w:t>应采用盲道铺砌，保持盲道连续、顺直。”结合实际中出现盲道多次绕行井盖导致行走路径弯曲的现象，   本款规定盲道在保持顺直的情况下应避开管井设施，实在无法避开时，采用表面铺设盲道的下凹型井盖。</w:t>
      </w:r>
    </w:p>
    <w:p>
      <w:pPr>
        <w:pStyle w:val="12"/>
        <w:numPr>
          <w:ilvl w:val="0"/>
          <w:numId w:val="175"/>
        </w:numPr>
        <w:tabs>
          <w:tab w:val="left" w:pos="857"/>
        </w:tabs>
        <w:spacing w:before="0" w:after="0" w:line="417" w:lineRule="auto"/>
        <w:ind w:left="112" w:right="210" w:firstLine="427"/>
        <w:jc w:val="both"/>
        <w:rPr>
          <w:sz w:val="21"/>
        </w:rPr>
      </w:pPr>
      <w:r>
        <w:rPr>
          <w:sz w:val="21"/>
        </w:rPr>
        <w:t>参照国内外铺设盲道的实际经验，在城市道路的人行道上设置盲道时，可配备智能盲杖等设备辅</w:t>
      </w:r>
      <w:r>
        <w:rPr>
          <w:spacing w:val="-3"/>
          <w:sz w:val="21"/>
        </w:rPr>
        <w:t xml:space="preserve">助安全行走。当人行道宽度小于 </w:t>
      </w:r>
      <w:r>
        <w:rPr>
          <w:sz w:val="21"/>
        </w:rPr>
        <w:t>3.0</w:t>
      </w:r>
      <w:r>
        <w:rPr>
          <w:rFonts w:hint="eastAsia" w:ascii="仿宋" w:eastAsia="仿宋"/>
          <w:sz w:val="21"/>
        </w:rPr>
        <w:t>m</w:t>
      </w:r>
      <w:r>
        <w:rPr>
          <w:rFonts w:hint="eastAsia" w:ascii="仿宋" w:eastAsia="仿宋"/>
          <w:spacing w:val="-48"/>
          <w:sz w:val="21"/>
        </w:rPr>
        <w:t xml:space="preserve"> </w:t>
      </w:r>
      <w:r>
        <w:rPr>
          <w:sz w:val="21"/>
        </w:rPr>
        <w:t>时仍设行进盲道，会对其他人群的通行产生不便，可采用智能导航系统替代盲道。</w:t>
      </w:r>
    </w:p>
    <w:p>
      <w:pPr>
        <w:pStyle w:val="12"/>
        <w:numPr>
          <w:ilvl w:val="2"/>
          <w:numId w:val="174"/>
        </w:numPr>
        <w:tabs>
          <w:tab w:val="left" w:pos="965"/>
        </w:tabs>
        <w:spacing w:before="0" w:after="0" w:line="269" w:lineRule="exact"/>
        <w:ind w:left="964" w:right="0" w:hanging="853"/>
        <w:jc w:val="both"/>
        <w:rPr>
          <w:sz w:val="21"/>
        </w:rPr>
      </w:pPr>
      <w:bookmarkStart w:id="819" w:name="5.2.3本条规定了人行道处轮椅坡道的设计要求。"/>
      <w:bookmarkEnd w:id="819"/>
      <w:bookmarkStart w:id="820" w:name="5.2.3本条规定了人行道处轮椅坡道的设计要求。"/>
      <w:bookmarkEnd w:id="820"/>
      <w:r>
        <w:rPr>
          <w:sz w:val="21"/>
        </w:rPr>
        <w:t>本条规定了人行道处轮椅坡道的设计要求。</w:t>
      </w:r>
    </w:p>
    <w:p>
      <w:pPr>
        <w:pStyle w:val="5"/>
        <w:spacing w:before="5"/>
        <w:rPr>
          <w:sz w:val="15"/>
        </w:rPr>
      </w:pPr>
    </w:p>
    <w:p>
      <w:pPr>
        <w:pStyle w:val="5"/>
        <w:spacing w:line="417" w:lineRule="auto"/>
        <w:ind w:left="112" w:right="209" w:firstLine="427"/>
        <w:jc w:val="both"/>
      </w:pPr>
      <w:r>
        <w:t>1</w:t>
      </w:r>
      <w:r>
        <w:rPr>
          <w:spacing w:val="-20"/>
        </w:rPr>
        <w:t>、</w:t>
      </w:r>
      <w:r>
        <w:t>2 参照《深圳市道路设计标准》</w:t>
      </w:r>
      <w:r>
        <w:rPr>
          <w:rFonts w:hint="eastAsia" w:ascii="仿宋" w:hAnsi="仿宋" w:eastAsia="仿宋"/>
        </w:rPr>
        <w:t>SJG</w:t>
      </w:r>
      <w:r>
        <w:rPr>
          <w:rFonts w:hint="eastAsia" w:ascii="仿宋" w:hAnsi="仿宋" w:eastAsia="仿宋"/>
          <w:spacing w:val="-56"/>
        </w:rPr>
        <w:t xml:space="preserve"> </w:t>
      </w:r>
      <w:r>
        <w:t>69-2020</w:t>
      </w:r>
      <w:r>
        <w:rPr>
          <w:spacing w:val="-36"/>
        </w:rPr>
        <w:t xml:space="preserve"> 第 </w:t>
      </w:r>
      <w:r>
        <w:t>5.6.3</w:t>
      </w:r>
      <w:r>
        <w:rPr>
          <w:spacing w:val="-28"/>
        </w:rPr>
        <w:t xml:space="preserve"> 条第 </w:t>
      </w:r>
      <w:r>
        <w:t>9</w:t>
      </w:r>
      <w:r>
        <w:rPr>
          <w:spacing w:val="-12"/>
        </w:rPr>
        <w:t xml:space="preserve"> 款“人行道高差宜采用不大于 </w:t>
      </w:r>
      <w:r>
        <w:t>1:12 的斜坡进行连接。当采用台阶衔接时，应同时设置轮椅坡道。”本款规定了人行道处高差的处理方式。</w:t>
      </w:r>
    </w:p>
    <w:p>
      <w:pPr>
        <w:spacing w:after="0" w:line="417" w:lineRule="auto"/>
        <w:jc w:val="both"/>
        <w:sectPr>
          <w:footerReference r:id="rId15" w:type="default"/>
          <w:pgSz w:w="11910" w:h="16840"/>
          <w:pgMar w:top="1580" w:right="920" w:bottom="1160" w:left="1020" w:header="0" w:footer="975" w:gutter="0"/>
          <w:pgNumType w:start="85"/>
          <w:cols w:space="720" w:num="1"/>
        </w:sectPr>
      </w:pPr>
    </w:p>
    <w:p>
      <w:pPr>
        <w:pStyle w:val="5"/>
        <w:spacing w:before="60" w:line="417" w:lineRule="auto"/>
        <w:ind w:left="112" w:right="212" w:firstLine="427"/>
        <w:jc w:val="both"/>
      </w:pPr>
      <w:r>
        <w:t>3</w:t>
      </w:r>
      <w:r>
        <w:rPr>
          <w:spacing w:val="-2"/>
        </w:rPr>
        <w:t xml:space="preserve"> 轮椅坡道设置时应避免与行人通行产生矛盾。在设施布置时，尽量避免轮椅坡道通行方向与行人通行方向产生交叉，尽可能使两个通行流线相平行。</w:t>
      </w:r>
    </w:p>
    <w:p>
      <w:pPr>
        <w:pStyle w:val="12"/>
        <w:numPr>
          <w:ilvl w:val="2"/>
          <w:numId w:val="174"/>
        </w:numPr>
        <w:tabs>
          <w:tab w:val="left" w:pos="965"/>
        </w:tabs>
        <w:spacing w:before="0" w:after="0" w:line="417" w:lineRule="auto"/>
        <w:ind w:left="112" w:right="180" w:firstLine="0"/>
        <w:jc w:val="both"/>
        <w:rPr>
          <w:sz w:val="21"/>
        </w:rPr>
      </w:pPr>
      <w:bookmarkStart w:id="821" w:name="5.2.4人行道范围内服务类设施的设置应为各类人群提供方便，同时保证残障人士平等"/>
      <w:bookmarkEnd w:id="821"/>
      <w:bookmarkStart w:id="822" w:name="5.2.4人行道范围内服务类设施的设置应为各类人群提供方便，同时保证残障人士平等"/>
      <w:bookmarkEnd w:id="822"/>
      <w:r>
        <w:rPr>
          <w:w w:val="95"/>
          <w:sz w:val="21"/>
        </w:rPr>
        <w:t xml:space="preserve">人行道范围内服务类设施的设置应为各类人群提供方便，同时保证残障人士平等参与社会活动，   </w:t>
      </w:r>
      <w:r>
        <w:rPr>
          <w:spacing w:val="-3"/>
          <w:sz w:val="21"/>
        </w:rPr>
        <w:t>宜针对视觉障碍者、听觉障碍者及肢体障碍者等不同类型的障碍者分别进行考虑，满足各类行动障碍者的服务与通行需求。</w:t>
      </w:r>
    </w:p>
    <w:p>
      <w:pPr>
        <w:pStyle w:val="12"/>
        <w:numPr>
          <w:ilvl w:val="4"/>
          <w:numId w:val="172"/>
        </w:numPr>
        <w:tabs>
          <w:tab w:val="left" w:pos="4724"/>
        </w:tabs>
        <w:spacing w:before="0" w:after="0" w:line="269" w:lineRule="exact"/>
        <w:ind w:left="4723" w:right="0" w:hanging="421"/>
        <w:jc w:val="left"/>
        <w:rPr>
          <w:rFonts w:hint="eastAsia" w:ascii="黑体" w:eastAsia="黑体"/>
          <w:sz w:val="21"/>
        </w:rPr>
      </w:pPr>
      <w:bookmarkStart w:id="823" w:name="5.3人行横道"/>
      <w:bookmarkEnd w:id="823"/>
      <w:bookmarkStart w:id="824" w:name="_bookmark39"/>
      <w:bookmarkEnd w:id="824"/>
      <w:bookmarkStart w:id="825" w:name="_bookmark39"/>
      <w:bookmarkEnd w:id="825"/>
      <w:r>
        <w:rPr>
          <w:rFonts w:hint="eastAsia" w:ascii="黑体" w:eastAsia="黑体"/>
          <w:sz w:val="21"/>
        </w:rPr>
        <w:t>人行横道</w:t>
      </w:r>
    </w:p>
    <w:p>
      <w:pPr>
        <w:pStyle w:val="5"/>
        <w:spacing w:before="6"/>
        <w:rPr>
          <w:rFonts w:ascii="黑体"/>
          <w:sz w:val="15"/>
        </w:rPr>
      </w:pPr>
    </w:p>
    <w:p>
      <w:pPr>
        <w:spacing w:before="0"/>
        <w:ind w:left="112" w:right="0" w:firstLine="0"/>
        <w:jc w:val="both"/>
        <w:rPr>
          <w:sz w:val="21"/>
        </w:rPr>
      </w:pPr>
      <w:r>
        <w:rPr>
          <w:b/>
          <w:sz w:val="21"/>
        </w:rPr>
        <w:t>5.3.1</w:t>
      </w:r>
      <w:bookmarkStart w:id="826" w:name="5.3.1本条规定了人行横道范围内的无障碍设计要求。"/>
      <w:bookmarkEnd w:id="826"/>
      <w:r>
        <w:rPr>
          <w:b/>
          <w:spacing w:val="98"/>
          <w:sz w:val="21"/>
        </w:rPr>
        <w:t xml:space="preserve"> </w:t>
      </w:r>
      <w:r>
        <w:rPr>
          <w:sz w:val="21"/>
        </w:rPr>
        <w:t>本条规定了人行横道范围内的无障碍设计要求。</w:t>
      </w:r>
    </w:p>
    <w:p>
      <w:pPr>
        <w:pStyle w:val="5"/>
        <w:spacing w:before="7"/>
        <w:rPr>
          <w:sz w:val="15"/>
        </w:rPr>
      </w:pPr>
    </w:p>
    <w:p>
      <w:pPr>
        <w:pStyle w:val="12"/>
        <w:numPr>
          <w:ilvl w:val="0"/>
          <w:numId w:val="176"/>
        </w:numPr>
        <w:tabs>
          <w:tab w:val="left" w:pos="958"/>
        </w:tabs>
        <w:spacing w:before="0" w:after="0" w:line="417" w:lineRule="auto"/>
        <w:ind w:left="112" w:right="215" w:firstLine="424"/>
        <w:jc w:val="both"/>
        <w:rPr>
          <w:sz w:val="21"/>
        </w:rPr>
      </w:pPr>
      <w:r>
        <w:rPr>
          <w:spacing w:val="-2"/>
          <w:w w:val="95"/>
          <w:sz w:val="21"/>
        </w:rPr>
        <w:t xml:space="preserve">目前深圳市已建成的交通安全岛高出车行道的现象非常普遍，尽管满足了人行安全的要求，但对   </w:t>
      </w:r>
      <w:r>
        <w:rPr>
          <w:spacing w:val="-2"/>
          <w:sz w:val="21"/>
        </w:rPr>
        <w:t>轮椅者使用者、携婴儿车者等人群的通行造成了极大不便。参照《深圳市道路设计标准》</w:t>
      </w:r>
      <w:r>
        <w:rPr>
          <w:rFonts w:hint="eastAsia" w:ascii="仿宋" w:eastAsia="仿宋"/>
          <w:spacing w:val="-2"/>
          <w:sz w:val="21"/>
        </w:rPr>
        <w:t>SJG</w:t>
      </w:r>
      <w:r>
        <w:rPr>
          <w:rFonts w:hint="eastAsia" w:ascii="仿宋" w:eastAsia="仿宋"/>
          <w:spacing w:val="-11"/>
          <w:sz w:val="21"/>
        </w:rPr>
        <w:t xml:space="preserve"> </w:t>
      </w:r>
      <w:r>
        <w:rPr>
          <w:sz w:val="21"/>
        </w:rPr>
        <w:t>69-2020</w:t>
      </w:r>
      <w:r>
        <w:rPr>
          <w:spacing w:val="-29"/>
          <w:sz w:val="21"/>
        </w:rPr>
        <w:t xml:space="preserve"> 第</w:t>
      </w:r>
    </w:p>
    <w:p>
      <w:pPr>
        <w:pStyle w:val="5"/>
        <w:spacing w:line="417" w:lineRule="auto"/>
        <w:ind w:left="112" w:right="212"/>
        <w:jc w:val="both"/>
      </w:pPr>
      <w:r>
        <w:t>5.6.3</w:t>
      </w:r>
      <w:r>
        <w:rPr>
          <w:spacing w:val="-25"/>
        </w:rPr>
        <w:t xml:space="preserve"> 条第 </w:t>
      </w:r>
      <w:r>
        <w:t>4</w:t>
      </w:r>
      <w:r>
        <w:rPr>
          <w:spacing w:val="-8"/>
        </w:rPr>
        <w:t xml:space="preserve"> 款“交通安全岛通行区域宜与机动车道路面齐平，方便轮椅、婴儿车推行，但应满足排水要求。”因此，本款规定交通安全岛通行区域与机动车路面齐平，并做好排水设计。</w:t>
      </w:r>
    </w:p>
    <w:p>
      <w:pPr>
        <w:pStyle w:val="12"/>
        <w:numPr>
          <w:ilvl w:val="0"/>
          <w:numId w:val="176"/>
        </w:numPr>
        <w:tabs>
          <w:tab w:val="left" w:pos="958"/>
        </w:tabs>
        <w:spacing w:before="0" w:after="0" w:line="417" w:lineRule="auto"/>
        <w:ind w:left="112" w:right="210" w:firstLine="424"/>
        <w:jc w:val="both"/>
        <w:rPr>
          <w:sz w:val="21"/>
        </w:rPr>
      </w:pPr>
      <w:r>
        <w:rPr>
          <w:spacing w:val="-3"/>
          <w:w w:val="95"/>
          <w:sz w:val="21"/>
        </w:rPr>
        <w:t xml:space="preserve">交通安全岛处设置阻车桩防止机动车辆驶入人行道范围，但不应影响轮椅、婴儿车等通行，阻车   </w:t>
      </w:r>
      <w:r>
        <w:rPr>
          <w:spacing w:val="-7"/>
          <w:sz w:val="21"/>
        </w:rPr>
        <w:t xml:space="preserve">桩间距不应小于 </w:t>
      </w:r>
      <w:r>
        <w:rPr>
          <w:sz w:val="21"/>
        </w:rPr>
        <w:t>900</w:t>
      </w:r>
      <w:r>
        <w:rPr>
          <w:rFonts w:hint="eastAsia" w:ascii="仿宋" w:hAnsi="仿宋" w:eastAsia="仿宋"/>
          <w:sz w:val="21"/>
        </w:rPr>
        <w:t>mm</w:t>
      </w:r>
      <w:r>
        <w:rPr>
          <w:sz w:val="21"/>
        </w:rPr>
        <w:t>。参照《深圳市道路设计标准》</w:t>
      </w:r>
      <w:r>
        <w:rPr>
          <w:rFonts w:hint="eastAsia" w:ascii="仿宋" w:hAnsi="仿宋" w:eastAsia="仿宋"/>
          <w:sz w:val="21"/>
        </w:rPr>
        <w:t>SJG</w:t>
      </w:r>
      <w:r>
        <w:rPr>
          <w:rFonts w:hint="eastAsia" w:ascii="仿宋" w:hAnsi="仿宋" w:eastAsia="仿宋"/>
          <w:spacing w:val="-1"/>
          <w:sz w:val="21"/>
        </w:rPr>
        <w:t xml:space="preserve"> </w:t>
      </w:r>
      <w:r>
        <w:rPr>
          <w:sz w:val="21"/>
        </w:rPr>
        <w:t>69-2020</w:t>
      </w:r>
      <w:r>
        <w:rPr>
          <w:spacing w:val="-34"/>
          <w:sz w:val="21"/>
        </w:rPr>
        <w:t xml:space="preserve"> 第 </w:t>
      </w:r>
      <w:r>
        <w:rPr>
          <w:sz w:val="21"/>
        </w:rPr>
        <w:t>8.3.3</w:t>
      </w:r>
      <w:r>
        <w:rPr>
          <w:spacing w:val="-26"/>
          <w:sz w:val="21"/>
        </w:rPr>
        <w:t xml:space="preserve"> 条第 </w:t>
      </w:r>
      <w:r>
        <w:rPr>
          <w:sz w:val="21"/>
        </w:rPr>
        <w:t>4</w:t>
      </w:r>
      <w:r>
        <w:rPr>
          <w:spacing w:val="-6"/>
          <w:sz w:val="21"/>
        </w:rPr>
        <w:t xml:space="preserve"> 款“车止石与防护柱</w:t>
      </w:r>
      <w:r>
        <w:rPr>
          <w:spacing w:val="-14"/>
          <w:sz w:val="21"/>
        </w:rPr>
        <w:t xml:space="preserve">设置净距为 </w:t>
      </w:r>
      <w:r>
        <w:rPr>
          <w:sz w:val="21"/>
        </w:rPr>
        <w:t>120</w:t>
      </w:r>
      <w:r>
        <w:rPr>
          <w:rFonts w:hint="eastAsia" w:ascii="仿宋" w:hAnsi="仿宋" w:eastAsia="仿宋"/>
          <w:sz w:val="21"/>
        </w:rPr>
        <w:t>cm</w:t>
      </w:r>
      <w:r>
        <w:rPr>
          <w:sz w:val="21"/>
        </w:rPr>
        <w:t>～150</w:t>
      </w:r>
      <w:r>
        <w:rPr>
          <w:rFonts w:hint="eastAsia" w:ascii="仿宋" w:hAnsi="仿宋" w:eastAsia="仿宋"/>
          <w:sz w:val="21"/>
        </w:rPr>
        <w:t>cm</w:t>
      </w:r>
      <w:r>
        <w:rPr>
          <w:spacing w:val="-3"/>
          <w:sz w:val="21"/>
        </w:rPr>
        <w:t xml:space="preserve">……”，考虑到三轮车的通行，阻车桩间距不宜小于 </w:t>
      </w:r>
      <w:r>
        <w:rPr>
          <w:sz w:val="21"/>
        </w:rPr>
        <w:t>1.20</w:t>
      </w:r>
      <w:r>
        <w:rPr>
          <w:rFonts w:hint="eastAsia" w:ascii="仿宋" w:hAnsi="仿宋" w:eastAsia="仿宋"/>
          <w:sz w:val="21"/>
        </w:rPr>
        <w:t>m</w:t>
      </w:r>
      <w:r>
        <w:rPr>
          <w:sz w:val="21"/>
        </w:rPr>
        <w:t>。</w:t>
      </w:r>
    </w:p>
    <w:p>
      <w:pPr>
        <w:pStyle w:val="12"/>
        <w:numPr>
          <w:ilvl w:val="0"/>
          <w:numId w:val="176"/>
        </w:numPr>
        <w:tabs>
          <w:tab w:val="left" w:pos="960"/>
        </w:tabs>
        <w:spacing w:before="0" w:after="0" w:line="417" w:lineRule="auto"/>
        <w:ind w:left="112" w:right="215" w:firstLine="427"/>
        <w:jc w:val="both"/>
        <w:rPr>
          <w:sz w:val="21"/>
        </w:rPr>
      </w:pPr>
      <w:r>
        <w:rPr>
          <w:spacing w:val="-2"/>
          <w:w w:val="95"/>
          <w:sz w:val="21"/>
        </w:rPr>
        <w:t xml:space="preserve">过街音响提示装置是与交通信号灯联动，通过声音频率为视觉障碍者提供是否可以通行和还有多   </w:t>
      </w:r>
      <w:r>
        <w:rPr>
          <w:spacing w:val="-2"/>
          <w:sz w:val="21"/>
        </w:rPr>
        <w:t>长的通行时间等信息，同时注意在路口还需增加通行方向的信息。</w:t>
      </w:r>
    </w:p>
    <w:p>
      <w:pPr>
        <w:pStyle w:val="12"/>
        <w:numPr>
          <w:ilvl w:val="4"/>
          <w:numId w:val="172"/>
        </w:numPr>
        <w:tabs>
          <w:tab w:val="left" w:pos="4409"/>
        </w:tabs>
        <w:spacing w:before="0" w:after="0" w:line="269" w:lineRule="exact"/>
        <w:ind w:left="4408" w:right="0" w:hanging="421"/>
        <w:jc w:val="left"/>
        <w:rPr>
          <w:rFonts w:hint="eastAsia" w:ascii="黑体" w:eastAsia="黑体"/>
          <w:sz w:val="21"/>
        </w:rPr>
      </w:pPr>
      <w:bookmarkStart w:id="827" w:name="5.4人行天桥及地道"/>
      <w:bookmarkEnd w:id="827"/>
      <w:bookmarkStart w:id="828" w:name="_bookmark40"/>
      <w:bookmarkEnd w:id="828"/>
      <w:bookmarkStart w:id="829" w:name="_bookmark40"/>
      <w:bookmarkEnd w:id="829"/>
      <w:r>
        <w:rPr>
          <w:rFonts w:hint="eastAsia" w:ascii="黑体" w:eastAsia="黑体"/>
          <w:sz w:val="21"/>
        </w:rPr>
        <w:t>人行天桥及地道</w:t>
      </w:r>
    </w:p>
    <w:p>
      <w:pPr>
        <w:pStyle w:val="5"/>
        <w:spacing w:before="5"/>
        <w:rPr>
          <w:rFonts w:ascii="黑体"/>
          <w:sz w:val="15"/>
        </w:rPr>
      </w:pPr>
    </w:p>
    <w:p>
      <w:pPr>
        <w:pStyle w:val="12"/>
        <w:numPr>
          <w:ilvl w:val="2"/>
          <w:numId w:val="177"/>
        </w:numPr>
        <w:tabs>
          <w:tab w:val="left" w:pos="953"/>
        </w:tabs>
        <w:spacing w:before="1" w:after="0" w:line="417" w:lineRule="auto"/>
        <w:ind w:left="112" w:right="215" w:firstLine="0"/>
        <w:jc w:val="both"/>
        <w:rPr>
          <w:sz w:val="21"/>
        </w:rPr>
      </w:pPr>
      <w:bookmarkStart w:id="830" w:name="5.4.2本条规定了人行天桥及地道处盲道的设计要求。人行天桥及地道出入口处需设置"/>
      <w:bookmarkEnd w:id="830"/>
      <w:bookmarkStart w:id="831" w:name="5.4.2本条规定了人行天桥及地道处盲道的设计要求。人行天桥及地道出入口处需设置"/>
      <w:bookmarkEnd w:id="831"/>
      <w:r>
        <w:rPr>
          <w:spacing w:val="-2"/>
          <w:w w:val="95"/>
          <w:sz w:val="21"/>
        </w:rPr>
        <w:t xml:space="preserve">本条规定了人行天桥及地道处盲道的设计要求。人行天桥及地道出入口处需设置提示盲道，并与   </w:t>
      </w:r>
      <w:r>
        <w:rPr>
          <w:spacing w:val="-2"/>
          <w:sz w:val="21"/>
        </w:rPr>
        <w:t>人行道中行进盲道连接，满足视觉障碍者的连续通行需求。</w:t>
      </w:r>
    </w:p>
    <w:p>
      <w:pPr>
        <w:pStyle w:val="12"/>
        <w:numPr>
          <w:ilvl w:val="2"/>
          <w:numId w:val="177"/>
        </w:numPr>
        <w:tabs>
          <w:tab w:val="left" w:pos="953"/>
        </w:tabs>
        <w:spacing w:before="0" w:after="0" w:line="269" w:lineRule="exact"/>
        <w:ind w:left="952" w:right="0" w:hanging="841"/>
        <w:jc w:val="both"/>
        <w:rPr>
          <w:sz w:val="21"/>
        </w:rPr>
      </w:pPr>
      <w:bookmarkStart w:id="832" w:name="5.4.3本条规定了人行天桥及地道处无障碍电梯、自动扶梯、自行车推行坡道的设计要"/>
      <w:bookmarkEnd w:id="832"/>
      <w:bookmarkStart w:id="833" w:name="5.4.3本条规定了人行天桥及地道处无障碍电梯、自动扶梯、自行车推行坡道的设计要"/>
      <w:bookmarkEnd w:id="833"/>
      <w:r>
        <w:rPr>
          <w:sz w:val="21"/>
        </w:rPr>
        <w:t>本条规定了人行天桥及地道处无障碍电梯、自动扶梯、自行车推行坡道的设计要求。</w:t>
      </w:r>
    </w:p>
    <w:p>
      <w:pPr>
        <w:pStyle w:val="5"/>
        <w:spacing w:before="6"/>
        <w:rPr>
          <w:sz w:val="15"/>
        </w:rPr>
      </w:pPr>
    </w:p>
    <w:p>
      <w:pPr>
        <w:pStyle w:val="5"/>
        <w:spacing w:line="417" w:lineRule="auto"/>
        <w:ind w:left="112" w:right="192" w:firstLine="427"/>
        <w:jc w:val="both"/>
        <w:rPr>
          <w:rFonts w:hint="eastAsia" w:ascii="仿宋" w:hAnsi="仿宋" w:eastAsia="仿宋"/>
        </w:rPr>
      </w:pPr>
      <w:r>
        <w:t>1</w:t>
      </w:r>
      <w:r>
        <w:rPr>
          <w:spacing w:val="-5"/>
        </w:rPr>
        <w:t>、</w:t>
      </w:r>
      <w:r>
        <w:t>2</w:t>
      </w:r>
      <w:r>
        <w:rPr>
          <w:spacing w:val="6"/>
        </w:rPr>
        <w:t xml:space="preserve"> 《无障碍设计规范》</w:t>
      </w:r>
      <w:r>
        <w:rPr>
          <w:rFonts w:hint="eastAsia" w:ascii="仿宋" w:hAnsi="仿宋" w:eastAsia="仿宋"/>
        </w:rPr>
        <w:t>GB</w:t>
      </w:r>
      <w:r>
        <w:rPr>
          <w:rFonts w:hint="eastAsia" w:ascii="仿宋" w:hAnsi="仿宋" w:eastAsia="仿宋"/>
          <w:spacing w:val="-53"/>
        </w:rPr>
        <w:t xml:space="preserve"> </w:t>
      </w:r>
      <w:r>
        <w:t>50763-2012</w:t>
      </w:r>
      <w:r>
        <w:rPr>
          <w:spacing w:val="-36"/>
        </w:rPr>
        <w:t xml:space="preserve"> 第 </w:t>
      </w:r>
      <w:r>
        <w:t>4.4.2</w:t>
      </w:r>
      <w:r>
        <w:rPr>
          <w:spacing w:val="-28"/>
        </w:rPr>
        <w:t xml:space="preserve"> 条第 </w:t>
      </w:r>
      <w:r>
        <w:t>1</w:t>
      </w:r>
      <w:r>
        <w:rPr>
          <w:spacing w:val="-8"/>
        </w:rPr>
        <w:t xml:space="preserve"> 款“要求满足轮椅通行需求的人行天桥及</w:t>
      </w:r>
      <w:r>
        <w:rPr>
          <w:spacing w:val="-8"/>
          <w:w w:val="95"/>
        </w:rPr>
        <w:t xml:space="preserve">地道处宜设置坡道，当设置坡道有困难时，应设置无障碍电梯。”参照《深圳市人行地下通道设计标准》  </w:t>
      </w:r>
      <w:r>
        <w:rPr>
          <w:rFonts w:hint="eastAsia" w:ascii="仿宋" w:hAnsi="仿宋" w:eastAsia="仿宋"/>
          <w:spacing w:val="-8"/>
        </w:rPr>
        <w:t xml:space="preserve">SJG </w:t>
      </w:r>
      <w:r>
        <w:t>68-2019</w:t>
      </w:r>
      <w:r>
        <w:rPr>
          <w:spacing w:val="-38"/>
        </w:rPr>
        <w:t xml:space="preserve"> 第 </w:t>
      </w:r>
      <w:r>
        <w:t>3.0.9</w:t>
      </w:r>
      <w:r>
        <w:rPr>
          <w:spacing w:val="-3"/>
        </w:rPr>
        <w:t xml:space="preserve"> 条“新建人行地下通道应设置垂直电梯……”和《人行天桥和连廊设计标准》</w:t>
      </w:r>
      <w:r>
        <w:rPr>
          <w:rFonts w:hint="eastAsia" w:ascii="仿宋" w:hAnsi="仿宋" w:eastAsia="仿宋"/>
        </w:rPr>
        <w:t>SJG</w:t>
      </w:r>
    </w:p>
    <w:p>
      <w:pPr>
        <w:pStyle w:val="5"/>
        <w:spacing w:line="417" w:lineRule="auto"/>
        <w:ind w:left="112" w:right="210"/>
        <w:jc w:val="both"/>
      </w:pPr>
      <w:r>
        <w:t>70-2020</w:t>
      </w:r>
      <w:r>
        <w:rPr>
          <w:spacing w:val="-38"/>
        </w:rPr>
        <w:t xml:space="preserve"> 第 </w:t>
      </w:r>
      <w:r>
        <w:t>3.0.6</w:t>
      </w:r>
      <w:r>
        <w:rPr>
          <w:spacing w:val="-13"/>
        </w:rPr>
        <w:t xml:space="preserve"> 条“新建人行天桥和连廊应设置垂直升降电梯，并保证 </w:t>
      </w:r>
      <w:r>
        <w:t>24</w:t>
      </w:r>
      <w:r>
        <w:rPr>
          <w:spacing w:val="-9"/>
        </w:rPr>
        <w:t xml:space="preserve"> 小时开放使用，人行天桥和大</w:t>
      </w:r>
      <w:r>
        <w:rPr>
          <w:spacing w:val="-9"/>
          <w:w w:val="95"/>
        </w:rPr>
        <w:t xml:space="preserve">型连廊在人流密集区应设置自动扶梯。”因此，本条规定人行天桥及地道处应设置无障碍电梯，在人流量   </w:t>
      </w:r>
      <w:r>
        <w:rPr>
          <w:spacing w:val="-9"/>
        </w:rPr>
        <w:t>较大处设置自动扶梯。由于轮椅坡道占地面积大且通行距离较长，所以此处不要求设置轮椅坡道。</w:t>
      </w:r>
    </w:p>
    <w:p>
      <w:pPr>
        <w:pStyle w:val="5"/>
        <w:spacing w:line="417" w:lineRule="auto"/>
        <w:ind w:left="112" w:right="205" w:firstLine="427"/>
        <w:jc w:val="both"/>
      </w:pPr>
      <w:r>
        <w:t>4  参照《深圳市人行地下通道设计标准》</w:t>
      </w:r>
      <w:r>
        <w:rPr>
          <w:rFonts w:hint="eastAsia" w:ascii="仿宋" w:hAnsi="仿宋" w:eastAsia="仿宋"/>
        </w:rPr>
        <w:t xml:space="preserve">SJG </w:t>
      </w:r>
      <w:r>
        <w:t>68-2019</w:t>
      </w:r>
      <w:r>
        <w:rPr>
          <w:spacing w:val="-35"/>
        </w:rPr>
        <w:t xml:space="preserve"> 第 </w:t>
      </w:r>
      <w:r>
        <w:t>5.1.8</w:t>
      </w:r>
      <w:r>
        <w:rPr>
          <w:spacing w:val="-8"/>
        </w:rPr>
        <w:t xml:space="preserve"> 条“当考虑自行车通行时，自行车</w:t>
      </w:r>
      <w:r>
        <w:rPr>
          <w:spacing w:val="-14"/>
        </w:rPr>
        <w:t xml:space="preserve">坡道坡度不宜大于 </w:t>
      </w:r>
      <w:r>
        <w:rPr>
          <w:spacing w:val="-10"/>
        </w:rPr>
        <w:t xml:space="preserve">1:4，宽度不宜小于 </w:t>
      </w:r>
      <w:r>
        <w:t>600</w:t>
      </w:r>
      <w:r>
        <w:rPr>
          <w:rFonts w:hint="eastAsia" w:ascii="仿宋" w:hAnsi="仿宋" w:eastAsia="仿宋"/>
        </w:rPr>
        <w:t>mm</w:t>
      </w:r>
      <w:r>
        <w:rPr>
          <w:spacing w:val="-14"/>
        </w:rPr>
        <w:t>。”《人行天桥和连廊设计标准》</w:t>
      </w:r>
      <w:r>
        <w:rPr>
          <w:rFonts w:hint="eastAsia" w:ascii="仿宋" w:hAnsi="仿宋" w:eastAsia="仿宋"/>
        </w:rPr>
        <w:t>SJG</w:t>
      </w:r>
      <w:r>
        <w:rPr>
          <w:rFonts w:hint="eastAsia" w:ascii="仿宋" w:hAnsi="仿宋" w:eastAsia="仿宋"/>
          <w:spacing w:val="-57"/>
        </w:rPr>
        <w:t xml:space="preserve"> </w:t>
      </w:r>
      <w:r>
        <w:t>70-2020</w:t>
      </w:r>
      <w:r>
        <w:rPr>
          <w:spacing w:val="-37"/>
        </w:rPr>
        <w:t xml:space="preserve"> 第 </w:t>
      </w:r>
      <w:r>
        <w:t>4.3.5</w:t>
      </w:r>
      <w:r>
        <w:rPr>
          <w:spacing w:val="-23"/>
        </w:rPr>
        <w:t xml:space="preserve"> 条“天</w:t>
      </w:r>
      <w:r>
        <w:rPr>
          <w:spacing w:val="-24"/>
        </w:rPr>
        <w:t xml:space="preserve">桥及连廊梯道宜设置自行车推行坡道，沿梯道中部设置的自行车推行坡道宽度宜不小于 </w:t>
      </w:r>
      <w:r>
        <w:t>600</w:t>
      </w:r>
      <w:r>
        <w:rPr>
          <w:rFonts w:hint="eastAsia" w:ascii="仿宋" w:hAnsi="仿宋" w:eastAsia="仿宋"/>
        </w:rPr>
        <w:t>mm</w:t>
      </w:r>
      <w:r>
        <w:t>。”本款增</w:t>
      </w:r>
    </w:p>
    <w:p>
      <w:pPr>
        <w:spacing w:after="0" w:line="417" w:lineRule="auto"/>
        <w:jc w:val="both"/>
        <w:sectPr>
          <w:pgSz w:w="11910" w:h="16840"/>
          <w:pgMar w:top="1580" w:right="920" w:bottom="1160" w:left="1020" w:header="0" w:footer="975" w:gutter="0"/>
          <w:cols w:space="720" w:num="1"/>
        </w:sectPr>
      </w:pPr>
    </w:p>
    <w:p>
      <w:pPr>
        <w:pStyle w:val="5"/>
        <w:spacing w:before="60"/>
        <w:ind w:left="112"/>
      </w:pPr>
      <w:r>
        <w:t>加了人行天桥及地道处自行车推行坡道的设计要求。</w:t>
      </w:r>
    </w:p>
    <w:p>
      <w:pPr>
        <w:pStyle w:val="5"/>
        <w:spacing w:before="6"/>
        <w:rPr>
          <w:sz w:val="15"/>
        </w:rPr>
      </w:pPr>
    </w:p>
    <w:p>
      <w:pPr>
        <w:pStyle w:val="12"/>
        <w:numPr>
          <w:ilvl w:val="2"/>
          <w:numId w:val="177"/>
        </w:numPr>
        <w:tabs>
          <w:tab w:val="left" w:pos="952"/>
          <w:tab w:val="left" w:pos="953"/>
        </w:tabs>
        <w:spacing w:before="1" w:after="0" w:line="240" w:lineRule="auto"/>
        <w:ind w:left="952" w:right="0" w:hanging="841"/>
        <w:jc w:val="left"/>
        <w:rPr>
          <w:sz w:val="21"/>
        </w:rPr>
      </w:pPr>
      <w:bookmarkStart w:id="834" w:name="5.4.4本条规定了人行天桥及地道处扶手的设置要求。"/>
      <w:bookmarkEnd w:id="834"/>
      <w:bookmarkStart w:id="835" w:name="5.4.4本条规定了人行天桥及地道处扶手的设置要求。"/>
      <w:bookmarkEnd w:id="835"/>
      <w:r>
        <w:rPr>
          <w:sz w:val="21"/>
        </w:rPr>
        <w:t>本条规定了人行天桥及地道处扶手的设置要求。</w:t>
      </w:r>
    </w:p>
    <w:p>
      <w:pPr>
        <w:pStyle w:val="5"/>
        <w:spacing w:before="6"/>
        <w:rPr>
          <w:sz w:val="15"/>
        </w:rPr>
      </w:pPr>
    </w:p>
    <w:p>
      <w:pPr>
        <w:pStyle w:val="5"/>
        <w:tabs>
          <w:tab w:val="left" w:pos="959"/>
        </w:tabs>
        <w:ind w:left="540"/>
      </w:pPr>
      <w:r>
        <w:t>3</w:t>
      </w:r>
      <w:r>
        <w:tab/>
      </w:r>
      <w:r>
        <w:rPr>
          <w:spacing w:val="-2"/>
        </w:rPr>
        <w:t>坡道扶手水平段外侧宜设置盲文铭牌，可使视觉障碍者了解自己所在位置及走向，方便其继续行</w:t>
      </w:r>
    </w:p>
    <w:p>
      <w:pPr>
        <w:pStyle w:val="5"/>
        <w:spacing w:before="7"/>
        <w:rPr>
          <w:sz w:val="15"/>
        </w:rPr>
      </w:pPr>
    </w:p>
    <w:p>
      <w:pPr>
        <w:pStyle w:val="5"/>
        <w:ind w:left="112"/>
      </w:pPr>
      <w:r>
        <w:t>走。</w:t>
      </w:r>
    </w:p>
    <w:p>
      <w:pPr>
        <w:pStyle w:val="5"/>
        <w:spacing w:before="7"/>
        <w:rPr>
          <w:sz w:val="15"/>
        </w:rPr>
      </w:pPr>
    </w:p>
    <w:p>
      <w:pPr>
        <w:pStyle w:val="5"/>
        <w:tabs>
          <w:tab w:val="left" w:pos="964"/>
        </w:tabs>
        <w:ind w:left="112"/>
      </w:pPr>
      <w:r>
        <w:rPr>
          <w:b/>
        </w:rPr>
        <w:t>5.4.6</w:t>
      </w:r>
      <w:r>
        <w:rPr>
          <w:b/>
        </w:rPr>
        <w:tab/>
      </w:r>
      <w:bookmarkStart w:id="836" w:name="5.4.6人行天桥自动扶梯、楼梯下部可进入空间是易发生危险的区域，应沿结构边缘设"/>
      <w:bookmarkEnd w:id="836"/>
      <w:r>
        <w:t>人行天桥自动扶梯、楼梯下部可进入空间是易发生危险的区域，应沿结构边缘设置提示盲道。</w:t>
      </w:r>
    </w:p>
    <w:p>
      <w:pPr>
        <w:pStyle w:val="5"/>
        <w:spacing w:before="6"/>
        <w:rPr>
          <w:sz w:val="15"/>
        </w:rPr>
      </w:pPr>
    </w:p>
    <w:p>
      <w:pPr>
        <w:pStyle w:val="12"/>
        <w:numPr>
          <w:ilvl w:val="4"/>
          <w:numId w:val="172"/>
        </w:numPr>
        <w:tabs>
          <w:tab w:val="left" w:pos="4724"/>
        </w:tabs>
        <w:spacing w:before="1" w:after="0" w:line="240" w:lineRule="auto"/>
        <w:ind w:left="4723" w:right="0" w:hanging="421"/>
        <w:jc w:val="left"/>
        <w:rPr>
          <w:rFonts w:hint="eastAsia" w:ascii="黑体" w:eastAsia="黑体"/>
          <w:sz w:val="21"/>
        </w:rPr>
      </w:pPr>
      <w:bookmarkStart w:id="837" w:name="5.5公交车站"/>
      <w:bookmarkEnd w:id="837"/>
      <w:bookmarkStart w:id="838" w:name="_bookmark41"/>
      <w:bookmarkEnd w:id="838"/>
      <w:bookmarkStart w:id="839" w:name="_bookmark41"/>
      <w:bookmarkEnd w:id="839"/>
      <w:r>
        <w:rPr>
          <w:rFonts w:hint="eastAsia" w:ascii="黑体" w:eastAsia="黑体"/>
          <w:sz w:val="21"/>
        </w:rPr>
        <w:t>公交车站</w:t>
      </w:r>
    </w:p>
    <w:p>
      <w:pPr>
        <w:pStyle w:val="5"/>
        <w:spacing w:before="6"/>
        <w:rPr>
          <w:rFonts w:ascii="黑体"/>
          <w:sz w:val="15"/>
        </w:rPr>
      </w:pPr>
    </w:p>
    <w:p>
      <w:pPr>
        <w:tabs>
          <w:tab w:val="left" w:pos="964"/>
        </w:tabs>
        <w:spacing w:before="0"/>
        <w:ind w:left="112" w:right="0" w:firstLine="0"/>
        <w:jc w:val="left"/>
        <w:rPr>
          <w:sz w:val="21"/>
        </w:rPr>
      </w:pPr>
      <w:r>
        <w:rPr>
          <w:b/>
          <w:sz w:val="21"/>
        </w:rPr>
        <w:t>5.5.1</w:t>
      </w:r>
      <w:r>
        <w:rPr>
          <w:b/>
          <w:sz w:val="21"/>
        </w:rPr>
        <w:tab/>
      </w:r>
      <w:bookmarkStart w:id="840" w:name="5.5.1本条规定了公交车站处的站台设计要求。"/>
      <w:bookmarkEnd w:id="840"/>
      <w:r>
        <w:rPr>
          <w:sz w:val="21"/>
        </w:rPr>
        <w:t>本条规定了公交车站处的站台设计要求。</w:t>
      </w:r>
    </w:p>
    <w:p>
      <w:pPr>
        <w:pStyle w:val="5"/>
        <w:spacing w:before="7"/>
        <w:rPr>
          <w:sz w:val="15"/>
        </w:rPr>
      </w:pPr>
    </w:p>
    <w:p>
      <w:pPr>
        <w:pStyle w:val="12"/>
        <w:numPr>
          <w:ilvl w:val="0"/>
          <w:numId w:val="178"/>
        </w:numPr>
        <w:tabs>
          <w:tab w:val="left" w:pos="959"/>
          <w:tab w:val="left" w:pos="960"/>
        </w:tabs>
        <w:spacing w:before="0" w:after="0" w:line="240" w:lineRule="auto"/>
        <w:ind w:left="960" w:right="0" w:hanging="420"/>
        <w:jc w:val="left"/>
        <w:rPr>
          <w:sz w:val="21"/>
        </w:rPr>
      </w:pPr>
      <w:r>
        <w:rPr>
          <w:sz w:val="21"/>
        </w:rPr>
        <w:t>站台有效宽度应满足轮椅通行与停留的要求，并兼顾其他乘客的通行。</w:t>
      </w:r>
    </w:p>
    <w:p>
      <w:pPr>
        <w:pStyle w:val="5"/>
        <w:spacing w:before="7"/>
        <w:rPr>
          <w:sz w:val="15"/>
        </w:rPr>
      </w:pPr>
    </w:p>
    <w:p>
      <w:pPr>
        <w:pStyle w:val="12"/>
        <w:numPr>
          <w:ilvl w:val="0"/>
          <w:numId w:val="178"/>
        </w:numPr>
        <w:tabs>
          <w:tab w:val="left" w:pos="959"/>
          <w:tab w:val="left" w:pos="960"/>
        </w:tabs>
        <w:spacing w:before="0" w:after="0" w:line="417" w:lineRule="auto"/>
        <w:ind w:left="112" w:right="108" w:firstLine="427"/>
        <w:jc w:val="left"/>
        <w:rPr>
          <w:sz w:val="21"/>
        </w:rPr>
      </w:pPr>
      <w:r>
        <w:rPr>
          <w:spacing w:val="-2"/>
          <w:sz w:val="21"/>
        </w:rPr>
        <w:t>当公交车站设在车道之间的分隔带上时，为了使行动不便的人穿越非机动车道，安全地到达分隔</w:t>
      </w:r>
      <w:r>
        <w:rPr>
          <w:spacing w:val="-12"/>
          <w:w w:val="95"/>
          <w:sz w:val="21"/>
        </w:rPr>
        <w:t xml:space="preserve">带上的公交候车站，应在路边人行道与人行横道的交接处、人行横道与分隔带的交接处分别设置缘石坡道，   </w:t>
      </w:r>
      <w:r>
        <w:rPr>
          <w:spacing w:val="-12"/>
          <w:sz w:val="21"/>
        </w:rPr>
        <w:t>缘石坡道应与人行横道等宽。</w:t>
      </w:r>
    </w:p>
    <w:p>
      <w:pPr>
        <w:pStyle w:val="12"/>
        <w:numPr>
          <w:ilvl w:val="0"/>
          <w:numId w:val="178"/>
        </w:numPr>
        <w:tabs>
          <w:tab w:val="left" w:pos="959"/>
          <w:tab w:val="left" w:pos="960"/>
        </w:tabs>
        <w:spacing w:before="0" w:after="0" w:line="269" w:lineRule="exact"/>
        <w:ind w:left="960" w:right="0" w:hanging="420"/>
        <w:jc w:val="left"/>
        <w:rPr>
          <w:sz w:val="21"/>
        </w:rPr>
      </w:pPr>
      <w:r>
        <w:rPr>
          <w:sz w:val="21"/>
        </w:rPr>
        <w:t>为应对深圳的气候特征，站台上方应设雨棚。</w:t>
      </w:r>
    </w:p>
    <w:p>
      <w:pPr>
        <w:pStyle w:val="5"/>
        <w:spacing w:before="6"/>
        <w:rPr>
          <w:sz w:val="15"/>
        </w:rPr>
      </w:pPr>
    </w:p>
    <w:p>
      <w:pPr>
        <w:pStyle w:val="5"/>
        <w:spacing w:before="1" w:line="417" w:lineRule="auto"/>
        <w:ind w:left="112" w:right="210"/>
        <w:jc w:val="both"/>
      </w:pPr>
      <w:r>
        <w:rPr>
          <w:b/>
        </w:rPr>
        <w:t>5.5.3</w:t>
      </w:r>
      <w:bookmarkStart w:id="841" w:name="5.5.3为了给视觉障碍者提供更全面的公交信息，公交车站应安装盲文站牌。盲文站牌"/>
      <w:bookmarkEnd w:id="841"/>
      <w:r>
        <w:rPr>
          <w:b/>
          <w:spacing w:val="89"/>
        </w:rPr>
        <w:t xml:space="preserve"> </w:t>
      </w:r>
      <w:r>
        <w:rPr>
          <w:spacing w:val="-3"/>
        </w:rPr>
        <w:t>为了给视觉障碍者提供更全面的公交信息，公交车站应安装盲文站牌。盲文站牌的设置，既要方</w:t>
      </w:r>
      <w:r>
        <w:rPr>
          <w:spacing w:val="-5"/>
          <w:w w:val="95"/>
        </w:rPr>
        <w:t xml:space="preserve">便视觉障碍者的使用，又要保证安全，防止倒塌，且不易被人破坏。交互设备的设置可以通过公交车与公   </w:t>
      </w:r>
      <w:r>
        <w:rPr>
          <w:spacing w:val="-6"/>
          <w:w w:val="95"/>
        </w:rPr>
        <w:t xml:space="preserve">交车站一体化语音播报系统为视觉残障者提供公交车到站信息，同时方便乘客查询出行信息并提供紧急救   </w:t>
      </w:r>
      <w:r>
        <w:rPr>
          <w:spacing w:val="-6"/>
        </w:rPr>
        <w:t>援。</w:t>
      </w:r>
    </w:p>
    <w:p>
      <w:pPr>
        <w:pStyle w:val="12"/>
        <w:numPr>
          <w:ilvl w:val="4"/>
          <w:numId w:val="172"/>
        </w:numPr>
        <w:tabs>
          <w:tab w:val="left" w:pos="4512"/>
        </w:tabs>
        <w:spacing w:before="0" w:after="0" w:line="268" w:lineRule="exact"/>
        <w:ind w:left="4512" w:right="0" w:hanging="420"/>
        <w:jc w:val="left"/>
        <w:rPr>
          <w:rFonts w:hint="eastAsia" w:ascii="黑体" w:eastAsia="黑体"/>
          <w:sz w:val="21"/>
        </w:rPr>
      </w:pPr>
      <w:bookmarkStart w:id="842" w:name="5.6自行车停放区"/>
      <w:bookmarkEnd w:id="842"/>
      <w:bookmarkStart w:id="843" w:name="_bookmark42"/>
      <w:bookmarkEnd w:id="843"/>
      <w:bookmarkStart w:id="844" w:name="_bookmark42"/>
      <w:bookmarkEnd w:id="844"/>
      <w:r>
        <w:rPr>
          <w:rFonts w:hint="eastAsia" w:ascii="黑体" w:eastAsia="黑体"/>
          <w:sz w:val="21"/>
        </w:rPr>
        <w:t>自行车停放区</w:t>
      </w:r>
    </w:p>
    <w:p>
      <w:pPr>
        <w:pStyle w:val="5"/>
        <w:spacing w:before="6"/>
        <w:rPr>
          <w:rFonts w:ascii="黑体"/>
          <w:sz w:val="15"/>
        </w:rPr>
      </w:pPr>
    </w:p>
    <w:p>
      <w:pPr>
        <w:pStyle w:val="12"/>
        <w:numPr>
          <w:ilvl w:val="2"/>
          <w:numId w:val="179"/>
        </w:numPr>
        <w:tabs>
          <w:tab w:val="left" w:pos="965"/>
        </w:tabs>
        <w:spacing w:before="0" w:after="0" w:line="417" w:lineRule="auto"/>
        <w:ind w:left="112" w:right="212" w:firstLine="0"/>
        <w:jc w:val="both"/>
        <w:rPr>
          <w:sz w:val="21"/>
        </w:rPr>
      </w:pPr>
      <w:bookmarkStart w:id="845" w:name="5.6.1本条规定了自行车停放区的无障碍设计要求。近年来，共享单车的出现和绿色出"/>
      <w:bookmarkEnd w:id="845"/>
      <w:bookmarkStart w:id="846" w:name="5.6.1本条规定了自行车停放区的无障碍设计要求。近年来，共享单车的出现和绿色出"/>
      <w:bookmarkEnd w:id="846"/>
      <w:r>
        <w:rPr>
          <w:spacing w:val="-2"/>
          <w:w w:val="95"/>
          <w:sz w:val="21"/>
        </w:rPr>
        <w:t xml:space="preserve">本条规定了自行车停放区的无障碍设计要求。近年来，共享单车的出现和绿色出行的倡导增加了   </w:t>
      </w:r>
      <w:r>
        <w:rPr>
          <w:spacing w:val="-5"/>
          <w:w w:val="95"/>
          <w:sz w:val="21"/>
        </w:rPr>
        <w:t xml:space="preserve">道路自行车停放区的需求。为了避免自行车停放对其他交通方式的影响，参照《城市公共自行车交通服务   </w:t>
      </w:r>
      <w:r>
        <w:rPr>
          <w:spacing w:val="2"/>
          <w:sz w:val="21"/>
        </w:rPr>
        <w:t>规范》</w:t>
      </w:r>
      <w:r>
        <w:rPr>
          <w:rFonts w:hint="eastAsia" w:ascii="仿宋" w:eastAsia="仿宋"/>
          <w:sz w:val="21"/>
        </w:rPr>
        <w:t>GB</w:t>
      </w:r>
      <w:r>
        <w:rPr>
          <w:sz w:val="21"/>
        </w:rPr>
        <w:t>/</w:t>
      </w:r>
      <w:r>
        <w:rPr>
          <w:rFonts w:hint="eastAsia" w:ascii="仿宋" w:eastAsia="仿宋"/>
          <w:sz w:val="21"/>
        </w:rPr>
        <w:t>T</w:t>
      </w:r>
      <w:r>
        <w:rPr>
          <w:rFonts w:hint="eastAsia" w:ascii="仿宋" w:eastAsia="仿宋"/>
          <w:spacing w:val="-1"/>
          <w:sz w:val="21"/>
        </w:rPr>
        <w:t xml:space="preserve"> </w:t>
      </w:r>
      <w:r>
        <w:rPr>
          <w:sz w:val="21"/>
        </w:rPr>
        <w:t>32842-2016</w:t>
      </w:r>
      <w:r>
        <w:rPr>
          <w:spacing w:val="-5"/>
          <w:sz w:val="21"/>
        </w:rPr>
        <w:t xml:space="preserve"> 和《北京市自行车停放区设置技术导则》</w:t>
      </w:r>
      <w:r>
        <w:rPr>
          <w:rFonts w:hint="eastAsia" w:ascii="仿宋" w:eastAsia="仿宋"/>
          <w:sz w:val="21"/>
        </w:rPr>
        <w:t>BJJT</w:t>
      </w:r>
      <w:r>
        <w:rPr>
          <w:sz w:val="21"/>
        </w:rPr>
        <w:t>/</w:t>
      </w:r>
      <w:r>
        <w:rPr>
          <w:rFonts w:hint="eastAsia" w:ascii="仿宋" w:eastAsia="仿宋"/>
          <w:sz w:val="21"/>
        </w:rPr>
        <w:t xml:space="preserve">J </w:t>
      </w:r>
      <w:r>
        <w:rPr>
          <w:sz w:val="21"/>
        </w:rPr>
        <w:t>116-2017</w:t>
      </w:r>
      <w:r>
        <w:rPr>
          <w:spacing w:val="-6"/>
          <w:sz w:val="21"/>
        </w:rPr>
        <w:t xml:space="preserve"> 有关规定制定本条内容。</w:t>
      </w:r>
    </w:p>
    <w:p>
      <w:pPr>
        <w:pStyle w:val="12"/>
        <w:numPr>
          <w:ilvl w:val="3"/>
          <w:numId w:val="179"/>
        </w:numPr>
        <w:tabs>
          <w:tab w:val="left" w:pos="960"/>
        </w:tabs>
        <w:spacing w:before="0" w:after="0" w:line="268" w:lineRule="exact"/>
        <w:ind w:left="960" w:right="0" w:hanging="423"/>
        <w:jc w:val="both"/>
        <w:rPr>
          <w:rFonts w:ascii="Calibri" w:eastAsia="Calibri"/>
          <w:sz w:val="21"/>
        </w:rPr>
      </w:pPr>
      <w:r>
        <w:rPr>
          <w:sz w:val="21"/>
        </w:rPr>
        <w:t>根据停车需求，在非机动车道一侧可采用地面划线形式设置自行车停放区。</w:t>
      </w:r>
    </w:p>
    <w:p>
      <w:pPr>
        <w:pStyle w:val="5"/>
        <w:spacing w:before="7"/>
        <w:rPr>
          <w:sz w:val="15"/>
        </w:rPr>
      </w:pPr>
    </w:p>
    <w:p>
      <w:pPr>
        <w:pStyle w:val="12"/>
        <w:numPr>
          <w:ilvl w:val="3"/>
          <w:numId w:val="179"/>
        </w:numPr>
        <w:tabs>
          <w:tab w:val="left" w:pos="959"/>
          <w:tab w:val="left" w:pos="960"/>
        </w:tabs>
        <w:spacing w:before="0" w:after="0" w:line="240" w:lineRule="auto"/>
        <w:ind w:left="960" w:right="0" w:hanging="423"/>
        <w:jc w:val="left"/>
        <w:rPr>
          <w:rFonts w:ascii="Calibri" w:eastAsia="Calibri"/>
          <w:sz w:val="21"/>
        </w:rPr>
      </w:pPr>
      <w:r>
        <w:rPr>
          <w:sz w:val="21"/>
        </w:rPr>
        <w:t>自行车停放区的设置不应影响行人和车辆的正常通行。</w:t>
      </w:r>
    </w:p>
    <w:p>
      <w:pPr>
        <w:spacing w:after="0" w:line="240" w:lineRule="auto"/>
        <w:jc w:val="left"/>
        <w:rPr>
          <w:rFonts w:ascii="Calibri" w:eastAsia="Calibri"/>
          <w:sz w:val="21"/>
        </w:rPr>
        <w:sectPr>
          <w:pgSz w:w="11910" w:h="16840"/>
          <w:pgMar w:top="1580" w:right="920" w:bottom="1160" w:left="1020" w:header="0" w:footer="975" w:gutter="0"/>
          <w:cols w:space="720" w:num="1"/>
        </w:sectPr>
      </w:pPr>
    </w:p>
    <w:p>
      <w:pPr>
        <w:pStyle w:val="2"/>
        <w:numPr>
          <w:ilvl w:val="4"/>
          <w:numId w:val="179"/>
        </w:numPr>
        <w:tabs>
          <w:tab w:val="left" w:pos="4499"/>
          <w:tab w:val="left" w:pos="4500"/>
        </w:tabs>
        <w:spacing w:before="68" w:after="0" w:line="240" w:lineRule="auto"/>
        <w:ind w:left="4500" w:right="0" w:hanging="420"/>
        <w:jc w:val="left"/>
      </w:pPr>
      <w:bookmarkStart w:id="847" w:name="6城市广场"/>
      <w:bookmarkEnd w:id="847"/>
      <w:bookmarkStart w:id="848" w:name="_bookmark43"/>
      <w:bookmarkEnd w:id="848"/>
      <w:r>
        <w:t>城市广场</w:t>
      </w:r>
    </w:p>
    <w:p>
      <w:pPr>
        <w:pStyle w:val="12"/>
        <w:numPr>
          <w:ilvl w:val="5"/>
          <w:numId w:val="179"/>
        </w:numPr>
        <w:tabs>
          <w:tab w:val="left" w:pos="4724"/>
        </w:tabs>
        <w:spacing w:before="206" w:after="0" w:line="240" w:lineRule="auto"/>
        <w:ind w:left="4723" w:right="0" w:hanging="421"/>
        <w:jc w:val="left"/>
        <w:rPr>
          <w:rFonts w:hint="eastAsia" w:ascii="黑体" w:eastAsia="黑体"/>
          <w:sz w:val="21"/>
        </w:rPr>
      </w:pPr>
      <w:bookmarkStart w:id="849" w:name="6.1一般规定"/>
      <w:bookmarkEnd w:id="849"/>
      <w:bookmarkStart w:id="850" w:name="_bookmark44"/>
      <w:bookmarkEnd w:id="850"/>
      <w:bookmarkStart w:id="851" w:name="_bookmark44"/>
      <w:bookmarkEnd w:id="851"/>
      <w:r>
        <w:rPr>
          <w:rFonts w:hint="eastAsia" w:ascii="黑体" w:eastAsia="黑体"/>
          <w:sz w:val="21"/>
        </w:rPr>
        <w:t>一般规定</w:t>
      </w:r>
    </w:p>
    <w:p>
      <w:pPr>
        <w:pStyle w:val="5"/>
        <w:spacing w:before="6"/>
        <w:rPr>
          <w:rFonts w:ascii="黑体"/>
          <w:sz w:val="15"/>
        </w:rPr>
      </w:pPr>
    </w:p>
    <w:p>
      <w:pPr>
        <w:pStyle w:val="5"/>
        <w:tabs>
          <w:tab w:val="left" w:pos="964"/>
        </w:tabs>
        <w:spacing w:before="1"/>
        <w:ind w:left="112"/>
      </w:pPr>
      <w:r>
        <w:rPr>
          <w:b/>
        </w:rPr>
        <w:t>6.1.1</w:t>
      </w:r>
      <w:r>
        <w:rPr>
          <w:b/>
        </w:rPr>
        <w:tab/>
      </w:r>
      <w:bookmarkStart w:id="852" w:name="6.1.1城市广场通常为与城市道路相连接的社会公共用地。参照《城市道路工程设计规"/>
      <w:bookmarkEnd w:id="852"/>
      <w:r>
        <w:rPr>
          <w:spacing w:val="-5"/>
        </w:rPr>
        <w:t>城市广场通常为与城市道路相连接的社会公共用地。参照《城市道路工程设计规范》</w:t>
      </w:r>
      <w:r>
        <w:rPr>
          <w:rFonts w:hint="eastAsia" w:ascii="仿宋" w:eastAsia="仿宋"/>
        </w:rPr>
        <w:t>CJJ</w:t>
      </w:r>
      <w:r>
        <w:rPr>
          <w:rFonts w:hint="eastAsia" w:ascii="仿宋" w:eastAsia="仿宋"/>
          <w:spacing w:val="-58"/>
        </w:rPr>
        <w:t xml:space="preserve"> </w:t>
      </w:r>
      <w:r>
        <w:t>37-2012</w:t>
      </w:r>
    </w:p>
    <w:p>
      <w:pPr>
        <w:pStyle w:val="5"/>
        <w:spacing w:before="6"/>
        <w:rPr>
          <w:sz w:val="15"/>
        </w:rPr>
      </w:pPr>
    </w:p>
    <w:p>
      <w:pPr>
        <w:pStyle w:val="5"/>
        <w:spacing w:line="417" w:lineRule="auto"/>
        <w:ind w:left="112" w:right="212"/>
      </w:pPr>
      <w:r>
        <w:t>（2016</w:t>
      </w:r>
      <w:r>
        <w:rPr>
          <w:spacing w:val="-17"/>
        </w:rPr>
        <w:t xml:space="preserve"> 年版</w:t>
      </w:r>
      <w:r>
        <w:t>）</w:t>
      </w:r>
      <w:r>
        <w:rPr>
          <w:spacing w:val="-23"/>
        </w:rPr>
        <w:t xml:space="preserve">第 </w:t>
      </w:r>
      <w:r>
        <w:t>11.3.1</w:t>
      </w:r>
      <w:r>
        <w:rPr>
          <w:spacing w:val="-7"/>
        </w:rPr>
        <w:t xml:space="preserve"> 条“城市广场按其性质、用途可分为公共活动广场、集散广场、交通广场、纪念性广场与商业广场等。”结合深圳市实际情况，本条将其归并为四类。</w:t>
      </w:r>
    </w:p>
    <w:p>
      <w:pPr>
        <w:pStyle w:val="5"/>
        <w:tabs>
          <w:tab w:val="left" w:pos="964"/>
        </w:tabs>
        <w:spacing w:line="269" w:lineRule="exact"/>
        <w:ind w:left="112"/>
      </w:pPr>
      <w:r>
        <w:rPr>
          <w:b/>
        </w:rPr>
        <w:t>6.1.5</w:t>
      </w:r>
      <w:r>
        <w:rPr>
          <w:b/>
        </w:rPr>
        <w:tab/>
      </w:r>
      <w:bookmarkStart w:id="853" w:name="6.1.5城市广场宜配建下列无障碍设施，如表6.1.5。"/>
      <w:bookmarkEnd w:id="853"/>
      <w:r>
        <w:rPr>
          <w:spacing w:val="-4"/>
        </w:rPr>
        <w:t xml:space="preserve">城市广场宜配建下列无障碍设施，如表 </w:t>
      </w:r>
      <w:r>
        <w:t>6.1.5。</w:t>
      </w:r>
    </w:p>
    <w:p>
      <w:pPr>
        <w:pStyle w:val="5"/>
        <w:spacing w:before="7"/>
        <w:rPr>
          <w:sz w:val="15"/>
        </w:rPr>
      </w:pPr>
    </w:p>
    <w:p>
      <w:pPr>
        <w:pStyle w:val="12"/>
        <w:numPr>
          <w:ilvl w:val="5"/>
          <w:numId w:val="179"/>
        </w:numPr>
        <w:tabs>
          <w:tab w:val="left" w:pos="4724"/>
        </w:tabs>
        <w:spacing w:before="0" w:after="0" w:line="240" w:lineRule="auto"/>
        <w:ind w:left="4723" w:right="0" w:hanging="421"/>
        <w:jc w:val="left"/>
        <w:rPr>
          <w:rFonts w:hint="eastAsia" w:ascii="黑体" w:eastAsia="黑体"/>
          <w:sz w:val="21"/>
        </w:rPr>
      </w:pPr>
      <w:bookmarkStart w:id="854" w:name="6.2技术要求"/>
      <w:bookmarkEnd w:id="854"/>
      <w:bookmarkStart w:id="855" w:name="_bookmark45"/>
      <w:bookmarkEnd w:id="855"/>
      <w:bookmarkStart w:id="856" w:name="_bookmark45"/>
      <w:bookmarkEnd w:id="856"/>
      <w:r>
        <w:rPr>
          <w:rFonts w:hint="eastAsia" w:ascii="黑体" w:eastAsia="黑体"/>
          <w:sz w:val="21"/>
        </w:rPr>
        <w:t>技术要求</w:t>
      </w:r>
    </w:p>
    <w:p>
      <w:pPr>
        <w:pStyle w:val="5"/>
        <w:spacing w:before="7"/>
        <w:rPr>
          <w:rFonts w:ascii="黑体"/>
          <w:sz w:val="15"/>
        </w:rPr>
      </w:pPr>
    </w:p>
    <w:p>
      <w:pPr>
        <w:pStyle w:val="12"/>
        <w:numPr>
          <w:ilvl w:val="2"/>
          <w:numId w:val="180"/>
        </w:numPr>
        <w:tabs>
          <w:tab w:val="left" w:pos="964"/>
          <w:tab w:val="left" w:pos="965"/>
        </w:tabs>
        <w:spacing w:before="0" w:after="0" w:line="417" w:lineRule="auto"/>
        <w:ind w:left="112" w:right="212" w:firstLine="0"/>
        <w:jc w:val="left"/>
        <w:rPr>
          <w:sz w:val="21"/>
        </w:rPr>
      </w:pPr>
      <w:bookmarkStart w:id="857" w:name="6.2.1考虑到乘轮椅者乘坐公共交通工具及出租车达到城市广场的情况，本条规定城市"/>
      <w:bookmarkEnd w:id="857"/>
      <w:bookmarkStart w:id="858" w:name="6.2.1考虑到乘轮椅者乘坐公共交通工具及出租车达到城市广场的情况，本条规定城市"/>
      <w:bookmarkEnd w:id="858"/>
      <w:r>
        <w:rPr>
          <w:spacing w:val="-2"/>
          <w:w w:val="95"/>
          <w:sz w:val="21"/>
        </w:rPr>
        <w:t xml:space="preserve">考虑到乘轮椅者乘坐公共交通工具及出租车达到城市广场的情况，本条规定城市广场附近的公交   </w:t>
      </w:r>
      <w:r>
        <w:rPr>
          <w:spacing w:val="-2"/>
          <w:sz w:val="21"/>
        </w:rPr>
        <w:t>车站、轨道交通车站出入口及出租车停靠点应注重无障碍设计，便于乘轮椅者的通行与使用。</w:t>
      </w:r>
    </w:p>
    <w:p>
      <w:pPr>
        <w:pStyle w:val="12"/>
        <w:numPr>
          <w:ilvl w:val="2"/>
          <w:numId w:val="180"/>
        </w:numPr>
        <w:tabs>
          <w:tab w:val="left" w:pos="964"/>
          <w:tab w:val="left" w:pos="965"/>
        </w:tabs>
        <w:spacing w:before="0" w:after="0" w:line="269" w:lineRule="exact"/>
        <w:ind w:left="964" w:right="0" w:hanging="853"/>
        <w:jc w:val="left"/>
        <w:rPr>
          <w:sz w:val="21"/>
        </w:rPr>
      </w:pPr>
      <w:bookmarkStart w:id="859" w:name="6.2.2本条规定了城市广场内公共停车场的无障碍设计要求。"/>
      <w:bookmarkEnd w:id="859"/>
      <w:bookmarkStart w:id="860" w:name="6.2.2本条规定了城市广场内公共停车场的无障碍设计要求。"/>
      <w:bookmarkEnd w:id="860"/>
      <w:r>
        <w:rPr>
          <w:sz w:val="21"/>
        </w:rPr>
        <w:t>本条规定了城市广场内公共停车场的无障碍设计要求。</w:t>
      </w:r>
    </w:p>
    <w:p>
      <w:pPr>
        <w:pStyle w:val="5"/>
        <w:spacing w:before="6"/>
        <w:rPr>
          <w:sz w:val="15"/>
        </w:rPr>
      </w:pPr>
    </w:p>
    <w:p>
      <w:pPr>
        <w:pStyle w:val="5"/>
        <w:tabs>
          <w:tab w:val="left" w:pos="1274"/>
        </w:tabs>
        <w:spacing w:before="1"/>
        <w:ind w:left="540"/>
      </w:pPr>
      <w:r>
        <w:t>1、2</w:t>
      </w:r>
      <w:r>
        <w:tab/>
      </w:r>
      <w:r>
        <w:t>人车分流、设置隔离等措施，可有效保障行人安全，提高通行效率。</w:t>
      </w:r>
    </w:p>
    <w:p>
      <w:pPr>
        <w:pStyle w:val="5"/>
        <w:spacing w:before="6"/>
        <w:rPr>
          <w:sz w:val="15"/>
        </w:rPr>
      </w:pPr>
    </w:p>
    <w:p>
      <w:pPr>
        <w:pStyle w:val="12"/>
        <w:numPr>
          <w:ilvl w:val="3"/>
          <w:numId w:val="179"/>
        </w:numPr>
        <w:tabs>
          <w:tab w:val="left" w:pos="959"/>
          <w:tab w:val="left" w:pos="960"/>
        </w:tabs>
        <w:spacing w:before="0" w:after="0" w:line="417" w:lineRule="auto"/>
        <w:ind w:left="112" w:right="138" w:firstLine="427"/>
        <w:jc w:val="left"/>
        <w:rPr>
          <w:sz w:val="21"/>
        </w:rPr>
      </w:pPr>
      <w:r>
        <w:rPr>
          <w:spacing w:val="-8"/>
          <w:sz w:val="21"/>
        </w:rPr>
        <w:t xml:space="preserve">根据《深圳市城市规划标准与准则》第 </w:t>
      </w:r>
      <w:r>
        <w:rPr>
          <w:sz w:val="21"/>
        </w:rPr>
        <w:t>6.4.2.4</w:t>
      </w:r>
      <w:r>
        <w:rPr>
          <w:spacing w:val="-9"/>
          <w:sz w:val="21"/>
        </w:rPr>
        <w:t xml:space="preserve"> 条规定“所有停车场库均应在停车场最方便的位</w:t>
      </w:r>
      <w:r>
        <w:rPr>
          <w:spacing w:val="-10"/>
          <w:sz w:val="21"/>
        </w:rPr>
        <w:t xml:space="preserve">置，为残疾人提供不小于停车位总数 </w:t>
      </w:r>
      <w:r>
        <w:rPr>
          <w:sz w:val="21"/>
        </w:rPr>
        <w:t>2</w:t>
      </w:r>
      <w:r>
        <w:rPr>
          <w:spacing w:val="-9"/>
          <w:sz w:val="21"/>
        </w:rPr>
        <w:t xml:space="preserve">%的无障碍停车位，比例不足 </w:t>
      </w:r>
      <w:r>
        <w:rPr>
          <w:sz w:val="21"/>
        </w:rPr>
        <w:t>1</w:t>
      </w:r>
      <w:r>
        <w:rPr>
          <w:spacing w:val="-12"/>
          <w:sz w:val="21"/>
        </w:rPr>
        <w:t xml:space="preserve"> 个无障碍车位至少设置 </w:t>
      </w:r>
      <w:r>
        <w:rPr>
          <w:sz w:val="21"/>
        </w:rPr>
        <w:t>1</w:t>
      </w:r>
      <w:r>
        <w:rPr>
          <w:spacing w:val="-10"/>
          <w:sz w:val="21"/>
        </w:rPr>
        <w:t xml:space="preserve"> 个无障碍车位。”本款将《无障碍设计规范》</w:t>
      </w:r>
      <w:r>
        <w:rPr>
          <w:rFonts w:hint="eastAsia" w:ascii="仿宋" w:hAnsi="仿宋" w:eastAsia="仿宋"/>
          <w:spacing w:val="-10"/>
          <w:sz w:val="21"/>
        </w:rPr>
        <w:t>GB</w:t>
      </w:r>
      <w:r>
        <w:rPr>
          <w:spacing w:val="-10"/>
          <w:sz w:val="21"/>
        </w:rPr>
        <w:t>50763-2012</w:t>
      </w:r>
      <w:r>
        <w:rPr>
          <w:spacing w:val="-40"/>
          <w:sz w:val="21"/>
        </w:rPr>
        <w:t xml:space="preserve"> 第 </w:t>
      </w:r>
      <w:r>
        <w:rPr>
          <w:sz w:val="21"/>
        </w:rPr>
        <w:t>5.2.1</w:t>
      </w:r>
      <w:r>
        <w:rPr>
          <w:spacing w:val="-8"/>
          <w:sz w:val="21"/>
        </w:rPr>
        <w:t xml:space="preserve"> 条简化，并根据《深圳市城市规划标准与准则》规定无障碍机动车停车位数量比例要求。</w:t>
      </w:r>
    </w:p>
    <w:p>
      <w:pPr>
        <w:pStyle w:val="12"/>
        <w:numPr>
          <w:ilvl w:val="2"/>
          <w:numId w:val="180"/>
        </w:numPr>
        <w:tabs>
          <w:tab w:val="left" w:pos="964"/>
          <w:tab w:val="left" w:pos="965"/>
        </w:tabs>
        <w:spacing w:before="0" w:after="0" w:line="417" w:lineRule="auto"/>
        <w:ind w:left="112" w:right="211" w:firstLine="0"/>
        <w:jc w:val="left"/>
        <w:rPr>
          <w:sz w:val="21"/>
        </w:rPr>
      </w:pPr>
      <w:bookmarkStart w:id="861" w:name="6.2.3本条规定了城市广场地面的无障碍设计要求。参照《城市道路工程设计规范》C"/>
      <w:bookmarkEnd w:id="861"/>
      <w:bookmarkStart w:id="862" w:name="6.2.3本条规定了城市广场地面的无障碍设计要求。参照《城市道路工程设计规范》C"/>
      <w:bookmarkEnd w:id="862"/>
      <w:r>
        <w:rPr>
          <w:spacing w:val="-3"/>
          <w:sz w:val="21"/>
        </w:rPr>
        <w:t>本条规定了城市广场地面的无障碍设计要求。参照《城市道路工程设计规范》</w:t>
      </w:r>
      <w:r>
        <w:rPr>
          <w:rFonts w:hint="eastAsia" w:ascii="仿宋" w:eastAsia="仿宋"/>
          <w:sz w:val="21"/>
        </w:rPr>
        <w:t>CJJ</w:t>
      </w:r>
      <w:r>
        <w:rPr>
          <w:rFonts w:hint="eastAsia" w:ascii="仿宋" w:eastAsia="仿宋"/>
          <w:spacing w:val="-81"/>
          <w:sz w:val="21"/>
        </w:rPr>
        <w:t xml:space="preserve"> </w:t>
      </w:r>
      <w:r>
        <w:rPr>
          <w:sz w:val="21"/>
        </w:rPr>
        <w:t>37-2012（2016 年版）有关规定制定本条内容。</w:t>
      </w:r>
    </w:p>
    <w:p>
      <w:pPr>
        <w:pStyle w:val="12"/>
        <w:numPr>
          <w:ilvl w:val="0"/>
          <w:numId w:val="181"/>
        </w:numPr>
        <w:tabs>
          <w:tab w:val="left" w:pos="959"/>
          <w:tab w:val="left" w:pos="960"/>
        </w:tabs>
        <w:spacing w:before="0" w:after="0" w:line="417" w:lineRule="auto"/>
        <w:ind w:left="112" w:right="212" w:firstLine="427"/>
        <w:jc w:val="left"/>
        <w:rPr>
          <w:sz w:val="21"/>
        </w:rPr>
      </w:pPr>
      <w:r>
        <w:rPr>
          <w:spacing w:val="-2"/>
          <w:w w:val="95"/>
          <w:sz w:val="21"/>
        </w:rPr>
        <w:t xml:space="preserve">广场铺装不宜选用光面花岗岩材质。铺装材料防滑要求应符合现行行业标准《建筑地面工程防滑   </w:t>
      </w:r>
      <w:r>
        <w:rPr>
          <w:spacing w:val="-2"/>
          <w:sz w:val="21"/>
        </w:rPr>
        <w:t>技术规程》</w:t>
      </w:r>
      <w:r>
        <w:rPr>
          <w:rFonts w:hint="eastAsia" w:ascii="仿宋" w:eastAsia="仿宋"/>
          <w:spacing w:val="-2"/>
          <w:sz w:val="21"/>
        </w:rPr>
        <w:t xml:space="preserve">JGJ／T </w:t>
      </w:r>
      <w:r>
        <w:rPr>
          <w:sz w:val="21"/>
        </w:rPr>
        <w:t>331</w:t>
      </w:r>
      <w:r>
        <w:rPr>
          <w:spacing w:val="-10"/>
          <w:sz w:val="21"/>
        </w:rPr>
        <w:t xml:space="preserve"> 有关规定。</w:t>
      </w:r>
    </w:p>
    <w:p>
      <w:pPr>
        <w:pStyle w:val="12"/>
        <w:numPr>
          <w:ilvl w:val="0"/>
          <w:numId w:val="181"/>
        </w:numPr>
        <w:tabs>
          <w:tab w:val="left" w:pos="959"/>
          <w:tab w:val="left" w:pos="960"/>
        </w:tabs>
        <w:spacing w:before="0" w:after="0" w:line="417" w:lineRule="auto"/>
        <w:ind w:left="112" w:right="104" w:firstLine="427"/>
        <w:jc w:val="left"/>
        <w:rPr>
          <w:sz w:val="21"/>
        </w:rPr>
      </w:pPr>
      <w:r>
        <w:rPr>
          <w:spacing w:val="-4"/>
          <w:sz w:val="21"/>
        </w:rPr>
        <w:t>参照《城市道路工程设计规范》</w:t>
      </w:r>
      <w:r>
        <w:rPr>
          <w:rFonts w:hint="eastAsia" w:ascii="仿宋" w:hAnsi="仿宋" w:eastAsia="仿宋"/>
          <w:sz w:val="21"/>
        </w:rPr>
        <w:t>CJJ</w:t>
      </w:r>
      <w:r>
        <w:rPr>
          <w:rFonts w:hint="eastAsia" w:ascii="仿宋" w:hAnsi="仿宋" w:eastAsia="仿宋"/>
          <w:spacing w:val="-56"/>
          <w:sz w:val="21"/>
        </w:rPr>
        <w:t xml:space="preserve"> </w:t>
      </w:r>
      <w:r>
        <w:rPr>
          <w:sz w:val="21"/>
        </w:rPr>
        <w:t>37-2012（2016</w:t>
      </w:r>
      <w:r>
        <w:rPr>
          <w:spacing w:val="-19"/>
          <w:sz w:val="21"/>
        </w:rPr>
        <w:t xml:space="preserve"> 年版</w:t>
      </w:r>
      <w:r>
        <w:rPr>
          <w:spacing w:val="-5"/>
          <w:sz w:val="21"/>
        </w:rPr>
        <w:t>）</w:t>
      </w:r>
      <w:r>
        <w:rPr>
          <w:spacing w:val="-28"/>
          <w:sz w:val="21"/>
        </w:rPr>
        <w:t xml:space="preserve">第 </w:t>
      </w:r>
      <w:r>
        <w:rPr>
          <w:sz w:val="21"/>
        </w:rPr>
        <w:t>11.3.4</w:t>
      </w:r>
      <w:r>
        <w:rPr>
          <w:spacing w:val="-28"/>
          <w:sz w:val="21"/>
        </w:rPr>
        <w:t xml:space="preserve"> 条第 </w:t>
      </w:r>
      <w:r>
        <w:rPr>
          <w:sz w:val="21"/>
        </w:rPr>
        <w:t>2</w:t>
      </w:r>
      <w:r>
        <w:rPr>
          <w:spacing w:val="-8"/>
          <w:sz w:val="21"/>
        </w:rPr>
        <w:t xml:space="preserve"> 款“广场设计坡度宜</w:t>
      </w:r>
      <w:r>
        <w:rPr>
          <w:spacing w:val="-34"/>
          <w:sz w:val="21"/>
        </w:rPr>
        <w:t xml:space="preserve">为 </w:t>
      </w:r>
      <w:r>
        <w:rPr>
          <w:sz w:val="21"/>
        </w:rPr>
        <w:t>0.3％～3.0</w:t>
      </w:r>
      <w:r>
        <w:rPr>
          <w:spacing w:val="-7"/>
          <w:sz w:val="21"/>
        </w:rPr>
        <w:t xml:space="preserve">％。地形困难时，可建成阶梯式。”本款规定广场应做好竖向设计，最小坡度控制在 </w:t>
      </w:r>
      <w:r>
        <w:rPr>
          <w:sz w:val="21"/>
        </w:rPr>
        <w:t xml:space="preserve">0.3%， </w:t>
      </w:r>
      <w:r>
        <w:rPr>
          <w:spacing w:val="-4"/>
          <w:sz w:val="21"/>
        </w:rPr>
        <w:t>并向雨水井集水。为处理竖向高差可利用台阶、坡道处理。广场最小纵坡控制是为了满足径流排水，最大纵坡控制是考虑停车时手闸制动不溜车。</w:t>
      </w:r>
    </w:p>
    <w:p>
      <w:pPr>
        <w:pStyle w:val="12"/>
        <w:numPr>
          <w:ilvl w:val="0"/>
          <w:numId w:val="181"/>
        </w:numPr>
        <w:tabs>
          <w:tab w:val="left" w:pos="960"/>
        </w:tabs>
        <w:spacing w:before="0" w:after="0" w:line="417" w:lineRule="auto"/>
        <w:ind w:left="112" w:right="207" w:firstLine="427"/>
        <w:jc w:val="both"/>
        <w:rPr>
          <w:sz w:val="21"/>
        </w:rPr>
      </w:pPr>
      <w:r>
        <w:rPr>
          <w:spacing w:val="-4"/>
          <w:sz w:val="21"/>
        </w:rPr>
        <w:t>参照《城市道路工程设计规范》</w:t>
      </w:r>
      <w:r>
        <w:rPr>
          <w:rFonts w:hint="eastAsia" w:ascii="仿宋" w:hAnsi="仿宋" w:eastAsia="仿宋"/>
          <w:sz w:val="21"/>
        </w:rPr>
        <w:t>CJJ</w:t>
      </w:r>
      <w:r>
        <w:rPr>
          <w:rFonts w:hint="eastAsia" w:ascii="仿宋" w:hAnsi="仿宋" w:eastAsia="仿宋"/>
          <w:spacing w:val="-57"/>
          <w:sz w:val="21"/>
        </w:rPr>
        <w:t xml:space="preserve"> </w:t>
      </w:r>
      <w:r>
        <w:rPr>
          <w:sz w:val="21"/>
        </w:rPr>
        <w:t>37-2012（2016</w:t>
      </w:r>
      <w:r>
        <w:rPr>
          <w:spacing w:val="-19"/>
          <w:sz w:val="21"/>
        </w:rPr>
        <w:t xml:space="preserve"> 年版</w:t>
      </w:r>
      <w:r>
        <w:rPr>
          <w:spacing w:val="-5"/>
          <w:sz w:val="21"/>
        </w:rPr>
        <w:t>）</w:t>
      </w:r>
      <w:r>
        <w:rPr>
          <w:spacing w:val="-28"/>
          <w:sz w:val="21"/>
        </w:rPr>
        <w:t xml:space="preserve">第 </w:t>
      </w:r>
      <w:r>
        <w:rPr>
          <w:sz w:val="21"/>
        </w:rPr>
        <w:t>11.3.4</w:t>
      </w:r>
      <w:r>
        <w:rPr>
          <w:spacing w:val="-28"/>
          <w:sz w:val="21"/>
        </w:rPr>
        <w:t xml:space="preserve"> 条第 </w:t>
      </w:r>
      <w:r>
        <w:rPr>
          <w:sz w:val="21"/>
        </w:rPr>
        <w:t>3</w:t>
      </w:r>
      <w:r>
        <w:rPr>
          <w:spacing w:val="-8"/>
          <w:sz w:val="21"/>
        </w:rPr>
        <w:t xml:space="preserve"> 款“与广场相连接的</w:t>
      </w:r>
      <w:r>
        <w:rPr>
          <w:spacing w:val="-14"/>
          <w:sz w:val="21"/>
        </w:rPr>
        <w:t xml:space="preserve">道路纵坡宜为 </w:t>
      </w:r>
      <w:r>
        <w:rPr>
          <w:sz w:val="21"/>
        </w:rPr>
        <w:t>0.5％～2.0</w:t>
      </w:r>
      <w:r>
        <w:rPr>
          <w:spacing w:val="-5"/>
          <w:sz w:val="21"/>
        </w:rPr>
        <w:t xml:space="preserve">％。困难时纵坡不应大于 </w:t>
      </w:r>
      <w:r>
        <w:rPr>
          <w:sz w:val="21"/>
        </w:rPr>
        <w:t>7.0</w:t>
      </w:r>
      <w:r>
        <w:rPr>
          <w:spacing w:val="-4"/>
          <w:sz w:val="21"/>
        </w:rPr>
        <w:t xml:space="preserve">％，积雪及寒冷地区不应大于 </w:t>
      </w:r>
      <w:r>
        <w:rPr>
          <w:sz w:val="21"/>
        </w:rPr>
        <w:t>5.0％。”结合深圳</w:t>
      </w:r>
      <w:r>
        <w:rPr>
          <w:spacing w:val="-3"/>
          <w:sz w:val="21"/>
        </w:rPr>
        <w:t xml:space="preserve">市气候特征，本款规定与广场相连接的道路纵坡宜为 </w:t>
      </w:r>
      <w:r>
        <w:rPr>
          <w:sz w:val="21"/>
        </w:rPr>
        <w:t>0.5%～2.0</w:t>
      </w:r>
      <w:r>
        <w:rPr>
          <w:spacing w:val="-4"/>
          <w:sz w:val="21"/>
        </w:rPr>
        <w:t xml:space="preserve">%，高差较大时纵坡不应大于 </w:t>
      </w:r>
      <w:r>
        <w:rPr>
          <w:sz w:val="21"/>
        </w:rPr>
        <w:t>7.0%。</w:t>
      </w:r>
    </w:p>
    <w:p>
      <w:pPr>
        <w:pStyle w:val="12"/>
        <w:numPr>
          <w:ilvl w:val="0"/>
          <w:numId w:val="181"/>
        </w:numPr>
        <w:tabs>
          <w:tab w:val="left" w:pos="960"/>
        </w:tabs>
        <w:spacing w:before="0" w:after="0" w:line="417" w:lineRule="auto"/>
        <w:ind w:left="112" w:right="207" w:firstLine="427"/>
        <w:jc w:val="both"/>
        <w:rPr>
          <w:sz w:val="21"/>
        </w:rPr>
      </w:pPr>
      <w:r>
        <w:rPr>
          <w:spacing w:val="-4"/>
          <w:sz w:val="21"/>
        </w:rPr>
        <w:t>参照《城市道路工程设计规范》</w:t>
      </w:r>
      <w:r>
        <w:rPr>
          <w:rFonts w:hint="eastAsia" w:ascii="仿宋" w:hAnsi="仿宋" w:eastAsia="仿宋"/>
          <w:sz w:val="21"/>
        </w:rPr>
        <w:t>CJJ</w:t>
      </w:r>
      <w:r>
        <w:rPr>
          <w:rFonts w:hint="eastAsia" w:ascii="仿宋" w:hAnsi="仿宋" w:eastAsia="仿宋"/>
          <w:spacing w:val="-57"/>
          <w:sz w:val="21"/>
        </w:rPr>
        <w:t xml:space="preserve"> </w:t>
      </w:r>
      <w:r>
        <w:rPr>
          <w:sz w:val="21"/>
        </w:rPr>
        <w:t>37-2012（2016</w:t>
      </w:r>
      <w:r>
        <w:rPr>
          <w:spacing w:val="-19"/>
          <w:sz w:val="21"/>
        </w:rPr>
        <w:t xml:space="preserve"> 年版</w:t>
      </w:r>
      <w:r>
        <w:rPr>
          <w:spacing w:val="-5"/>
          <w:sz w:val="21"/>
        </w:rPr>
        <w:t>）</w:t>
      </w:r>
      <w:r>
        <w:rPr>
          <w:spacing w:val="-28"/>
          <w:sz w:val="21"/>
        </w:rPr>
        <w:t xml:space="preserve">第 </w:t>
      </w:r>
      <w:r>
        <w:rPr>
          <w:sz w:val="21"/>
        </w:rPr>
        <w:t>11.3.4</w:t>
      </w:r>
      <w:r>
        <w:rPr>
          <w:spacing w:val="-28"/>
          <w:sz w:val="21"/>
        </w:rPr>
        <w:t xml:space="preserve"> 条第 </w:t>
      </w:r>
      <w:r>
        <w:rPr>
          <w:sz w:val="21"/>
        </w:rPr>
        <w:t>4</w:t>
      </w:r>
      <w:r>
        <w:rPr>
          <w:spacing w:val="-8"/>
          <w:sz w:val="21"/>
        </w:rPr>
        <w:t xml:space="preserve"> 款“出入口处应设置</w:t>
      </w:r>
      <w:r>
        <w:rPr>
          <w:spacing w:val="-15"/>
          <w:sz w:val="21"/>
        </w:rPr>
        <w:t xml:space="preserve">纵坡小于或等于 </w:t>
      </w:r>
      <w:r>
        <w:rPr>
          <w:sz w:val="21"/>
        </w:rPr>
        <w:t>2．0％的缓坡段。”本款规定与广场衔接的道路应做缓坡处理，方便行动障碍者通行。</w:t>
      </w:r>
    </w:p>
    <w:p>
      <w:pPr>
        <w:pStyle w:val="12"/>
        <w:numPr>
          <w:ilvl w:val="2"/>
          <w:numId w:val="182"/>
        </w:numPr>
        <w:tabs>
          <w:tab w:val="left" w:pos="965"/>
        </w:tabs>
        <w:spacing w:before="0" w:after="0" w:line="269" w:lineRule="exact"/>
        <w:ind w:left="964" w:right="0" w:hanging="853"/>
        <w:jc w:val="both"/>
        <w:rPr>
          <w:sz w:val="21"/>
        </w:rPr>
      </w:pPr>
      <w:bookmarkStart w:id="863" w:name="6.2.5本条规定了城市广场内有关设施的无障碍设计要求。"/>
      <w:bookmarkEnd w:id="863"/>
      <w:bookmarkStart w:id="864" w:name="6.2.5本条规定了城市广场内有关设施的无障碍设计要求。"/>
      <w:bookmarkEnd w:id="864"/>
      <w:r>
        <w:rPr>
          <w:sz w:val="21"/>
        </w:rPr>
        <w:t>本条规定了城市广场内有关设施的无障碍设计要求。</w:t>
      </w:r>
    </w:p>
    <w:p>
      <w:pPr>
        <w:spacing w:after="0" w:line="269" w:lineRule="exact"/>
        <w:jc w:val="both"/>
        <w:rPr>
          <w:sz w:val="21"/>
        </w:rPr>
        <w:sectPr>
          <w:pgSz w:w="11910" w:h="16840"/>
          <w:pgMar w:top="1580" w:right="920" w:bottom="1160" w:left="1020" w:header="0" w:footer="975" w:gutter="0"/>
          <w:cols w:space="720" w:num="1"/>
        </w:sectPr>
      </w:pPr>
    </w:p>
    <w:p>
      <w:pPr>
        <w:pStyle w:val="5"/>
        <w:spacing w:before="60" w:line="417" w:lineRule="auto"/>
        <w:ind w:left="112" w:right="108" w:firstLine="427"/>
        <w:jc w:val="both"/>
      </w:pPr>
      <w:r>
        <w:t>2 参照《深圳市公共场所母婴室设计规程》</w:t>
      </w:r>
      <w:r>
        <w:rPr>
          <w:rFonts w:hint="eastAsia" w:ascii="仿宋" w:hAnsi="仿宋" w:eastAsia="仿宋"/>
        </w:rPr>
        <w:t xml:space="preserve">SJG </w:t>
      </w:r>
      <w:r>
        <w:t>54-2019</w:t>
      </w:r>
      <w:r>
        <w:rPr>
          <w:spacing w:val="-35"/>
        </w:rPr>
        <w:t xml:space="preserve"> 第 </w:t>
      </w:r>
      <w:r>
        <w:t>3.0.2</w:t>
      </w:r>
      <w:r>
        <w:rPr>
          <w:spacing w:val="-27"/>
        </w:rPr>
        <w:t xml:space="preserve"> 条第 </w:t>
      </w:r>
      <w:r>
        <w:t>1</w:t>
      </w:r>
      <w:r>
        <w:rPr>
          <w:spacing w:val="-7"/>
        </w:rPr>
        <w:t xml:space="preserve"> 款“所有母婴经常逗留的</w:t>
      </w:r>
      <w:r>
        <w:rPr>
          <w:spacing w:val="-1"/>
          <w:w w:val="99"/>
        </w:rPr>
        <w:t>公</w:t>
      </w:r>
      <w:r>
        <w:rPr>
          <w:spacing w:val="-5"/>
          <w:w w:val="99"/>
        </w:rPr>
        <w:t>共场所，宜设置使用面积不小于</w:t>
      </w:r>
      <w:r>
        <w:rPr>
          <w:spacing w:val="-5"/>
        </w:rPr>
        <w:t xml:space="preserve"> </w:t>
      </w:r>
      <w:r>
        <w:rPr>
          <w:w w:val="99"/>
        </w:rPr>
        <w:t>6</w:t>
      </w:r>
      <w:r>
        <w:rPr>
          <w:spacing w:val="-52"/>
        </w:rPr>
        <w:t xml:space="preserve"> </w:t>
      </w:r>
      <w:r>
        <w:rPr>
          <w:rFonts w:hint="eastAsia" w:ascii="仿宋" w:hAnsi="仿宋" w:eastAsia="仿宋"/>
          <w:spacing w:val="-2"/>
          <w:w w:val="99"/>
        </w:rPr>
        <w:t>m</w:t>
      </w:r>
      <w:r>
        <w:rPr>
          <w:w w:val="106"/>
          <w:position w:val="11"/>
          <w:sz w:val="10"/>
        </w:rPr>
        <w:t>2</w:t>
      </w:r>
      <w:r>
        <w:rPr>
          <w:position w:val="11"/>
          <w:sz w:val="10"/>
        </w:rPr>
        <w:t xml:space="preserve"> </w:t>
      </w:r>
      <w:r>
        <w:rPr>
          <w:spacing w:val="-8"/>
          <w:w w:val="99"/>
        </w:rPr>
        <w:t>的母婴室。”本条规定城市广场内母婴经常逗留处，宜设置母婴室。</w:t>
      </w:r>
    </w:p>
    <w:p>
      <w:pPr>
        <w:pStyle w:val="5"/>
        <w:spacing w:line="269" w:lineRule="exact"/>
        <w:ind w:left="540"/>
        <w:jc w:val="both"/>
      </w:pPr>
      <w:r>
        <w:t>5 采取有效安全防护措施的凸出物可除外。</w:t>
      </w:r>
    </w:p>
    <w:p>
      <w:pPr>
        <w:pStyle w:val="5"/>
        <w:spacing w:before="6"/>
        <w:rPr>
          <w:sz w:val="15"/>
        </w:rPr>
      </w:pPr>
    </w:p>
    <w:p>
      <w:pPr>
        <w:pStyle w:val="12"/>
        <w:numPr>
          <w:ilvl w:val="2"/>
          <w:numId w:val="182"/>
        </w:numPr>
        <w:tabs>
          <w:tab w:val="left" w:pos="965"/>
        </w:tabs>
        <w:spacing w:before="1" w:after="0" w:line="417" w:lineRule="auto"/>
        <w:ind w:left="112" w:right="210" w:firstLine="0"/>
        <w:jc w:val="both"/>
        <w:rPr>
          <w:sz w:val="21"/>
        </w:rPr>
      </w:pPr>
      <w:bookmarkStart w:id="865" w:name="6.2.6参照《深圳市公共场所母婴室设计规程》SJG 54-2019第11.3."/>
      <w:bookmarkEnd w:id="865"/>
      <w:bookmarkStart w:id="866" w:name="6.2.6参照《深圳市公共场所母婴室设计规程》SJG 54-2019第11.3."/>
      <w:bookmarkEnd w:id="866"/>
      <w:r>
        <w:rPr>
          <w:spacing w:val="-5"/>
          <w:sz w:val="21"/>
        </w:rPr>
        <w:t>参照《深圳市公共场所母婴室设计规程》</w:t>
      </w:r>
      <w:r>
        <w:rPr>
          <w:rFonts w:hint="eastAsia" w:ascii="仿宋" w:hAnsi="仿宋" w:eastAsia="仿宋"/>
          <w:sz w:val="21"/>
        </w:rPr>
        <w:t>SJG</w:t>
      </w:r>
      <w:r>
        <w:rPr>
          <w:rFonts w:hint="eastAsia" w:ascii="仿宋" w:hAnsi="仿宋" w:eastAsia="仿宋"/>
          <w:spacing w:val="-58"/>
          <w:sz w:val="21"/>
        </w:rPr>
        <w:t xml:space="preserve"> </w:t>
      </w:r>
      <w:r>
        <w:rPr>
          <w:sz w:val="21"/>
        </w:rPr>
        <w:t>54-2019</w:t>
      </w:r>
      <w:r>
        <w:rPr>
          <w:spacing w:val="-38"/>
          <w:sz w:val="21"/>
        </w:rPr>
        <w:t xml:space="preserve"> 第 </w:t>
      </w:r>
      <w:r>
        <w:rPr>
          <w:sz w:val="21"/>
        </w:rPr>
        <w:t>11.3.5</w:t>
      </w:r>
      <w:r>
        <w:rPr>
          <w:spacing w:val="-9"/>
          <w:sz w:val="21"/>
        </w:rPr>
        <w:t xml:space="preserve"> 条“广场与道路衔接的出入口设</w:t>
      </w:r>
      <w:r>
        <w:rPr>
          <w:spacing w:val="-9"/>
          <w:w w:val="95"/>
          <w:sz w:val="21"/>
        </w:rPr>
        <w:t xml:space="preserve">计应满足行车视距的要求。”本条规定车行与步行引导的相关标识尺寸、颜色位置应满足不同视距对于标   </w:t>
      </w:r>
      <w:r>
        <w:rPr>
          <w:spacing w:val="-9"/>
          <w:sz w:val="21"/>
        </w:rPr>
        <w:t>识可识别性的差异。人流量较大时应做好分流、导流，以策安全。</w:t>
      </w:r>
    </w:p>
    <w:p>
      <w:pPr>
        <w:spacing w:after="0" w:line="417" w:lineRule="auto"/>
        <w:jc w:val="both"/>
        <w:rPr>
          <w:sz w:val="21"/>
        </w:rPr>
        <w:sectPr>
          <w:pgSz w:w="11910" w:h="16840"/>
          <w:pgMar w:top="1580" w:right="920" w:bottom="1160" w:left="1020" w:header="0" w:footer="975" w:gutter="0"/>
          <w:cols w:space="720" w:num="1"/>
        </w:sectPr>
      </w:pPr>
    </w:p>
    <w:p>
      <w:pPr>
        <w:spacing w:before="135"/>
        <w:ind w:left="5728" w:right="5724" w:firstLine="0"/>
        <w:jc w:val="center"/>
        <w:rPr>
          <w:rFonts w:hint="eastAsia" w:ascii="黑体" w:eastAsia="黑体"/>
          <w:sz w:val="20"/>
        </w:rPr>
      </w:pPr>
      <w:r>
        <mc:AlternateContent>
          <mc:Choice Requires="wps">
            <w:drawing>
              <wp:anchor distT="0" distB="0" distL="114300" distR="114300" simplePos="0" relativeHeight="251674624" behindDoc="1" locked="0" layoutInCell="1" allowOverlap="1">
                <wp:simplePos x="0" y="0"/>
                <wp:positionH relativeFrom="page">
                  <wp:posOffset>723900</wp:posOffset>
                </wp:positionH>
                <wp:positionV relativeFrom="paragraph">
                  <wp:posOffset>326390</wp:posOffset>
                </wp:positionV>
                <wp:extent cx="867410" cy="1947545"/>
                <wp:effectExtent l="4445" t="1905" r="4445" b="12700"/>
                <wp:wrapNone/>
                <wp:docPr id="8" name="直线 6"/>
                <wp:cNvGraphicFramePr/>
                <a:graphic xmlns:a="http://schemas.openxmlformats.org/drawingml/2006/main">
                  <a:graphicData uri="http://schemas.microsoft.com/office/word/2010/wordprocessingShape">
                    <wps:wsp>
                      <wps:cNvSpPr/>
                      <wps:spPr>
                        <a:xfrm>
                          <a:off x="0" y="0"/>
                          <a:ext cx="867410" cy="194754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57pt;margin-top:25.7pt;height:153.35pt;width:68.3pt;mso-position-horizontal-relative:page;z-index:-251641856;mso-width-relative:page;mso-height-relative:page;" filled="f" stroked="t" coordsize="21600,21600" o:gfxdata="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sX1Eq&#10;1gAAAAoBAAAPAAAAAAAAAAEAIAAAACIAAABkcnMvZG93bnJldi54bWxQSwECFAAUAAAACACHTuJA&#10;CP80BOoBAADgAwAADgAAAAAAAAABACAAAAAlAQAAZHJzL2Uyb0RvYy54bWxQSwUGAAAAAAYABgBZ&#10;AQAAgQU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675648" behindDoc="1" locked="0" layoutInCell="1" allowOverlap="1">
                <wp:simplePos x="0" y="0"/>
                <wp:positionH relativeFrom="page">
                  <wp:posOffset>2000885</wp:posOffset>
                </wp:positionH>
                <wp:positionV relativeFrom="page">
                  <wp:posOffset>2386965</wp:posOffset>
                </wp:positionV>
                <wp:extent cx="158115" cy="92075"/>
                <wp:effectExtent l="0" t="0" r="0" b="0"/>
                <wp:wrapNone/>
                <wp:docPr id="10" name="文本框 7"/>
                <wp:cNvGraphicFramePr/>
                <a:graphic xmlns:a="http://schemas.openxmlformats.org/drawingml/2006/main">
                  <a:graphicData uri="http://schemas.microsoft.com/office/word/2010/wordprocessingShape">
                    <wps:wsp>
                      <wps:cNvSpPr txBox="1"/>
                      <wps:spPr>
                        <a:xfrm>
                          <a:off x="0" y="0"/>
                          <a:ext cx="158115" cy="92075"/>
                        </a:xfrm>
                        <a:prstGeom prst="rect">
                          <a:avLst/>
                        </a:prstGeom>
                        <a:noFill/>
                        <a:ln>
                          <a:noFill/>
                        </a:ln>
                      </wps:spPr>
                      <wps:txbx>
                        <w:txbxContent>
                          <w:p>
                            <w:pPr>
                              <w:pStyle w:val="5"/>
                              <w:spacing w:line="249" w:lineRule="exact"/>
                              <w:ind w:left="20"/>
                            </w:pPr>
                            <w:r>
                              <w:rPr>
                                <w:w w:val="99"/>
                              </w:rPr>
                              <w:t>/</w:t>
                            </w:r>
                          </w:p>
                        </w:txbxContent>
                      </wps:txbx>
                      <wps:bodyPr vert="vert" lIns="0" tIns="0" rIns="0" bIns="0" upright="1"/>
                    </wps:wsp>
                  </a:graphicData>
                </a:graphic>
              </wp:anchor>
            </w:drawing>
          </mc:Choice>
          <mc:Fallback>
            <w:pict>
              <v:shape id="文本框 7" o:spid="_x0000_s1026" o:spt="202" type="#_x0000_t202" style="position:absolute;left:0pt;margin-left:157.55pt;margin-top:187.95pt;height:7.25pt;width:12.45pt;mso-position-horizontal-relative:page;mso-position-vertical-relative:page;z-index:-251640832;mso-width-relative:page;mso-height-relative:page;" filled="f" stroked="f" coordsize="21600,21600" o:gfxdata="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Ux4La2wAAAAsBAAAPAAAAAAAAAAEAIAAAACIAAABkcnMvZG93bnJldi54&#10;bWxQSwECFAAUAAAACACHTuJAguRZLL4BAAB9AwAADgAAAAAAAAABACAAAAAqAQAAZHJzL2Uyb0Rv&#10;Yy54bWxQSwUGAAAAAAYABgBZAQAAWgUAAAAA&#10;">
                <v:fill on="f" focussize="0,0"/>
                <v:stroke on="f"/>
                <v:imagedata o:title=""/>
                <o:lock v:ext="edit" aspectratio="f"/>
                <v:textbox inset="0mm,0mm,0mm,0mm" style="layout-flow:vertical;">
                  <w:txbxContent>
                    <w:p>
                      <w:pPr>
                        <w:pStyle w:val="5"/>
                        <w:spacing w:line="249" w:lineRule="exact"/>
                        <w:ind w:left="20"/>
                      </w:pPr>
                      <w:r>
                        <w:rPr>
                          <w:w w:val="99"/>
                        </w:rPr>
                        <w:t>/</w:t>
                      </w:r>
                    </w:p>
                  </w:txbxContent>
                </v:textbox>
              </v:shape>
            </w:pict>
          </mc:Fallback>
        </mc:AlternateContent>
      </w:r>
      <w:r>
        <w:rPr>
          <w:rFonts w:hint="eastAsia" w:ascii="黑体" w:eastAsia="黑体"/>
          <w:sz w:val="20"/>
        </w:rPr>
        <w:t xml:space="preserve">表 </w:t>
      </w:r>
      <w:r>
        <w:rPr>
          <w:b/>
          <w:sz w:val="20"/>
        </w:rPr>
        <w:t xml:space="preserve">6.1.5 </w:t>
      </w:r>
      <w:r>
        <w:rPr>
          <w:rFonts w:hint="eastAsia" w:ascii="黑体" w:eastAsia="黑体"/>
          <w:sz w:val="20"/>
        </w:rPr>
        <w:t>城市广场无障碍设施配建表</w:t>
      </w:r>
    </w:p>
    <w:p>
      <w:pPr>
        <w:pStyle w:val="5"/>
        <w:spacing w:before="2"/>
        <w:rPr>
          <w:rFonts w:ascii="黑体"/>
          <w:sz w:val="8"/>
        </w:rPr>
      </w:pPr>
    </w:p>
    <w:tbl>
      <w:tblPr>
        <w:tblStyle w:val="9"/>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76"/>
        <w:gridCol w:w="507"/>
        <w:gridCol w:w="508"/>
        <w:gridCol w:w="507"/>
        <w:gridCol w:w="508"/>
        <w:gridCol w:w="507"/>
        <w:gridCol w:w="508"/>
        <w:gridCol w:w="507"/>
        <w:gridCol w:w="508"/>
        <w:gridCol w:w="507"/>
        <w:gridCol w:w="508"/>
        <w:gridCol w:w="507"/>
        <w:gridCol w:w="508"/>
        <w:gridCol w:w="508"/>
        <w:gridCol w:w="507"/>
        <w:gridCol w:w="508"/>
        <w:gridCol w:w="507"/>
        <w:gridCol w:w="508"/>
        <w:gridCol w:w="507"/>
        <w:gridCol w:w="508"/>
        <w:gridCol w:w="507"/>
        <w:gridCol w:w="508"/>
        <w:gridCol w:w="507"/>
        <w:gridCol w:w="508"/>
        <w:gridCol w:w="507"/>
        <w:gridCol w:w="508"/>
        <w:gridCol w:w="5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trPr>
        <w:tc>
          <w:tcPr>
            <w:tcW w:w="1376" w:type="dxa"/>
            <w:vMerge w:val="restart"/>
            <w:tcBorders>
              <w:bottom w:val="single" w:color="000000" w:sz="4" w:space="0"/>
              <w:right w:val="single" w:color="000000" w:sz="4" w:space="0"/>
            </w:tcBorders>
          </w:tcPr>
          <w:p>
            <w:pPr>
              <w:pStyle w:val="13"/>
              <w:spacing w:before="10"/>
              <w:rPr>
                <w:rFonts w:ascii="黑体"/>
                <w:sz w:val="23"/>
              </w:rPr>
            </w:pPr>
          </w:p>
          <w:p>
            <w:pPr>
              <w:pStyle w:val="13"/>
              <w:spacing w:line="278" w:lineRule="auto"/>
              <w:ind w:left="635" w:right="200" w:hanging="106"/>
              <w:rPr>
                <w:sz w:val="21"/>
              </w:rPr>
            </w:pPr>
            <w:r>
              <w:rPr>
                <w:sz w:val="21"/>
              </w:rPr>
              <w:t>无障碍设施</w:t>
            </w:r>
          </w:p>
          <w:p>
            <w:pPr>
              <w:pStyle w:val="13"/>
              <w:rPr>
                <w:rFonts w:ascii="黑体"/>
                <w:sz w:val="20"/>
              </w:rPr>
            </w:pPr>
          </w:p>
          <w:p>
            <w:pPr>
              <w:pStyle w:val="13"/>
              <w:rPr>
                <w:rFonts w:ascii="黑体"/>
                <w:sz w:val="20"/>
              </w:rPr>
            </w:pPr>
          </w:p>
          <w:p>
            <w:pPr>
              <w:pStyle w:val="13"/>
              <w:rPr>
                <w:rFonts w:ascii="黑体"/>
                <w:sz w:val="20"/>
              </w:rPr>
            </w:pPr>
          </w:p>
          <w:p>
            <w:pPr>
              <w:pStyle w:val="13"/>
              <w:rPr>
                <w:rFonts w:ascii="黑体"/>
                <w:sz w:val="20"/>
              </w:rPr>
            </w:pPr>
          </w:p>
          <w:p>
            <w:pPr>
              <w:pStyle w:val="13"/>
              <w:rPr>
                <w:rFonts w:ascii="黑体"/>
                <w:sz w:val="20"/>
              </w:rPr>
            </w:pPr>
          </w:p>
          <w:p>
            <w:pPr>
              <w:pStyle w:val="13"/>
              <w:spacing w:before="7"/>
              <w:rPr>
                <w:rFonts w:ascii="黑体"/>
                <w:sz w:val="15"/>
              </w:rPr>
            </w:pPr>
          </w:p>
          <w:p>
            <w:pPr>
              <w:pStyle w:val="13"/>
              <w:spacing w:before="1"/>
              <w:ind w:left="318"/>
              <w:rPr>
                <w:sz w:val="21"/>
              </w:rPr>
            </w:pPr>
            <w:r>
              <w:rPr>
                <w:sz w:val="21"/>
              </w:rPr>
              <w:t>类型</w:t>
            </w:r>
          </w:p>
        </w:tc>
        <w:tc>
          <w:tcPr>
            <w:tcW w:w="7105" w:type="dxa"/>
            <w:gridSpan w:val="14"/>
            <w:tcBorders>
              <w:left w:val="single" w:color="000000" w:sz="4" w:space="0"/>
              <w:bottom w:val="single" w:color="000000" w:sz="4" w:space="0"/>
              <w:right w:val="single" w:color="000000" w:sz="4" w:space="0"/>
            </w:tcBorders>
          </w:tcPr>
          <w:p>
            <w:pPr>
              <w:pStyle w:val="13"/>
              <w:spacing w:before="118"/>
              <w:ind w:left="2800" w:right="2784"/>
              <w:jc w:val="center"/>
              <w:rPr>
                <w:sz w:val="21"/>
              </w:rPr>
            </w:pPr>
            <w:r>
              <w:rPr>
                <w:sz w:val="21"/>
              </w:rPr>
              <w:t>无障碍通行设施</w:t>
            </w:r>
          </w:p>
        </w:tc>
        <w:tc>
          <w:tcPr>
            <w:tcW w:w="4568" w:type="dxa"/>
            <w:gridSpan w:val="9"/>
            <w:tcBorders>
              <w:left w:val="single" w:color="000000" w:sz="4" w:space="0"/>
              <w:bottom w:val="single" w:color="000000" w:sz="4" w:space="0"/>
              <w:right w:val="single" w:color="000000" w:sz="4" w:space="0"/>
            </w:tcBorders>
          </w:tcPr>
          <w:p>
            <w:pPr>
              <w:pStyle w:val="13"/>
              <w:spacing w:before="118"/>
              <w:ind w:left="1532" w:right="1516"/>
              <w:jc w:val="center"/>
              <w:rPr>
                <w:sz w:val="21"/>
              </w:rPr>
            </w:pPr>
            <w:r>
              <w:rPr>
                <w:sz w:val="21"/>
              </w:rPr>
              <w:t>无障碍服务设施</w:t>
            </w:r>
          </w:p>
        </w:tc>
        <w:tc>
          <w:tcPr>
            <w:tcW w:w="1523" w:type="dxa"/>
            <w:gridSpan w:val="3"/>
            <w:tcBorders>
              <w:left w:val="single" w:color="000000" w:sz="4" w:space="0"/>
              <w:bottom w:val="single" w:color="000000" w:sz="4" w:space="0"/>
              <w:right w:val="single" w:color="000000" w:sz="4" w:space="0"/>
            </w:tcBorders>
          </w:tcPr>
          <w:p>
            <w:pPr>
              <w:pStyle w:val="13"/>
              <w:spacing w:before="16" w:line="240" w:lineRule="exact"/>
              <w:ind w:left="659" w:right="117" w:hanging="524"/>
              <w:rPr>
                <w:sz w:val="21"/>
              </w:rPr>
            </w:pPr>
            <w:r>
              <w:rPr>
                <w:sz w:val="21"/>
              </w:rPr>
              <w:t>无障碍信息设施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41" w:hRule="atLeast"/>
        </w:trPr>
        <w:tc>
          <w:tcPr>
            <w:tcW w:w="1376" w:type="dxa"/>
            <w:vMerge w:val="continue"/>
            <w:tcBorders>
              <w:top w:val="nil"/>
              <w:bottom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extDirection w:val="tbRl"/>
          </w:tcPr>
          <w:p>
            <w:pPr>
              <w:pStyle w:val="13"/>
              <w:spacing w:before="23"/>
              <w:ind w:left="326"/>
              <w:rPr>
                <w:sz w:val="21"/>
              </w:rPr>
            </w:pPr>
            <w:r>
              <w:rPr>
                <w:sz w:val="21"/>
              </w:rPr>
              <w:t>无障碍机动车停车位</w:t>
            </w:r>
          </w:p>
        </w:tc>
        <w:tc>
          <w:tcPr>
            <w:tcW w:w="508" w:type="dxa"/>
            <w:tcBorders>
              <w:top w:val="single" w:color="000000" w:sz="4" w:space="0"/>
              <w:left w:val="single" w:color="000000" w:sz="4" w:space="0"/>
              <w:bottom w:val="single" w:color="000000" w:sz="4" w:space="0"/>
              <w:right w:val="single" w:color="000000" w:sz="4" w:space="0"/>
            </w:tcBorders>
            <w:textDirection w:val="tbRl"/>
          </w:tcPr>
          <w:p>
            <w:pPr>
              <w:pStyle w:val="13"/>
              <w:spacing w:before="22"/>
              <w:ind w:left="167"/>
              <w:rPr>
                <w:sz w:val="21"/>
              </w:rPr>
            </w:pPr>
            <w:r>
              <w:rPr>
                <w:sz w:val="21"/>
              </w:rPr>
              <w:t>无障碍小汽车上 落客区</w:t>
            </w:r>
          </w:p>
        </w:tc>
        <w:tc>
          <w:tcPr>
            <w:tcW w:w="507" w:type="dxa"/>
            <w:tcBorders>
              <w:top w:val="single" w:color="000000" w:sz="4" w:space="0"/>
              <w:left w:val="single" w:color="000000" w:sz="4" w:space="0"/>
              <w:bottom w:val="single" w:color="000000" w:sz="4" w:space="0"/>
              <w:right w:val="single" w:color="000000" w:sz="4" w:space="0"/>
            </w:tcBorders>
            <w:textDirection w:val="tbRl"/>
          </w:tcPr>
          <w:p>
            <w:pPr>
              <w:pStyle w:val="13"/>
              <w:spacing w:before="23"/>
              <w:ind w:left="830" w:right="830"/>
              <w:jc w:val="center"/>
              <w:rPr>
                <w:sz w:val="21"/>
              </w:rPr>
            </w:pPr>
            <w:r>
              <w:rPr>
                <w:sz w:val="21"/>
              </w:rPr>
              <w:t>缘石坡道</w:t>
            </w:r>
          </w:p>
        </w:tc>
        <w:tc>
          <w:tcPr>
            <w:tcW w:w="508" w:type="dxa"/>
            <w:tcBorders>
              <w:top w:val="single" w:color="000000" w:sz="4" w:space="0"/>
              <w:left w:val="single" w:color="000000" w:sz="4" w:space="0"/>
              <w:bottom w:val="single" w:color="000000" w:sz="4" w:space="0"/>
              <w:right w:val="single" w:color="000000" w:sz="4" w:space="0"/>
            </w:tcBorders>
            <w:textDirection w:val="tbRl"/>
          </w:tcPr>
          <w:p>
            <w:pPr>
              <w:pStyle w:val="13"/>
              <w:spacing w:before="22"/>
              <w:ind w:left="830" w:right="828"/>
              <w:jc w:val="center"/>
              <w:rPr>
                <w:sz w:val="21"/>
              </w:rPr>
            </w:pPr>
            <w:r>
              <w:rPr>
                <w:sz w:val="21"/>
              </w:rPr>
              <w:t>盲道</w:t>
            </w:r>
          </w:p>
        </w:tc>
        <w:tc>
          <w:tcPr>
            <w:tcW w:w="507" w:type="dxa"/>
            <w:tcBorders>
              <w:top w:val="single" w:color="000000" w:sz="4" w:space="0"/>
              <w:left w:val="single" w:color="000000" w:sz="4" w:space="0"/>
              <w:bottom w:val="single" w:color="000000" w:sz="4" w:space="0"/>
              <w:right w:val="single" w:color="000000" w:sz="4" w:space="0"/>
            </w:tcBorders>
            <w:textDirection w:val="tbRl"/>
          </w:tcPr>
          <w:p>
            <w:pPr>
              <w:pStyle w:val="13"/>
              <w:spacing w:before="22"/>
              <w:ind w:left="746"/>
              <w:rPr>
                <w:sz w:val="21"/>
              </w:rPr>
            </w:pPr>
            <w:r>
              <w:rPr>
                <w:sz w:val="21"/>
              </w:rPr>
              <w:t>无障碍通道</w:t>
            </w:r>
          </w:p>
        </w:tc>
        <w:tc>
          <w:tcPr>
            <w:tcW w:w="508" w:type="dxa"/>
            <w:tcBorders>
              <w:top w:val="single" w:color="000000" w:sz="4" w:space="0"/>
              <w:left w:val="single" w:color="000000" w:sz="4" w:space="0"/>
              <w:bottom w:val="single" w:color="000000" w:sz="4" w:space="0"/>
              <w:right w:val="single" w:color="000000" w:sz="4" w:space="0"/>
            </w:tcBorders>
            <w:textDirection w:val="tbRl"/>
          </w:tcPr>
          <w:p>
            <w:pPr>
              <w:pStyle w:val="13"/>
              <w:spacing w:before="22"/>
              <w:ind w:left="830" w:right="830"/>
              <w:jc w:val="center"/>
              <w:rPr>
                <w:sz w:val="21"/>
              </w:rPr>
            </w:pPr>
            <w:r>
              <w:rPr>
                <w:sz w:val="21"/>
              </w:rPr>
              <w:t>轮椅坡道</w:t>
            </w:r>
          </w:p>
        </w:tc>
        <w:tc>
          <w:tcPr>
            <w:tcW w:w="507" w:type="dxa"/>
            <w:tcBorders>
              <w:top w:val="single" w:color="000000" w:sz="4" w:space="0"/>
              <w:left w:val="single" w:color="000000" w:sz="4" w:space="0"/>
              <w:bottom w:val="single" w:color="000000" w:sz="4" w:space="0"/>
              <w:right w:val="single" w:color="000000" w:sz="4" w:space="0"/>
            </w:tcBorders>
            <w:textDirection w:val="tbRl"/>
          </w:tcPr>
          <w:p>
            <w:pPr>
              <w:pStyle w:val="13"/>
              <w:spacing w:before="22"/>
              <w:ind w:left="643"/>
              <w:rPr>
                <w:sz w:val="21"/>
              </w:rPr>
            </w:pPr>
            <w:r>
              <w:rPr>
                <w:sz w:val="21"/>
              </w:rPr>
              <w:t>无障碍出入口</w:t>
            </w:r>
          </w:p>
        </w:tc>
        <w:tc>
          <w:tcPr>
            <w:tcW w:w="508" w:type="dxa"/>
            <w:tcBorders>
              <w:top w:val="single" w:color="000000" w:sz="4" w:space="0"/>
              <w:left w:val="single" w:color="000000" w:sz="4" w:space="0"/>
              <w:bottom w:val="single" w:color="000000" w:sz="4" w:space="0"/>
              <w:right w:val="single" w:color="000000" w:sz="4" w:space="0"/>
            </w:tcBorders>
            <w:textDirection w:val="tbRl"/>
          </w:tcPr>
          <w:p>
            <w:pPr>
              <w:pStyle w:val="13"/>
              <w:spacing w:line="267" w:lineRule="exact"/>
              <w:jc w:val="center"/>
              <w:rPr>
                <w:sz w:val="21"/>
              </w:rPr>
            </w:pPr>
            <w:r>
              <w:rPr>
                <w:w w:val="99"/>
                <w:sz w:val="21"/>
              </w:rPr>
              <w:t>门</w:t>
            </w:r>
          </w:p>
        </w:tc>
        <w:tc>
          <w:tcPr>
            <w:tcW w:w="507" w:type="dxa"/>
            <w:tcBorders>
              <w:top w:val="single" w:color="000000" w:sz="4" w:space="0"/>
              <w:left w:val="single" w:color="000000" w:sz="4" w:space="0"/>
              <w:bottom w:val="single" w:color="000000" w:sz="4" w:space="0"/>
              <w:right w:val="single" w:color="000000" w:sz="4" w:space="0"/>
            </w:tcBorders>
            <w:textDirection w:val="tbRl"/>
          </w:tcPr>
          <w:p>
            <w:pPr>
              <w:pStyle w:val="13"/>
              <w:spacing w:before="22"/>
              <w:ind w:left="746"/>
              <w:rPr>
                <w:sz w:val="21"/>
              </w:rPr>
            </w:pPr>
            <w:r>
              <w:rPr>
                <w:sz w:val="21"/>
              </w:rPr>
              <w:t>无障碍电梯</w:t>
            </w:r>
          </w:p>
        </w:tc>
        <w:tc>
          <w:tcPr>
            <w:tcW w:w="508" w:type="dxa"/>
            <w:tcBorders>
              <w:top w:val="single" w:color="000000" w:sz="4" w:space="0"/>
              <w:left w:val="single" w:color="000000" w:sz="4" w:space="0"/>
              <w:bottom w:val="single" w:color="000000" w:sz="4" w:space="0"/>
              <w:right w:val="single" w:color="000000" w:sz="4" w:space="0"/>
            </w:tcBorders>
            <w:textDirection w:val="tbRl"/>
          </w:tcPr>
          <w:p>
            <w:pPr>
              <w:pStyle w:val="13"/>
              <w:spacing w:before="24"/>
              <w:ind w:left="746"/>
              <w:rPr>
                <w:sz w:val="21"/>
              </w:rPr>
            </w:pPr>
            <w:r>
              <w:rPr>
                <w:sz w:val="21"/>
              </w:rPr>
              <w:t>无障碍楼梯</w:t>
            </w:r>
          </w:p>
        </w:tc>
        <w:tc>
          <w:tcPr>
            <w:tcW w:w="507" w:type="dxa"/>
            <w:tcBorders>
              <w:top w:val="single" w:color="000000" w:sz="4" w:space="0"/>
              <w:left w:val="single" w:color="000000" w:sz="4" w:space="0"/>
              <w:bottom w:val="single" w:color="000000" w:sz="4" w:space="0"/>
              <w:right w:val="single" w:color="000000" w:sz="4" w:space="0"/>
            </w:tcBorders>
            <w:textDirection w:val="tbRl"/>
          </w:tcPr>
          <w:p>
            <w:pPr>
              <w:pStyle w:val="13"/>
              <w:spacing w:before="22"/>
              <w:ind w:left="830" w:right="828"/>
              <w:jc w:val="center"/>
              <w:rPr>
                <w:sz w:val="21"/>
              </w:rPr>
            </w:pPr>
            <w:r>
              <w:rPr>
                <w:sz w:val="21"/>
              </w:rPr>
              <w:t>台阶</w:t>
            </w:r>
          </w:p>
        </w:tc>
        <w:tc>
          <w:tcPr>
            <w:tcW w:w="508" w:type="dxa"/>
            <w:tcBorders>
              <w:top w:val="single" w:color="000000" w:sz="4" w:space="0"/>
              <w:left w:val="single" w:color="000000" w:sz="4" w:space="0"/>
              <w:bottom w:val="single" w:color="000000" w:sz="4" w:space="0"/>
              <w:right w:val="single" w:color="000000" w:sz="4" w:space="0"/>
            </w:tcBorders>
            <w:textDirection w:val="tbRl"/>
          </w:tcPr>
          <w:p>
            <w:pPr>
              <w:pStyle w:val="13"/>
              <w:spacing w:before="23"/>
              <w:ind w:left="830" w:right="830"/>
              <w:jc w:val="center"/>
              <w:rPr>
                <w:sz w:val="21"/>
              </w:rPr>
            </w:pPr>
            <w:r>
              <w:rPr>
                <w:sz w:val="21"/>
              </w:rPr>
              <w:t>自动扶梯</w:t>
            </w:r>
          </w:p>
        </w:tc>
        <w:tc>
          <w:tcPr>
            <w:tcW w:w="508" w:type="dxa"/>
            <w:tcBorders>
              <w:top w:val="single" w:color="000000" w:sz="4" w:space="0"/>
              <w:left w:val="single" w:color="000000" w:sz="4" w:space="0"/>
              <w:bottom w:val="single" w:color="000000" w:sz="4" w:space="0"/>
              <w:right w:val="single" w:color="000000" w:sz="4" w:space="0"/>
            </w:tcBorders>
            <w:textDirection w:val="tbRl"/>
          </w:tcPr>
          <w:p>
            <w:pPr>
              <w:pStyle w:val="13"/>
              <w:spacing w:before="23"/>
              <w:ind w:left="746"/>
              <w:rPr>
                <w:sz w:val="21"/>
              </w:rPr>
            </w:pPr>
            <w:r>
              <w:rPr>
                <w:sz w:val="21"/>
              </w:rPr>
              <w:t>自动人行道</w:t>
            </w:r>
          </w:p>
        </w:tc>
        <w:tc>
          <w:tcPr>
            <w:tcW w:w="507" w:type="dxa"/>
            <w:tcBorders>
              <w:top w:val="single" w:color="000000" w:sz="4" w:space="0"/>
              <w:left w:val="single" w:color="000000" w:sz="4" w:space="0"/>
              <w:bottom w:val="single" w:color="000000" w:sz="4" w:space="0"/>
              <w:right w:val="single" w:color="000000" w:sz="4" w:space="0"/>
            </w:tcBorders>
            <w:textDirection w:val="tbRl"/>
          </w:tcPr>
          <w:p>
            <w:pPr>
              <w:pStyle w:val="13"/>
              <w:spacing w:line="266" w:lineRule="exact"/>
              <w:ind w:left="830" w:right="828"/>
              <w:jc w:val="center"/>
              <w:rPr>
                <w:sz w:val="21"/>
              </w:rPr>
            </w:pPr>
            <w:r>
              <w:rPr>
                <w:sz w:val="21"/>
              </w:rPr>
              <w:t>扶手</w:t>
            </w:r>
          </w:p>
        </w:tc>
        <w:tc>
          <w:tcPr>
            <w:tcW w:w="508" w:type="dxa"/>
            <w:tcBorders>
              <w:top w:val="single" w:color="000000" w:sz="4" w:space="0"/>
              <w:left w:val="single" w:color="000000" w:sz="4" w:space="0"/>
              <w:bottom w:val="single" w:color="000000" w:sz="4" w:space="0"/>
              <w:right w:val="single" w:color="000000" w:sz="4" w:space="0"/>
            </w:tcBorders>
            <w:textDirection w:val="tbRl"/>
          </w:tcPr>
          <w:p>
            <w:pPr>
              <w:pStyle w:val="13"/>
              <w:spacing w:before="22"/>
              <w:ind w:left="830" w:right="828"/>
              <w:jc w:val="center"/>
              <w:rPr>
                <w:sz w:val="21"/>
              </w:rPr>
            </w:pPr>
            <w:r>
              <w:rPr>
                <w:sz w:val="21"/>
              </w:rPr>
              <w:t>母婴室</w:t>
            </w:r>
          </w:p>
        </w:tc>
        <w:tc>
          <w:tcPr>
            <w:tcW w:w="507" w:type="dxa"/>
            <w:tcBorders>
              <w:top w:val="single" w:color="000000" w:sz="4" w:space="0"/>
              <w:left w:val="single" w:color="000000" w:sz="4" w:space="0"/>
              <w:bottom w:val="single" w:color="000000" w:sz="4" w:space="0"/>
              <w:right w:val="single" w:color="000000" w:sz="4" w:space="0"/>
            </w:tcBorders>
            <w:textDirection w:val="tbRl"/>
          </w:tcPr>
          <w:p>
            <w:pPr>
              <w:pStyle w:val="13"/>
              <w:spacing w:before="21"/>
              <w:ind w:left="643"/>
              <w:rPr>
                <w:sz w:val="21"/>
              </w:rPr>
            </w:pPr>
            <w:r>
              <w:rPr>
                <w:sz w:val="21"/>
              </w:rPr>
              <w:t>无障碍卫生间</w:t>
            </w:r>
          </w:p>
        </w:tc>
        <w:tc>
          <w:tcPr>
            <w:tcW w:w="508" w:type="dxa"/>
            <w:tcBorders>
              <w:top w:val="single" w:color="000000" w:sz="4" w:space="0"/>
              <w:left w:val="single" w:color="000000" w:sz="4" w:space="0"/>
              <w:bottom w:val="single" w:color="000000" w:sz="4" w:space="0"/>
              <w:right w:val="single" w:color="000000" w:sz="4" w:space="0"/>
            </w:tcBorders>
            <w:textDirection w:val="tbRl"/>
          </w:tcPr>
          <w:p>
            <w:pPr>
              <w:pStyle w:val="13"/>
              <w:spacing w:before="22"/>
              <w:ind w:left="746"/>
              <w:rPr>
                <w:sz w:val="21"/>
              </w:rPr>
            </w:pPr>
            <w:r>
              <w:rPr>
                <w:sz w:val="21"/>
              </w:rPr>
              <w:t>第三卫生间</w:t>
            </w:r>
          </w:p>
        </w:tc>
        <w:tc>
          <w:tcPr>
            <w:tcW w:w="507" w:type="dxa"/>
            <w:tcBorders>
              <w:top w:val="single" w:color="000000" w:sz="4" w:space="0"/>
              <w:left w:val="single" w:color="000000" w:sz="4" w:space="0"/>
              <w:bottom w:val="single" w:color="000000" w:sz="4" w:space="0"/>
              <w:right w:val="single" w:color="000000" w:sz="4" w:space="0"/>
            </w:tcBorders>
            <w:textDirection w:val="tbRl"/>
          </w:tcPr>
          <w:p>
            <w:pPr>
              <w:pStyle w:val="13"/>
              <w:spacing w:before="23"/>
              <w:ind w:left="746"/>
              <w:rPr>
                <w:sz w:val="21"/>
              </w:rPr>
            </w:pPr>
            <w:r>
              <w:rPr>
                <w:sz w:val="21"/>
              </w:rPr>
              <w:t>公共卫生间</w:t>
            </w:r>
          </w:p>
        </w:tc>
        <w:tc>
          <w:tcPr>
            <w:tcW w:w="508" w:type="dxa"/>
            <w:tcBorders>
              <w:top w:val="single" w:color="000000" w:sz="4" w:space="0"/>
              <w:left w:val="single" w:color="000000" w:sz="4" w:space="0"/>
              <w:bottom w:val="single" w:color="000000" w:sz="4" w:space="0"/>
              <w:right w:val="single" w:color="000000" w:sz="4" w:space="0"/>
            </w:tcBorders>
            <w:textDirection w:val="tbRl"/>
          </w:tcPr>
          <w:p>
            <w:pPr>
              <w:pStyle w:val="13"/>
              <w:spacing w:before="22"/>
              <w:ind w:left="432"/>
              <w:rPr>
                <w:sz w:val="21"/>
              </w:rPr>
            </w:pPr>
            <w:r>
              <w:rPr>
                <w:sz w:val="21"/>
              </w:rPr>
              <w:t>公共浴室及更衣室</w:t>
            </w:r>
          </w:p>
        </w:tc>
        <w:tc>
          <w:tcPr>
            <w:tcW w:w="507" w:type="dxa"/>
            <w:tcBorders>
              <w:top w:val="single" w:color="000000" w:sz="4" w:space="0"/>
              <w:left w:val="single" w:color="000000" w:sz="4" w:space="0"/>
              <w:bottom w:val="single" w:color="000000" w:sz="4" w:space="0"/>
              <w:right w:val="single" w:color="000000" w:sz="4" w:space="0"/>
            </w:tcBorders>
            <w:textDirection w:val="tbRl"/>
          </w:tcPr>
          <w:p>
            <w:pPr>
              <w:pStyle w:val="13"/>
              <w:spacing w:before="23"/>
              <w:ind w:left="746"/>
              <w:rPr>
                <w:sz w:val="21"/>
              </w:rPr>
            </w:pPr>
            <w:r>
              <w:rPr>
                <w:sz w:val="21"/>
              </w:rPr>
              <w:t>无障碍客房</w:t>
            </w:r>
          </w:p>
        </w:tc>
        <w:tc>
          <w:tcPr>
            <w:tcW w:w="508" w:type="dxa"/>
            <w:tcBorders>
              <w:top w:val="single" w:color="000000" w:sz="4" w:space="0"/>
              <w:left w:val="single" w:color="000000" w:sz="4" w:space="0"/>
              <w:bottom w:val="single" w:color="000000" w:sz="4" w:space="0"/>
              <w:right w:val="single" w:color="000000" w:sz="4" w:space="0"/>
            </w:tcBorders>
            <w:textDirection w:val="tbRl"/>
          </w:tcPr>
          <w:p>
            <w:pPr>
              <w:pStyle w:val="13"/>
              <w:spacing w:before="22"/>
              <w:ind w:left="432"/>
              <w:rPr>
                <w:sz w:val="21"/>
              </w:rPr>
            </w:pPr>
            <w:r>
              <w:rPr>
                <w:sz w:val="21"/>
              </w:rPr>
              <w:t>无障碍住房、宿舍</w:t>
            </w:r>
          </w:p>
        </w:tc>
        <w:tc>
          <w:tcPr>
            <w:tcW w:w="507" w:type="dxa"/>
            <w:tcBorders>
              <w:top w:val="single" w:color="000000" w:sz="4" w:space="0"/>
              <w:left w:val="single" w:color="000000" w:sz="4" w:space="0"/>
              <w:bottom w:val="single" w:color="000000" w:sz="4" w:space="0"/>
              <w:right w:val="single" w:color="000000" w:sz="4" w:space="0"/>
            </w:tcBorders>
            <w:textDirection w:val="tbRl"/>
          </w:tcPr>
          <w:p>
            <w:pPr>
              <w:pStyle w:val="13"/>
              <w:spacing w:before="22"/>
              <w:ind w:left="830" w:right="830"/>
              <w:jc w:val="center"/>
              <w:rPr>
                <w:sz w:val="21"/>
              </w:rPr>
            </w:pPr>
            <w:r>
              <w:rPr>
                <w:sz w:val="21"/>
              </w:rPr>
              <w:t>轮椅席位</w:t>
            </w:r>
          </w:p>
        </w:tc>
        <w:tc>
          <w:tcPr>
            <w:tcW w:w="508" w:type="dxa"/>
            <w:tcBorders>
              <w:top w:val="single" w:color="000000" w:sz="4" w:space="0"/>
              <w:left w:val="single" w:color="000000" w:sz="4" w:space="0"/>
              <w:bottom w:val="single" w:color="000000" w:sz="4" w:space="0"/>
              <w:right w:val="single" w:color="000000" w:sz="4" w:space="0"/>
            </w:tcBorders>
            <w:textDirection w:val="tbRl"/>
          </w:tcPr>
          <w:p>
            <w:pPr>
              <w:pStyle w:val="13"/>
              <w:spacing w:before="22"/>
              <w:ind w:left="643"/>
              <w:rPr>
                <w:sz w:val="21"/>
              </w:rPr>
            </w:pPr>
            <w:r>
              <w:rPr>
                <w:sz w:val="21"/>
              </w:rPr>
              <w:t>低位服务设施</w:t>
            </w:r>
          </w:p>
        </w:tc>
        <w:tc>
          <w:tcPr>
            <w:tcW w:w="507" w:type="dxa"/>
            <w:tcBorders>
              <w:top w:val="single" w:color="000000" w:sz="4" w:space="0"/>
              <w:left w:val="single" w:color="000000" w:sz="4" w:space="0"/>
              <w:bottom w:val="single" w:color="000000" w:sz="4" w:space="0"/>
              <w:right w:val="single" w:color="000000" w:sz="4" w:space="0"/>
            </w:tcBorders>
            <w:textDirection w:val="tbRl"/>
          </w:tcPr>
          <w:p>
            <w:pPr>
              <w:pStyle w:val="13"/>
              <w:spacing w:before="22"/>
              <w:ind w:left="830" w:right="830"/>
              <w:jc w:val="center"/>
              <w:rPr>
                <w:sz w:val="21"/>
              </w:rPr>
            </w:pPr>
            <w:r>
              <w:rPr>
                <w:sz w:val="21"/>
              </w:rPr>
              <w:t>标识设施</w:t>
            </w:r>
          </w:p>
        </w:tc>
        <w:tc>
          <w:tcPr>
            <w:tcW w:w="508" w:type="dxa"/>
            <w:tcBorders>
              <w:top w:val="single" w:color="000000" w:sz="4" w:space="0"/>
              <w:left w:val="single" w:color="000000" w:sz="4" w:space="0"/>
              <w:bottom w:val="single" w:color="000000" w:sz="4" w:space="0"/>
              <w:right w:val="single" w:color="000000" w:sz="4" w:space="0"/>
            </w:tcBorders>
            <w:textDirection w:val="tbRl"/>
          </w:tcPr>
          <w:p>
            <w:pPr>
              <w:pStyle w:val="13"/>
              <w:spacing w:before="24"/>
              <w:ind w:left="830" w:right="830"/>
              <w:jc w:val="center"/>
              <w:rPr>
                <w:sz w:val="21"/>
              </w:rPr>
            </w:pPr>
            <w:r>
              <w:rPr>
                <w:sz w:val="21"/>
              </w:rPr>
              <w:t>盲文设施</w:t>
            </w:r>
          </w:p>
        </w:tc>
        <w:tc>
          <w:tcPr>
            <w:tcW w:w="508" w:type="dxa"/>
            <w:tcBorders>
              <w:top w:val="single" w:color="000000" w:sz="4" w:space="0"/>
              <w:left w:val="single" w:color="000000" w:sz="4" w:space="0"/>
              <w:bottom w:val="single" w:color="000000" w:sz="4" w:space="0"/>
              <w:right w:val="single" w:color="000000" w:sz="4" w:space="0"/>
            </w:tcBorders>
            <w:textDirection w:val="tbRl"/>
          </w:tcPr>
          <w:p>
            <w:pPr>
              <w:pStyle w:val="13"/>
              <w:spacing w:before="23"/>
              <w:ind w:left="830" w:right="830"/>
              <w:jc w:val="center"/>
              <w:rPr>
                <w:sz w:val="21"/>
              </w:rPr>
            </w:pPr>
            <w:r>
              <w:rPr>
                <w:sz w:val="21"/>
              </w:rPr>
              <w:t>交互设备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1376" w:type="dxa"/>
            <w:tcBorders>
              <w:top w:val="single" w:color="000000" w:sz="4" w:space="0"/>
              <w:bottom w:val="single" w:color="000000" w:sz="4" w:space="0"/>
              <w:right w:val="single" w:color="000000" w:sz="4" w:space="0"/>
            </w:tcBorders>
          </w:tcPr>
          <w:p>
            <w:pPr>
              <w:pStyle w:val="13"/>
              <w:spacing w:before="4"/>
              <w:rPr>
                <w:rFonts w:ascii="黑体"/>
                <w:sz w:val="21"/>
              </w:rPr>
            </w:pPr>
          </w:p>
          <w:p>
            <w:pPr>
              <w:pStyle w:val="13"/>
              <w:spacing w:before="1"/>
              <w:ind w:left="268"/>
              <w:rPr>
                <w:sz w:val="21"/>
              </w:rPr>
            </w:pPr>
            <w:r>
              <w:rPr>
                <w:sz w:val="21"/>
              </w:rPr>
              <w:t>城市广场</w:t>
            </w:r>
          </w:p>
        </w:tc>
        <w:tc>
          <w:tcPr>
            <w:tcW w:w="507"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2"/>
              <w:rPr>
                <w:sz w:val="21"/>
              </w:rPr>
            </w:pPr>
            <w:r>
              <w:rPr>
                <w:w w:val="99"/>
                <w:sz w:val="21"/>
              </w:rPr>
              <w:t>○</w:t>
            </w:r>
          </w:p>
        </w:tc>
        <w:tc>
          <w:tcPr>
            <w:tcW w:w="508"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4"/>
              <w:rPr>
                <w:sz w:val="21"/>
              </w:rPr>
            </w:pPr>
            <w:r>
              <w:rPr>
                <w:w w:val="99"/>
                <w:sz w:val="21"/>
              </w:rPr>
              <w:t>—</w:t>
            </w:r>
          </w:p>
        </w:tc>
        <w:tc>
          <w:tcPr>
            <w:tcW w:w="507"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2"/>
              <w:rPr>
                <w:sz w:val="21"/>
              </w:rPr>
            </w:pPr>
            <w:r>
              <w:rPr>
                <w:w w:val="99"/>
                <w:sz w:val="21"/>
              </w:rPr>
              <w:t>○</w:t>
            </w:r>
          </w:p>
        </w:tc>
        <w:tc>
          <w:tcPr>
            <w:tcW w:w="508"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4"/>
              <w:rPr>
                <w:sz w:val="21"/>
              </w:rPr>
            </w:pPr>
            <w:r>
              <w:rPr>
                <w:w w:val="99"/>
                <w:sz w:val="21"/>
              </w:rPr>
              <w:t>○</w:t>
            </w:r>
          </w:p>
        </w:tc>
        <w:tc>
          <w:tcPr>
            <w:tcW w:w="507"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2"/>
              <w:rPr>
                <w:sz w:val="21"/>
              </w:rPr>
            </w:pPr>
            <w:r>
              <w:rPr>
                <w:w w:val="99"/>
                <w:sz w:val="21"/>
              </w:rPr>
              <w:t>—</w:t>
            </w:r>
          </w:p>
        </w:tc>
        <w:tc>
          <w:tcPr>
            <w:tcW w:w="508"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4"/>
              <w:rPr>
                <w:sz w:val="21"/>
              </w:rPr>
            </w:pPr>
            <w:r>
              <w:rPr>
                <w:w w:val="99"/>
                <w:sz w:val="21"/>
              </w:rPr>
              <w:t>○</w:t>
            </w:r>
          </w:p>
        </w:tc>
        <w:tc>
          <w:tcPr>
            <w:tcW w:w="507"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3"/>
              <w:rPr>
                <w:sz w:val="21"/>
              </w:rPr>
            </w:pPr>
            <w:r>
              <w:rPr>
                <w:w w:val="99"/>
                <w:sz w:val="21"/>
              </w:rPr>
              <w:t>—</w:t>
            </w:r>
          </w:p>
        </w:tc>
        <w:tc>
          <w:tcPr>
            <w:tcW w:w="508"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2"/>
              <w:rPr>
                <w:sz w:val="21"/>
              </w:rPr>
            </w:pPr>
            <w:r>
              <w:rPr>
                <w:w w:val="99"/>
                <w:sz w:val="21"/>
              </w:rPr>
              <w:t>—</w:t>
            </w:r>
          </w:p>
        </w:tc>
        <w:tc>
          <w:tcPr>
            <w:tcW w:w="507"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3"/>
              <w:rPr>
                <w:sz w:val="21"/>
              </w:rPr>
            </w:pPr>
            <w:r>
              <w:rPr>
                <w:w w:val="99"/>
                <w:sz w:val="21"/>
              </w:rPr>
              <w:t>—</w:t>
            </w:r>
          </w:p>
        </w:tc>
        <w:tc>
          <w:tcPr>
            <w:tcW w:w="508"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2"/>
              <w:rPr>
                <w:sz w:val="21"/>
              </w:rPr>
            </w:pPr>
            <w:r>
              <w:rPr>
                <w:w w:val="99"/>
                <w:sz w:val="21"/>
              </w:rPr>
              <w:t>—</w:t>
            </w:r>
          </w:p>
        </w:tc>
        <w:tc>
          <w:tcPr>
            <w:tcW w:w="507"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3"/>
              <w:rPr>
                <w:sz w:val="21"/>
              </w:rPr>
            </w:pPr>
            <w:r>
              <w:rPr>
                <w:w w:val="99"/>
                <w:sz w:val="21"/>
              </w:rPr>
              <w:t>—</w:t>
            </w:r>
          </w:p>
        </w:tc>
        <w:tc>
          <w:tcPr>
            <w:tcW w:w="508"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2"/>
              <w:rPr>
                <w:sz w:val="21"/>
              </w:rPr>
            </w:pPr>
            <w:r>
              <w:rPr>
                <w:w w:val="99"/>
                <w:sz w:val="21"/>
              </w:rPr>
              <w:t>—</w:t>
            </w:r>
          </w:p>
        </w:tc>
        <w:tc>
          <w:tcPr>
            <w:tcW w:w="508"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3"/>
              <w:rPr>
                <w:sz w:val="21"/>
              </w:rPr>
            </w:pPr>
            <w:r>
              <w:rPr>
                <w:w w:val="99"/>
                <w:sz w:val="21"/>
              </w:rPr>
              <w:t>—</w:t>
            </w:r>
          </w:p>
        </w:tc>
        <w:tc>
          <w:tcPr>
            <w:tcW w:w="507"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2"/>
              <w:rPr>
                <w:sz w:val="21"/>
              </w:rPr>
            </w:pPr>
            <w:r>
              <w:rPr>
                <w:w w:val="99"/>
                <w:sz w:val="21"/>
              </w:rPr>
              <w:t>—</w:t>
            </w:r>
          </w:p>
        </w:tc>
        <w:tc>
          <w:tcPr>
            <w:tcW w:w="508"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3"/>
              <w:rPr>
                <w:sz w:val="21"/>
              </w:rPr>
            </w:pPr>
            <w:r>
              <w:rPr>
                <w:w w:val="99"/>
                <w:sz w:val="21"/>
              </w:rPr>
              <w:t>—</w:t>
            </w:r>
          </w:p>
        </w:tc>
        <w:tc>
          <w:tcPr>
            <w:tcW w:w="507"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2"/>
              <w:rPr>
                <w:sz w:val="21"/>
              </w:rPr>
            </w:pPr>
            <w:r>
              <w:rPr>
                <w:w w:val="99"/>
                <w:sz w:val="21"/>
              </w:rPr>
              <w:t>—</w:t>
            </w:r>
          </w:p>
        </w:tc>
        <w:tc>
          <w:tcPr>
            <w:tcW w:w="508"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3"/>
              <w:rPr>
                <w:sz w:val="21"/>
              </w:rPr>
            </w:pPr>
            <w:r>
              <w:rPr>
                <w:w w:val="99"/>
                <w:sz w:val="21"/>
              </w:rPr>
              <w:t>—</w:t>
            </w:r>
          </w:p>
        </w:tc>
        <w:tc>
          <w:tcPr>
            <w:tcW w:w="507"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2"/>
              <w:rPr>
                <w:sz w:val="21"/>
              </w:rPr>
            </w:pPr>
            <w:r>
              <w:rPr>
                <w:w w:val="99"/>
                <w:sz w:val="21"/>
              </w:rPr>
              <w:t>○</w:t>
            </w:r>
          </w:p>
        </w:tc>
        <w:tc>
          <w:tcPr>
            <w:tcW w:w="508"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4"/>
              <w:rPr>
                <w:sz w:val="21"/>
              </w:rPr>
            </w:pPr>
            <w:r>
              <w:rPr>
                <w:w w:val="99"/>
                <w:sz w:val="21"/>
              </w:rPr>
              <w:t>—</w:t>
            </w:r>
          </w:p>
        </w:tc>
        <w:tc>
          <w:tcPr>
            <w:tcW w:w="507"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2"/>
              <w:rPr>
                <w:sz w:val="21"/>
              </w:rPr>
            </w:pPr>
            <w:r>
              <w:rPr>
                <w:w w:val="99"/>
                <w:sz w:val="21"/>
              </w:rPr>
              <w:t>—</w:t>
            </w:r>
          </w:p>
        </w:tc>
        <w:tc>
          <w:tcPr>
            <w:tcW w:w="508"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4"/>
              <w:rPr>
                <w:sz w:val="21"/>
              </w:rPr>
            </w:pPr>
            <w:r>
              <w:rPr>
                <w:w w:val="99"/>
                <w:sz w:val="21"/>
              </w:rPr>
              <w:t>—</w:t>
            </w:r>
          </w:p>
        </w:tc>
        <w:tc>
          <w:tcPr>
            <w:tcW w:w="507"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2"/>
              <w:rPr>
                <w:sz w:val="21"/>
              </w:rPr>
            </w:pPr>
            <w:r>
              <w:rPr>
                <w:w w:val="99"/>
                <w:sz w:val="21"/>
              </w:rPr>
              <w:t>—</w:t>
            </w:r>
          </w:p>
        </w:tc>
        <w:tc>
          <w:tcPr>
            <w:tcW w:w="508"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4"/>
              <w:rPr>
                <w:sz w:val="21"/>
              </w:rPr>
            </w:pPr>
            <w:r>
              <w:rPr>
                <w:w w:val="99"/>
                <w:sz w:val="21"/>
              </w:rPr>
              <w:t>○</w:t>
            </w:r>
          </w:p>
        </w:tc>
        <w:tc>
          <w:tcPr>
            <w:tcW w:w="507"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2"/>
              <w:rPr>
                <w:sz w:val="21"/>
              </w:rPr>
            </w:pPr>
            <w:r>
              <w:rPr>
                <w:w w:val="99"/>
                <w:sz w:val="21"/>
              </w:rPr>
              <w:t>○</w:t>
            </w:r>
          </w:p>
        </w:tc>
        <w:tc>
          <w:tcPr>
            <w:tcW w:w="508"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2"/>
              <w:rPr>
                <w:sz w:val="21"/>
              </w:rPr>
            </w:pPr>
            <w:r>
              <w:rPr>
                <w:w w:val="99"/>
                <w:sz w:val="21"/>
              </w:rPr>
              <w:t>—</w:t>
            </w:r>
          </w:p>
        </w:tc>
        <w:tc>
          <w:tcPr>
            <w:tcW w:w="508" w:type="dxa"/>
            <w:tcBorders>
              <w:top w:val="single" w:color="000000" w:sz="4" w:space="0"/>
              <w:left w:val="single" w:color="000000" w:sz="4" w:space="0"/>
              <w:bottom w:val="single" w:color="000000" w:sz="4" w:space="0"/>
              <w:right w:val="single" w:color="000000" w:sz="4" w:space="0"/>
            </w:tcBorders>
          </w:tcPr>
          <w:p>
            <w:pPr>
              <w:pStyle w:val="13"/>
              <w:rPr>
                <w:rFonts w:ascii="黑体"/>
                <w:sz w:val="21"/>
              </w:rPr>
            </w:pPr>
          </w:p>
          <w:p>
            <w:pPr>
              <w:pStyle w:val="13"/>
              <w:ind w:left="153"/>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trPr>
        <w:tc>
          <w:tcPr>
            <w:tcW w:w="14572" w:type="dxa"/>
            <w:gridSpan w:val="27"/>
            <w:tcBorders>
              <w:top w:val="single" w:color="000000" w:sz="4" w:space="0"/>
              <w:bottom w:val="single" w:color="000000" w:sz="4" w:space="0"/>
              <w:right w:val="single" w:color="000000" w:sz="4" w:space="0"/>
            </w:tcBorders>
          </w:tcPr>
          <w:p>
            <w:pPr>
              <w:pStyle w:val="13"/>
              <w:spacing w:before="141"/>
              <w:ind w:left="107"/>
              <w:rPr>
                <w:sz w:val="21"/>
              </w:rPr>
            </w:pPr>
            <w:r>
              <w:rPr>
                <w:sz w:val="21"/>
              </w:rPr>
              <w:t>备注：“○”表示一般情况下此工程建设范围均应配备的无障碍设施，“—”表示在情况需要时此工程建设范围可选择配备的无障碍设施</w:t>
            </w:r>
          </w:p>
        </w:tc>
      </w:tr>
    </w:tbl>
    <w:p>
      <w:pPr>
        <w:spacing w:after="0"/>
        <w:rPr>
          <w:sz w:val="21"/>
        </w:rPr>
        <w:sectPr>
          <w:footerReference r:id="rId16" w:type="default"/>
          <w:pgSz w:w="16840" w:h="11910" w:orient="landscape"/>
          <w:pgMar w:top="1100" w:right="1020" w:bottom="280" w:left="1020" w:header="0" w:footer="0" w:gutter="0"/>
          <w:cols w:space="720" w:num="1"/>
        </w:sectPr>
      </w:pPr>
    </w:p>
    <w:p>
      <w:pPr>
        <w:pStyle w:val="2"/>
        <w:numPr>
          <w:ilvl w:val="0"/>
          <w:numId w:val="183"/>
        </w:numPr>
        <w:tabs>
          <w:tab w:val="left" w:pos="4499"/>
          <w:tab w:val="left" w:pos="4500"/>
        </w:tabs>
        <w:spacing w:before="68" w:after="0" w:line="240" w:lineRule="auto"/>
        <w:ind w:left="4500" w:right="0" w:hanging="420"/>
        <w:jc w:val="left"/>
      </w:pPr>
      <w:bookmarkStart w:id="867" w:name="_bookmark46"/>
      <w:bookmarkEnd w:id="867"/>
      <w:bookmarkStart w:id="868" w:name="7城市绿地"/>
      <w:bookmarkEnd w:id="868"/>
      <w:r>
        <w:rPr>
          <w:w w:val="95"/>
        </w:rPr>
        <w:t>城市绿地</w:t>
      </w:r>
    </w:p>
    <w:p>
      <w:pPr>
        <w:pStyle w:val="12"/>
        <w:numPr>
          <w:ilvl w:val="1"/>
          <w:numId w:val="183"/>
        </w:numPr>
        <w:tabs>
          <w:tab w:val="left" w:pos="4724"/>
        </w:tabs>
        <w:spacing w:before="206" w:after="0" w:line="240" w:lineRule="auto"/>
        <w:ind w:left="4723" w:right="0" w:hanging="421"/>
        <w:jc w:val="left"/>
        <w:rPr>
          <w:rFonts w:hint="eastAsia" w:ascii="黑体" w:eastAsia="黑体"/>
          <w:sz w:val="21"/>
        </w:rPr>
      </w:pPr>
      <w:bookmarkStart w:id="869" w:name="_bookmark47"/>
      <w:bookmarkEnd w:id="869"/>
      <w:bookmarkStart w:id="870" w:name="7.1一般规定"/>
      <w:bookmarkEnd w:id="870"/>
      <w:bookmarkStart w:id="871" w:name="_bookmark47"/>
      <w:bookmarkEnd w:id="871"/>
      <w:r>
        <w:rPr>
          <w:rFonts w:hint="eastAsia" w:ascii="黑体" w:eastAsia="黑体"/>
          <w:w w:val="95"/>
          <w:sz w:val="21"/>
        </w:rPr>
        <w:t>一般规定</w:t>
      </w:r>
    </w:p>
    <w:p>
      <w:pPr>
        <w:pStyle w:val="5"/>
        <w:spacing w:before="6"/>
        <w:rPr>
          <w:rFonts w:ascii="黑体"/>
          <w:sz w:val="15"/>
        </w:rPr>
      </w:pPr>
    </w:p>
    <w:p>
      <w:pPr>
        <w:pStyle w:val="5"/>
        <w:spacing w:before="1" w:line="417" w:lineRule="auto"/>
        <w:ind w:left="112" w:right="112"/>
        <w:jc w:val="both"/>
      </w:pPr>
      <w:r>
        <w:rPr>
          <w:b/>
        </w:rPr>
        <w:t>7.1.1</w:t>
      </w:r>
      <w:r>
        <w:rPr>
          <w:b/>
          <w:spacing w:val="2"/>
        </w:rPr>
        <w:t xml:space="preserve">  </w:t>
      </w:r>
      <w:r>
        <w:t>参照《城市绿地分类标准》</w:t>
      </w:r>
      <w:r>
        <w:rPr>
          <w:rFonts w:hint="eastAsia" w:ascii="仿宋" w:hAnsi="仿宋" w:eastAsia="仿宋"/>
        </w:rPr>
        <w:t>CJJ</w:t>
      </w:r>
      <w:r>
        <w:t>/</w:t>
      </w:r>
      <w:r>
        <w:rPr>
          <w:rFonts w:hint="eastAsia" w:ascii="仿宋" w:hAnsi="仿宋" w:eastAsia="仿宋"/>
        </w:rPr>
        <w:t xml:space="preserve">T </w:t>
      </w:r>
      <w:r>
        <w:t>85-2017</w:t>
      </w:r>
      <w:r>
        <w:rPr>
          <w:spacing w:val="-35"/>
        </w:rPr>
        <w:t xml:space="preserve"> 第 </w:t>
      </w:r>
      <w:r>
        <w:t>2.0.1</w:t>
      </w:r>
      <w:r>
        <w:rPr>
          <w:spacing w:val="-8"/>
        </w:rPr>
        <w:t xml:space="preserve"> 条“绿地包括城市建设用地内的绿地和城市</w:t>
      </w:r>
      <w:r>
        <w:rPr>
          <w:spacing w:val="-12"/>
        </w:rPr>
        <w:t xml:space="preserve">建设用地外的区域绿地两部分”和第 </w:t>
      </w:r>
      <w:r>
        <w:t>2.0.4</w:t>
      </w:r>
      <w:r>
        <w:rPr>
          <w:spacing w:val="-9"/>
        </w:rPr>
        <w:t xml:space="preserve"> 条“城市建设用地内的绿地分为公园绿地、防护绿地、广场用</w:t>
      </w:r>
      <w:r>
        <w:rPr>
          <w:spacing w:val="-9"/>
          <w:w w:val="95"/>
        </w:rPr>
        <w:t xml:space="preserve">地、附属绿地四类；城市建设用地外的区域绿地分为风景游憩绿地、生态保有绿地、区域设施防护绿地、   </w:t>
      </w:r>
      <w:r>
        <w:rPr>
          <w:spacing w:val="-8"/>
        </w:rPr>
        <w:t>生产绿地四类。”结合深圳市实际情况，本条将城市的绿地的无障碍设计范围规定为各类公园、附属绿地中的开放式绿地、区域绿地中的风景游憩绿地和对公众开放的其他绿地。</w:t>
      </w:r>
    </w:p>
    <w:p>
      <w:pPr>
        <w:pStyle w:val="5"/>
        <w:spacing w:line="268" w:lineRule="exact"/>
        <w:ind w:left="112"/>
        <w:jc w:val="both"/>
      </w:pPr>
      <w:r>
        <w:rPr>
          <w:b/>
        </w:rPr>
        <w:t>7.1.5</w:t>
      </w:r>
      <w:bookmarkStart w:id="872" w:name="7.1.5城市绿地宜配建下列无障碍设施，如表7.1.5。"/>
      <w:bookmarkEnd w:id="872"/>
      <w:r>
        <w:rPr>
          <w:b/>
        </w:rPr>
        <w:t xml:space="preserve"> </w:t>
      </w:r>
      <w:r>
        <w:t>城市绿地宜配建下列无障碍设施，如表 7.1.5。</w:t>
      </w:r>
    </w:p>
    <w:p>
      <w:pPr>
        <w:spacing w:after="0" w:line="268" w:lineRule="exact"/>
        <w:jc w:val="both"/>
        <w:sectPr>
          <w:footerReference r:id="rId17" w:type="default"/>
          <w:pgSz w:w="11910" w:h="16840"/>
          <w:pgMar w:top="1580" w:right="1000" w:bottom="280" w:left="1020" w:header="0" w:footer="0" w:gutter="0"/>
          <w:cols w:space="720" w:num="1"/>
        </w:sectPr>
      </w:pPr>
    </w:p>
    <w:p>
      <w:pPr>
        <w:spacing w:before="135"/>
        <w:ind w:left="5749" w:right="5745" w:firstLine="0"/>
        <w:jc w:val="center"/>
        <w:rPr>
          <w:rFonts w:hint="eastAsia" w:ascii="黑体" w:eastAsia="黑体"/>
          <w:sz w:val="20"/>
        </w:rPr>
      </w:pPr>
      <w:r>
        <mc:AlternateContent>
          <mc:Choice Requires="wps">
            <w:drawing>
              <wp:anchor distT="0" distB="0" distL="114300" distR="114300" simplePos="0" relativeHeight="251676672" behindDoc="1" locked="0" layoutInCell="1" allowOverlap="1">
                <wp:simplePos x="0" y="0"/>
                <wp:positionH relativeFrom="page">
                  <wp:posOffset>717550</wp:posOffset>
                </wp:positionH>
                <wp:positionV relativeFrom="paragraph">
                  <wp:posOffset>326390</wp:posOffset>
                </wp:positionV>
                <wp:extent cx="1118870" cy="1935480"/>
                <wp:effectExtent l="3810" t="2540" r="20320" b="5080"/>
                <wp:wrapNone/>
                <wp:docPr id="12" name="直线 8"/>
                <wp:cNvGraphicFramePr/>
                <a:graphic xmlns:a="http://schemas.openxmlformats.org/drawingml/2006/main">
                  <a:graphicData uri="http://schemas.microsoft.com/office/word/2010/wordprocessingShape">
                    <wps:wsp>
                      <wps:cNvSpPr/>
                      <wps:spPr>
                        <a:xfrm>
                          <a:off x="0" y="0"/>
                          <a:ext cx="1118870" cy="193548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8" o:spid="_x0000_s1026" o:spt="20" style="position:absolute;left:0pt;margin-left:56.5pt;margin-top:25.7pt;height:152.4pt;width:88.1pt;mso-position-horizontal-relative:page;z-index:-251639808;mso-width-relative:page;mso-height-relative:page;" filled="f" stroked="t" coordsize="21600,21600" o:gfxdata="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HPawrXAAAACgEAAA8AAAAAAAAAAQAgAAAAIgAAAGRycy9kb3ducmV2LnhtbFBLAQIUABQAAAAI&#10;AIdO4kB5N36a7gEAAOIDAAAOAAAAAAAAAAEAIAAAACYBAABkcnMvZTJvRG9jLnhtbFBLBQYAAAAA&#10;BgAGAFkBAACGBQ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677696" behindDoc="1" locked="0" layoutInCell="1" allowOverlap="1">
                <wp:simplePos x="0" y="0"/>
                <wp:positionH relativeFrom="page">
                  <wp:posOffset>2230755</wp:posOffset>
                </wp:positionH>
                <wp:positionV relativeFrom="page">
                  <wp:posOffset>2381250</wp:posOffset>
                </wp:positionV>
                <wp:extent cx="158115" cy="92075"/>
                <wp:effectExtent l="0" t="0" r="0" b="0"/>
                <wp:wrapNone/>
                <wp:docPr id="14" name="文本框 9"/>
                <wp:cNvGraphicFramePr/>
                <a:graphic xmlns:a="http://schemas.openxmlformats.org/drawingml/2006/main">
                  <a:graphicData uri="http://schemas.microsoft.com/office/word/2010/wordprocessingShape">
                    <wps:wsp>
                      <wps:cNvSpPr txBox="1"/>
                      <wps:spPr>
                        <a:xfrm>
                          <a:off x="0" y="0"/>
                          <a:ext cx="158115" cy="92075"/>
                        </a:xfrm>
                        <a:prstGeom prst="rect">
                          <a:avLst/>
                        </a:prstGeom>
                        <a:noFill/>
                        <a:ln>
                          <a:noFill/>
                        </a:ln>
                      </wps:spPr>
                      <wps:txbx>
                        <w:txbxContent>
                          <w:p>
                            <w:pPr>
                              <w:pStyle w:val="5"/>
                              <w:spacing w:line="249" w:lineRule="exact"/>
                              <w:ind w:left="20"/>
                            </w:pPr>
                            <w:r>
                              <w:rPr>
                                <w:w w:val="99"/>
                              </w:rPr>
                              <w:t>/</w:t>
                            </w:r>
                          </w:p>
                        </w:txbxContent>
                      </wps:txbx>
                      <wps:bodyPr vert="vert" lIns="0" tIns="0" rIns="0" bIns="0" upright="1"/>
                    </wps:wsp>
                  </a:graphicData>
                </a:graphic>
              </wp:anchor>
            </w:drawing>
          </mc:Choice>
          <mc:Fallback>
            <w:pict>
              <v:shape id="文本框 9" o:spid="_x0000_s1026" o:spt="202" type="#_x0000_t202" style="position:absolute;left:0pt;margin-left:175.65pt;margin-top:187.5pt;height:7.25pt;width:12.45pt;mso-position-horizontal-relative:page;mso-position-vertical-relative:page;z-index:-251638784;mso-width-relative:page;mso-height-relative:page;" filled="f" stroked="f" coordsize="21600,21600" o:gfxdata="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8zOpfcAAAACwEAAA8AAAAAAAAAAQAgAAAAIgAAAGRycy9kb3ducmV2&#10;LnhtbFBLAQIUABQAAAAIAIdO4kDuNOPxvwEAAH0DAAAOAAAAAAAAAAEAIAAAACsBAABkcnMvZTJv&#10;RG9jLnhtbFBLBQYAAAAABgAGAFkBAABcBQAAAAA=&#10;">
                <v:fill on="f" focussize="0,0"/>
                <v:stroke on="f"/>
                <v:imagedata o:title=""/>
                <o:lock v:ext="edit" aspectratio="f"/>
                <v:textbox inset="0mm,0mm,0mm,0mm" style="layout-flow:vertical;">
                  <w:txbxContent>
                    <w:p>
                      <w:pPr>
                        <w:pStyle w:val="5"/>
                        <w:spacing w:line="249" w:lineRule="exact"/>
                        <w:ind w:left="20"/>
                      </w:pPr>
                      <w:r>
                        <w:rPr>
                          <w:w w:val="99"/>
                        </w:rPr>
                        <w:t>/</w:t>
                      </w:r>
                    </w:p>
                  </w:txbxContent>
                </v:textbox>
              </v:shape>
            </w:pict>
          </mc:Fallback>
        </mc:AlternateContent>
      </w:r>
      <w:r>
        <w:rPr>
          <w:rFonts w:hint="eastAsia" w:ascii="黑体" w:eastAsia="黑体"/>
          <w:sz w:val="20"/>
        </w:rPr>
        <w:t xml:space="preserve">表 </w:t>
      </w:r>
      <w:r>
        <w:rPr>
          <w:b/>
          <w:sz w:val="20"/>
        </w:rPr>
        <w:t xml:space="preserve">7.1.5 </w:t>
      </w:r>
      <w:r>
        <w:rPr>
          <w:rFonts w:hint="eastAsia" w:ascii="黑体" w:eastAsia="黑体"/>
          <w:sz w:val="20"/>
        </w:rPr>
        <w:t>城市绿地无障碍设施配建表</w:t>
      </w:r>
    </w:p>
    <w:p>
      <w:pPr>
        <w:pStyle w:val="5"/>
        <w:spacing w:before="2"/>
        <w:rPr>
          <w:rFonts w:ascii="黑体"/>
          <w:sz w:val="8"/>
        </w:rPr>
      </w:pPr>
    </w:p>
    <w:tbl>
      <w:tblPr>
        <w:tblStyle w:val="9"/>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35"/>
        <w:gridCol w:w="1338"/>
        <w:gridCol w:w="492"/>
        <w:gridCol w:w="492"/>
        <w:gridCol w:w="492"/>
        <w:gridCol w:w="493"/>
        <w:gridCol w:w="492"/>
        <w:gridCol w:w="492"/>
        <w:gridCol w:w="492"/>
        <w:gridCol w:w="493"/>
        <w:gridCol w:w="492"/>
        <w:gridCol w:w="492"/>
        <w:gridCol w:w="492"/>
        <w:gridCol w:w="493"/>
        <w:gridCol w:w="492"/>
        <w:gridCol w:w="492"/>
        <w:gridCol w:w="493"/>
        <w:gridCol w:w="492"/>
        <w:gridCol w:w="492"/>
        <w:gridCol w:w="492"/>
        <w:gridCol w:w="493"/>
        <w:gridCol w:w="492"/>
        <w:gridCol w:w="492"/>
        <w:gridCol w:w="492"/>
        <w:gridCol w:w="493"/>
        <w:gridCol w:w="492"/>
        <w:gridCol w:w="492"/>
        <w:gridCol w:w="5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trPr>
        <w:tc>
          <w:tcPr>
            <w:tcW w:w="1773" w:type="dxa"/>
            <w:gridSpan w:val="2"/>
            <w:vMerge w:val="restart"/>
            <w:tcBorders>
              <w:bottom w:val="single" w:color="000000" w:sz="4" w:space="0"/>
              <w:right w:val="single" w:color="000000" w:sz="4" w:space="0"/>
            </w:tcBorders>
          </w:tcPr>
          <w:p>
            <w:pPr>
              <w:pStyle w:val="13"/>
              <w:spacing w:before="11"/>
              <w:rPr>
                <w:rFonts w:ascii="黑体"/>
                <w:sz w:val="22"/>
              </w:rPr>
            </w:pPr>
          </w:p>
          <w:p>
            <w:pPr>
              <w:pStyle w:val="13"/>
              <w:spacing w:line="278" w:lineRule="auto"/>
              <w:ind w:left="885" w:right="294" w:hanging="53"/>
              <w:rPr>
                <w:sz w:val="21"/>
              </w:rPr>
            </w:pPr>
            <w:r>
              <w:rPr>
                <w:sz w:val="21"/>
              </w:rPr>
              <w:t>无障碍设施</w:t>
            </w:r>
          </w:p>
          <w:p>
            <w:pPr>
              <w:pStyle w:val="13"/>
              <w:rPr>
                <w:rFonts w:ascii="黑体"/>
                <w:sz w:val="20"/>
              </w:rPr>
            </w:pPr>
          </w:p>
          <w:p>
            <w:pPr>
              <w:pStyle w:val="13"/>
              <w:rPr>
                <w:rFonts w:ascii="黑体"/>
                <w:sz w:val="20"/>
              </w:rPr>
            </w:pPr>
          </w:p>
          <w:p>
            <w:pPr>
              <w:pStyle w:val="13"/>
              <w:rPr>
                <w:rFonts w:ascii="黑体"/>
                <w:sz w:val="20"/>
              </w:rPr>
            </w:pPr>
          </w:p>
          <w:p>
            <w:pPr>
              <w:pStyle w:val="13"/>
              <w:rPr>
                <w:rFonts w:ascii="黑体"/>
                <w:sz w:val="20"/>
              </w:rPr>
            </w:pPr>
          </w:p>
          <w:p>
            <w:pPr>
              <w:pStyle w:val="13"/>
              <w:rPr>
                <w:rFonts w:ascii="黑体"/>
                <w:sz w:val="20"/>
              </w:rPr>
            </w:pPr>
          </w:p>
          <w:p>
            <w:pPr>
              <w:pStyle w:val="13"/>
              <w:spacing w:before="10"/>
              <w:rPr>
                <w:rFonts w:ascii="黑体"/>
                <w:sz w:val="15"/>
              </w:rPr>
            </w:pPr>
          </w:p>
          <w:p>
            <w:pPr>
              <w:pStyle w:val="13"/>
              <w:ind w:left="316"/>
              <w:rPr>
                <w:sz w:val="21"/>
              </w:rPr>
            </w:pPr>
            <w:r>
              <w:rPr>
                <w:sz w:val="21"/>
              </w:rPr>
              <w:t>类型</w:t>
            </w:r>
          </w:p>
        </w:tc>
        <w:tc>
          <w:tcPr>
            <w:tcW w:w="6891" w:type="dxa"/>
            <w:gridSpan w:val="14"/>
            <w:tcBorders>
              <w:left w:val="single" w:color="000000" w:sz="4" w:space="0"/>
              <w:bottom w:val="single" w:color="000000" w:sz="4" w:space="0"/>
              <w:right w:val="single" w:color="000000" w:sz="4" w:space="0"/>
            </w:tcBorders>
          </w:tcPr>
          <w:p>
            <w:pPr>
              <w:pStyle w:val="13"/>
              <w:spacing w:before="118"/>
              <w:ind w:left="2694" w:right="2677"/>
              <w:jc w:val="center"/>
              <w:rPr>
                <w:sz w:val="21"/>
              </w:rPr>
            </w:pPr>
            <w:r>
              <w:rPr>
                <w:sz w:val="21"/>
              </w:rPr>
              <w:t>无障碍通行设施</w:t>
            </w:r>
          </w:p>
        </w:tc>
        <w:tc>
          <w:tcPr>
            <w:tcW w:w="4431" w:type="dxa"/>
            <w:gridSpan w:val="9"/>
            <w:tcBorders>
              <w:left w:val="single" w:color="000000" w:sz="4" w:space="0"/>
              <w:bottom w:val="single" w:color="000000" w:sz="4" w:space="0"/>
              <w:right w:val="single" w:color="000000" w:sz="4" w:space="0"/>
            </w:tcBorders>
          </w:tcPr>
          <w:p>
            <w:pPr>
              <w:pStyle w:val="13"/>
              <w:spacing w:before="118"/>
              <w:ind w:left="1485"/>
              <w:rPr>
                <w:sz w:val="21"/>
              </w:rPr>
            </w:pPr>
            <w:r>
              <w:rPr>
                <w:sz w:val="21"/>
              </w:rPr>
              <w:t>无障碍服务设施</w:t>
            </w:r>
          </w:p>
        </w:tc>
        <w:tc>
          <w:tcPr>
            <w:tcW w:w="1496" w:type="dxa"/>
            <w:gridSpan w:val="3"/>
            <w:tcBorders>
              <w:left w:val="single" w:color="000000" w:sz="4" w:space="0"/>
              <w:bottom w:val="single" w:color="000000" w:sz="4" w:space="0"/>
              <w:right w:val="single" w:color="000000" w:sz="4" w:space="0"/>
            </w:tcBorders>
          </w:tcPr>
          <w:p>
            <w:pPr>
              <w:pStyle w:val="13"/>
              <w:spacing w:before="16" w:line="240" w:lineRule="exact"/>
              <w:ind w:left="647" w:right="104" w:hanging="526"/>
              <w:rPr>
                <w:sz w:val="21"/>
              </w:rPr>
            </w:pPr>
            <w:r>
              <w:rPr>
                <w:sz w:val="21"/>
              </w:rPr>
              <w:t>无障碍信息设施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22" w:hRule="atLeast"/>
        </w:trPr>
        <w:tc>
          <w:tcPr>
            <w:tcW w:w="1773" w:type="dxa"/>
            <w:gridSpan w:val="2"/>
            <w:vMerge w:val="continue"/>
            <w:tcBorders>
              <w:top w:val="nil"/>
              <w:bottom w:val="single" w:color="000000" w:sz="4" w:space="0"/>
              <w:right w:val="single" w:color="000000" w:sz="4" w:space="0"/>
            </w:tcBorders>
          </w:tcPr>
          <w:p>
            <w:pPr>
              <w:rPr>
                <w:sz w:val="2"/>
                <w:szCs w:val="2"/>
              </w:rPr>
            </w:pP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6"/>
              <w:ind w:left="316"/>
              <w:rPr>
                <w:sz w:val="21"/>
              </w:rPr>
            </w:pPr>
            <w:r>
              <w:rPr>
                <w:sz w:val="21"/>
              </w:rPr>
              <w:t>无障碍机动车停车位</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6"/>
              <w:ind w:left="160"/>
              <w:rPr>
                <w:sz w:val="21"/>
              </w:rPr>
            </w:pPr>
            <w:r>
              <w:rPr>
                <w:sz w:val="21"/>
              </w:rPr>
              <w:t>无障碍小汽车上 落客区</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6"/>
              <w:ind w:left="821" w:right="821"/>
              <w:jc w:val="center"/>
              <w:rPr>
                <w:sz w:val="21"/>
              </w:rPr>
            </w:pPr>
            <w:r>
              <w:rPr>
                <w:sz w:val="21"/>
              </w:rPr>
              <w:t>缘石坡道</w:t>
            </w:r>
          </w:p>
        </w:tc>
        <w:tc>
          <w:tcPr>
            <w:tcW w:w="493" w:type="dxa"/>
            <w:tcBorders>
              <w:top w:val="single" w:color="000000" w:sz="4" w:space="0"/>
              <w:left w:val="single" w:color="000000" w:sz="4" w:space="0"/>
              <w:bottom w:val="single" w:color="000000" w:sz="4" w:space="0"/>
              <w:right w:val="single" w:color="000000" w:sz="4" w:space="0"/>
            </w:tcBorders>
            <w:textDirection w:val="tbRl"/>
          </w:tcPr>
          <w:p>
            <w:pPr>
              <w:pStyle w:val="13"/>
              <w:spacing w:before="14"/>
              <w:ind w:left="821" w:right="821"/>
              <w:jc w:val="center"/>
              <w:rPr>
                <w:sz w:val="21"/>
              </w:rPr>
            </w:pPr>
            <w:r>
              <w:rPr>
                <w:sz w:val="21"/>
              </w:rPr>
              <w:t>盲道</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4"/>
              <w:ind w:left="736"/>
              <w:rPr>
                <w:sz w:val="21"/>
              </w:rPr>
            </w:pPr>
            <w:r>
              <w:rPr>
                <w:sz w:val="21"/>
              </w:rPr>
              <w:t>无障碍通道</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4"/>
              <w:ind w:left="821" w:right="821"/>
              <w:jc w:val="center"/>
              <w:rPr>
                <w:sz w:val="21"/>
              </w:rPr>
            </w:pPr>
            <w:r>
              <w:rPr>
                <w:sz w:val="21"/>
              </w:rPr>
              <w:t>轮椅坡道</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4"/>
              <w:ind w:left="631"/>
              <w:rPr>
                <w:sz w:val="21"/>
              </w:rPr>
            </w:pPr>
            <w:r>
              <w:rPr>
                <w:sz w:val="21"/>
              </w:rPr>
              <w:t>无障碍出入口</w:t>
            </w:r>
          </w:p>
        </w:tc>
        <w:tc>
          <w:tcPr>
            <w:tcW w:w="493" w:type="dxa"/>
            <w:tcBorders>
              <w:top w:val="single" w:color="000000" w:sz="4" w:space="0"/>
              <w:left w:val="single" w:color="000000" w:sz="4" w:space="0"/>
              <w:bottom w:val="single" w:color="000000" w:sz="4" w:space="0"/>
              <w:right w:val="single" w:color="000000" w:sz="4" w:space="0"/>
            </w:tcBorders>
            <w:textDirection w:val="tbRl"/>
          </w:tcPr>
          <w:p>
            <w:pPr>
              <w:pStyle w:val="13"/>
              <w:spacing w:before="15"/>
              <w:jc w:val="center"/>
              <w:rPr>
                <w:sz w:val="21"/>
              </w:rPr>
            </w:pPr>
            <w:r>
              <w:rPr>
                <w:w w:val="99"/>
                <w:sz w:val="21"/>
              </w:rPr>
              <w:t>门</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5"/>
              <w:ind w:left="736"/>
              <w:rPr>
                <w:sz w:val="21"/>
              </w:rPr>
            </w:pPr>
            <w:r>
              <w:rPr>
                <w:sz w:val="21"/>
              </w:rPr>
              <w:t>无障碍电梯</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5"/>
              <w:ind w:left="736"/>
              <w:rPr>
                <w:sz w:val="21"/>
              </w:rPr>
            </w:pPr>
            <w:r>
              <w:rPr>
                <w:sz w:val="21"/>
              </w:rPr>
              <w:t>无障碍楼梯</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5"/>
              <w:ind w:left="821" w:right="821"/>
              <w:jc w:val="center"/>
              <w:rPr>
                <w:sz w:val="21"/>
              </w:rPr>
            </w:pPr>
            <w:r>
              <w:rPr>
                <w:sz w:val="21"/>
              </w:rPr>
              <w:t>台阶</w:t>
            </w:r>
          </w:p>
        </w:tc>
        <w:tc>
          <w:tcPr>
            <w:tcW w:w="493" w:type="dxa"/>
            <w:tcBorders>
              <w:top w:val="single" w:color="000000" w:sz="4" w:space="0"/>
              <w:left w:val="single" w:color="000000" w:sz="4" w:space="0"/>
              <w:bottom w:val="single" w:color="000000" w:sz="4" w:space="0"/>
              <w:right w:val="single" w:color="000000" w:sz="4" w:space="0"/>
            </w:tcBorders>
            <w:textDirection w:val="tbRl"/>
          </w:tcPr>
          <w:p>
            <w:pPr>
              <w:pStyle w:val="13"/>
              <w:spacing w:before="14"/>
              <w:ind w:left="821" w:right="821"/>
              <w:jc w:val="center"/>
              <w:rPr>
                <w:sz w:val="21"/>
              </w:rPr>
            </w:pPr>
            <w:r>
              <w:rPr>
                <w:sz w:val="21"/>
              </w:rPr>
              <w:t>自动扶梯</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4"/>
              <w:ind w:left="736"/>
              <w:rPr>
                <w:sz w:val="21"/>
              </w:rPr>
            </w:pPr>
            <w:r>
              <w:rPr>
                <w:sz w:val="21"/>
              </w:rPr>
              <w:t>自动人行道</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4"/>
              <w:ind w:left="821" w:right="821"/>
              <w:jc w:val="center"/>
              <w:rPr>
                <w:sz w:val="21"/>
              </w:rPr>
            </w:pPr>
            <w:r>
              <w:rPr>
                <w:sz w:val="21"/>
              </w:rPr>
              <w:t>扶手</w:t>
            </w:r>
          </w:p>
        </w:tc>
        <w:tc>
          <w:tcPr>
            <w:tcW w:w="493" w:type="dxa"/>
            <w:tcBorders>
              <w:top w:val="single" w:color="000000" w:sz="4" w:space="0"/>
              <w:left w:val="single" w:color="000000" w:sz="4" w:space="0"/>
              <w:bottom w:val="single" w:color="000000" w:sz="4" w:space="0"/>
              <w:right w:val="single" w:color="000000" w:sz="4" w:space="0"/>
            </w:tcBorders>
            <w:textDirection w:val="tbRl"/>
          </w:tcPr>
          <w:p>
            <w:pPr>
              <w:pStyle w:val="13"/>
              <w:spacing w:before="15"/>
              <w:ind w:left="821" w:right="820"/>
              <w:jc w:val="center"/>
              <w:rPr>
                <w:sz w:val="21"/>
              </w:rPr>
            </w:pPr>
            <w:r>
              <w:rPr>
                <w:sz w:val="21"/>
              </w:rPr>
              <w:t>母婴室</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5"/>
              <w:ind w:left="631"/>
              <w:rPr>
                <w:sz w:val="21"/>
              </w:rPr>
            </w:pPr>
            <w:r>
              <w:rPr>
                <w:sz w:val="21"/>
              </w:rPr>
              <w:t>无障碍卫生间</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5"/>
              <w:ind w:left="736"/>
              <w:rPr>
                <w:sz w:val="21"/>
              </w:rPr>
            </w:pPr>
            <w:r>
              <w:rPr>
                <w:sz w:val="21"/>
              </w:rPr>
              <w:t>第三卫生间</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5"/>
              <w:ind w:left="736"/>
              <w:rPr>
                <w:sz w:val="21"/>
              </w:rPr>
            </w:pPr>
            <w:r>
              <w:rPr>
                <w:sz w:val="21"/>
              </w:rPr>
              <w:t>公共卫生间</w:t>
            </w:r>
          </w:p>
        </w:tc>
        <w:tc>
          <w:tcPr>
            <w:tcW w:w="493" w:type="dxa"/>
            <w:tcBorders>
              <w:top w:val="single" w:color="000000" w:sz="4" w:space="0"/>
              <w:left w:val="single" w:color="000000" w:sz="4" w:space="0"/>
              <w:bottom w:val="single" w:color="000000" w:sz="4" w:space="0"/>
              <w:right w:val="single" w:color="000000" w:sz="4" w:space="0"/>
            </w:tcBorders>
            <w:textDirection w:val="tbRl"/>
          </w:tcPr>
          <w:p>
            <w:pPr>
              <w:pStyle w:val="13"/>
              <w:spacing w:before="16"/>
              <w:ind w:left="422"/>
              <w:rPr>
                <w:sz w:val="21"/>
              </w:rPr>
            </w:pPr>
            <w:r>
              <w:rPr>
                <w:sz w:val="21"/>
              </w:rPr>
              <w:t>公共浴室及更衣室</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6"/>
              <w:ind w:left="736"/>
              <w:rPr>
                <w:sz w:val="21"/>
              </w:rPr>
            </w:pPr>
            <w:r>
              <w:rPr>
                <w:sz w:val="21"/>
              </w:rPr>
              <w:t>无障碍客房</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6"/>
              <w:ind w:left="422"/>
              <w:rPr>
                <w:sz w:val="21"/>
              </w:rPr>
            </w:pPr>
            <w:r>
              <w:rPr>
                <w:sz w:val="21"/>
              </w:rPr>
              <w:t>无障碍住房、宿舍</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6"/>
              <w:ind w:left="821" w:right="821"/>
              <w:jc w:val="center"/>
              <w:rPr>
                <w:sz w:val="21"/>
              </w:rPr>
            </w:pPr>
            <w:r>
              <w:rPr>
                <w:sz w:val="21"/>
              </w:rPr>
              <w:t>轮椅席位</w:t>
            </w:r>
          </w:p>
        </w:tc>
        <w:tc>
          <w:tcPr>
            <w:tcW w:w="493" w:type="dxa"/>
            <w:tcBorders>
              <w:top w:val="single" w:color="000000" w:sz="4" w:space="0"/>
              <w:left w:val="single" w:color="000000" w:sz="4" w:space="0"/>
              <w:bottom w:val="single" w:color="000000" w:sz="4" w:space="0"/>
              <w:right w:val="single" w:color="000000" w:sz="4" w:space="0"/>
            </w:tcBorders>
            <w:textDirection w:val="tbRl"/>
          </w:tcPr>
          <w:p>
            <w:pPr>
              <w:pStyle w:val="13"/>
              <w:spacing w:before="14"/>
              <w:ind w:left="631"/>
              <w:rPr>
                <w:sz w:val="21"/>
              </w:rPr>
            </w:pPr>
            <w:r>
              <w:rPr>
                <w:sz w:val="21"/>
              </w:rPr>
              <w:t>低位服务设施</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4"/>
              <w:ind w:left="821" w:right="821"/>
              <w:jc w:val="center"/>
              <w:rPr>
                <w:sz w:val="21"/>
              </w:rPr>
            </w:pPr>
            <w:r>
              <w:rPr>
                <w:sz w:val="21"/>
              </w:rPr>
              <w:t>标识设施</w:t>
            </w:r>
          </w:p>
        </w:tc>
        <w:tc>
          <w:tcPr>
            <w:tcW w:w="492" w:type="dxa"/>
            <w:tcBorders>
              <w:top w:val="single" w:color="000000" w:sz="4" w:space="0"/>
              <w:left w:val="single" w:color="000000" w:sz="4" w:space="0"/>
              <w:bottom w:val="single" w:color="000000" w:sz="4" w:space="0"/>
              <w:right w:val="single" w:color="000000" w:sz="4" w:space="0"/>
            </w:tcBorders>
            <w:textDirection w:val="tbRl"/>
          </w:tcPr>
          <w:p>
            <w:pPr>
              <w:pStyle w:val="13"/>
              <w:spacing w:before="14"/>
              <w:ind w:left="821" w:right="821"/>
              <w:jc w:val="center"/>
              <w:rPr>
                <w:sz w:val="21"/>
              </w:rPr>
            </w:pPr>
            <w:r>
              <w:rPr>
                <w:sz w:val="21"/>
              </w:rPr>
              <w:t>盲文设施</w:t>
            </w:r>
          </w:p>
        </w:tc>
        <w:tc>
          <w:tcPr>
            <w:tcW w:w="512" w:type="dxa"/>
            <w:tcBorders>
              <w:top w:val="single" w:color="000000" w:sz="4" w:space="0"/>
              <w:left w:val="single" w:color="000000" w:sz="4" w:space="0"/>
              <w:bottom w:val="single" w:color="000000" w:sz="4" w:space="0"/>
              <w:right w:val="single" w:color="000000" w:sz="4" w:space="0"/>
            </w:tcBorders>
            <w:textDirection w:val="tbRl"/>
          </w:tcPr>
          <w:p>
            <w:pPr>
              <w:pStyle w:val="13"/>
              <w:spacing w:before="25"/>
              <w:ind w:left="821" w:right="821"/>
              <w:jc w:val="center"/>
              <w:rPr>
                <w:sz w:val="21"/>
              </w:rPr>
            </w:pPr>
            <w:r>
              <w:rPr>
                <w:sz w:val="21"/>
              </w:rPr>
              <w:t>交互设备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6" w:hRule="atLeast"/>
        </w:trPr>
        <w:tc>
          <w:tcPr>
            <w:tcW w:w="435" w:type="dxa"/>
            <w:vMerge w:val="restart"/>
            <w:tcBorders>
              <w:top w:val="single" w:color="000000" w:sz="4" w:space="0"/>
              <w:bottom w:val="single" w:color="000000" w:sz="4" w:space="0"/>
              <w:right w:val="single" w:color="000000" w:sz="4" w:space="0"/>
            </w:tcBorders>
            <w:textDirection w:val="tbRl"/>
          </w:tcPr>
          <w:p>
            <w:pPr>
              <w:pStyle w:val="13"/>
              <w:spacing w:line="255" w:lineRule="exact"/>
              <w:ind w:left="1632" w:right="1633"/>
              <w:jc w:val="center"/>
              <w:rPr>
                <w:sz w:val="21"/>
              </w:rPr>
            </w:pPr>
            <w:r>
              <w:rPr>
                <w:sz w:val="21"/>
              </w:rPr>
              <w:t>城市绿地</w:t>
            </w:r>
          </w:p>
        </w:tc>
        <w:tc>
          <w:tcPr>
            <w:tcW w:w="1338" w:type="dxa"/>
            <w:tcBorders>
              <w:top w:val="single" w:color="000000" w:sz="4" w:space="0"/>
              <w:left w:val="single" w:color="000000" w:sz="4" w:space="0"/>
              <w:bottom w:val="single" w:color="000000" w:sz="4" w:space="0"/>
              <w:right w:val="single" w:color="000000" w:sz="4" w:space="0"/>
            </w:tcBorders>
          </w:tcPr>
          <w:p>
            <w:pPr>
              <w:pStyle w:val="13"/>
              <w:spacing w:before="47" w:line="213" w:lineRule="auto"/>
              <w:ind w:left="568" w:right="234" w:hanging="315"/>
              <w:rPr>
                <w:sz w:val="21"/>
              </w:rPr>
            </w:pPr>
            <w:r>
              <w:rPr>
                <w:sz w:val="21"/>
              </w:rPr>
              <w:t>公共停车场</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right="126"/>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44"/>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4"/>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9"/>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4"/>
              <w:ind w:right="127"/>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7"/>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6"/>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4"/>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right="124"/>
              <w:jc w:val="right"/>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4"/>
              <w:ind w:left="18"/>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7"/>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4"/>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5"/>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right="126"/>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5"/>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4"/>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8"/>
              <w:jc w:val="center"/>
              <w:rPr>
                <w:sz w:val="21"/>
              </w:rPr>
            </w:pPr>
            <w:r>
              <w:rPr>
                <w:w w:val="99"/>
                <w:sz w:val="21"/>
              </w:rPr>
              <w:t>—</w:t>
            </w:r>
          </w:p>
        </w:tc>
        <w:tc>
          <w:tcPr>
            <w:tcW w:w="512" w:type="dxa"/>
            <w:tcBorders>
              <w:top w:val="single" w:color="000000" w:sz="4" w:space="0"/>
              <w:left w:val="single" w:color="000000" w:sz="4" w:space="0"/>
              <w:bottom w:val="single" w:color="000000" w:sz="4" w:space="0"/>
              <w:right w:val="single" w:color="000000" w:sz="4" w:space="0"/>
            </w:tcBorders>
          </w:tcPr>
          <w:p>
            <w:pPr>
              <w:pStyle w:val="13"/>
              <w:spacing w:before="144"/>
              <w:ind w:right="135"/>
              <w:jc w:val="right"/>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435" w:type="dxa"/>
            <w:vMerge w:val="continue"/>
            <w:tcBorders>
              <w:top w:val="nil"/>
              <w:bottom w:val="single" w:color="000000" w:sz="4" w:space="0"/>
              <w:right w:val="single" w:color="000000" w:sz="4" w:space="0"/>
            </w:tcBorders>
            <w:textDirection w:val="tbRl"/>
          </w:tcPr>
          <w:p>
            <w:pPr>
              <w:rPr>
                <w:sz w:val="2"/>
                <w:szCs w:val="2"/>
              </w:rPr>
            </w:pPr>
          </w:p>
        </w:tc>
        <w:tc>
          <w:tcPr>
            <w:tcW w:w="1338" w:type="dxa"/>
            <w:tcBorders>
              <w:top w:val="single" w:color="000000" w:sz="4" w:space="0"/>
              <w:left w:val="single" w:color="000000" w:sz="4" w:space="0"/>
              <w:bottom w:val="single" w:color="000000" w:sz="4" w:space="0"/>
              <w:right w:val="single" w:color="000000" w:sz="4" w:space="0"/>
            </w:tcBorders>
          </w:tcPr>
          <w:p>
            <w:pPr>
              <w:pStyle w:val="13"/>
              <w:spacing w:before="64"/>
              <w:ind w:left="232" w:right="213"/>
              <w:jc w:val="center"/>
              <w:rPr>
                <w:sz w:val="21"/>
              </w:rPr>
            </w:pPr>
            <w:r>
              <w:rPr>
                <w:sz w:val="21"/>
              </w:rPr>
              <w:t>售票处</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right="126"/>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left="144"/>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64"/>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left="19"/>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64"/>
              <w:ind w:right="127"/>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left="17"/>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left="18"/>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64"/>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right="124"/>
              <w:jc w:val="right"/>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64"/>
              <w:ind w:left="18"/>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left="17"/>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64"/>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left="15"/>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right="126"/>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left="15"/>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64"/>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4"/>
              <w:ind w:left="18"/>
              <w:jc w:val="center"/>
              <w:rPr>
                <w:sz w:val="21"/>
              </w:rPr>
            </w:pPr>
            <w:r>
              <w:rPr>
                <w:w w:val="99"/>
                <w:sz w:val="21"/>
              </w:rPr>
              <w:t>—</w:t>
            </w:r>
          </w:p>
        </w:tc>
        <w:tc>
          <w:tcPr>
            <w:tcW w:w="512" w:type="dxa"/>
            <w:tcBorders>
              <w:top w:val="single" w:color="000000" w:sz="4" w:space="0"/>
              <w:left w:val="single" w:color="000000" w:sz="4" w:space="0"/>
              <w:bottom w:val="single" w:color="000000" w:sz="4" w:space="0"/>
              <w:right w:val="single" w:color="000000" w:sz="4" w:space="0"/>
            </w:tcBorders>
          </w:tcPr>
          <w:p>
            <w:pPr>
              <w:pStyle w:val="13"/>
              <w:spacing w:before="64"/>
              <w:ind w:right="135"/>
              <w:jc w:val="right"/>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5" w:hRule="atLeast"/>
        </w:trPr>
        <w:tc>
          <w:tcPr>
            <w:tcW w:w="435" w:type="dxa"/>
            <w:vMerge w:val="continue"/>
            <w:tcBorders>
              <w:top w:val="nil"/>
              <w:bottom w:val="single" w:color="000000" w:sz="4" w:space="0"/>
              <w:right w:val="single" w:color="000000" w:sz="4" w:space="0"/>
            </w:tcBorders>
            <w:textDirection w:val="tbRl"/>
          </w:tcPr>
          <w:p>
            <w:pPr>
              <w:rPr>
                <w:sz w:val="2"/>
                <w:szCs w:val="2"/>
              </w:rPr>
            </w:pPr>
          </w:p>
        </w:tc>
        <w:tc>
          <w:tcPr>
            <w:tcW w:w="1338" w:type="dxa"/>
            <w:tcBorders>
              <w:top w:val="single" w:color="000000" w:sz="4" w:space="0"/>
              <w:left w:val="single" w:color="000000" w:sz="4" w:space="0"/>
              <w:bottom w:val="single" w:color="000000" w:sz="4" w:space="0"/>
              <w:right w:val="single" w:color="000000" w:sz="4" w:space="0"/>
            </w:tcBorders>
          </w:tcPr>
          <w:p>
            <w:pPr>
              <w:pStyle w:val="13"/>
              <w:spacing w:before="79"/>
              <w:ind w:left="232" w:right="213"/>
              <w:jc w:val="center"/>
              <w:rPr>
                <w:sz w:val="21"/>
              </w:rPr>
            </w:pPr>
            <w:r>
              <w:rPr>
                <w:sz w:val="21"/>
              </w:rPr>
              <w:t>出入口</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right="126"/>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left="144"/>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79"/>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left="19"/>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79"/>
              <w:ind w:right="127"/>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left="17"/>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left="16"/>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79"/>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right="124"/>
              <w:jc w:val="right"/>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79"/>
              <w:ind w:left="18"/>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left="17"/>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79"/>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left="15"/>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right="126"/>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left="15"/>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79"/>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79"/>
              <w:ind w:left="18"/>
              <w:jc w:val="center"/>
              <w:rPr>
                <w:sz w:val="21"/>
              </w:rPr>
            </w:pPr>
            <w:r>
              <w:rPr>
                <w:w w:val="99"/>
                <w:sz w:val="21"/>
              </w:rPr>
              <w:t>○</w:t>
            </w:r>
          </w:p>
        </w:tc>
        <w:tc>
          <w:tcPr>
            <w:tcW w:w="512" w:type="dxa"/>
            <w:tcBorders>
              <w:top w:val="single" w:color="000000" w:sz="4" w:space="0"/>
              <w:left w:val="single" w:color="000000" w:sz="4" w:space="0"/>
              <w:bottom w:val="single" w:color="000000" w:sz="4" w:space="0"/>
              <w:right w:val="single" w:color="000000" w:sz="4" w:space="0"/>
            </w:tcBorders>
          </w:tcPr>
          <w:p>
            <w:pPr>
              <w:pStyle w:val="13"/>
              <w:spacing w:before="79"/>
              <w:ind w:right="135"/>
              <w:jc w:val="right"/>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435" w:type="dxa"/>
            <w:vMerge w:val="continue"/>
            <w:tcBorders>
              <w:top w:val="nil"/>
              <w:bottom w:val="single" w:color="000000" w:sz="4" w:space="0"/>
              <w:right w:val="single" w:color="000000" w:sz="4" w:space="0"/>
            </w:tcBorders>
            <w:textDirection w:val="tbRl"/>
          </w:tcPr>
          <w:p>
            <w:pPr>
              <w:rPr>
                <w:sz w:val="2"/>
                <w:szCs w:val="2"/>
              </w:rPr>
            </w:pPr>
          </w:p>
        </w:tc>
        <w:tc>
          <w:tcPr>
            <w:tcW w:w="1338" w:type="dxa"/>
            <w:tcBorders>
              <w:top w:val="single" w:color="000000" w:sz="4" w:space="0"/>
              <w:left w:val="single" w:color="000000" w:sz="4" w:space="0"/>
              <w:bottom w:val="single" w:color="000000" w:sz="4" w:space="0"/>
              <w:right w:val="single" w:color="000000" w:sz="4" w:space="0"/>
            </w:tcBorders>
          </w:tcPr>
          <w:p>
            <w:pPr>
              <w:pStyle w:val="13"/>
              <w:spacing w:before="48" w:line="213" w:lineRule="auto"/>
              <w:ind w:left="359" w:right="234" w:hanging="106"/>
              <w:rPr>
                <w:sz w:val="21"/>
              </w:rPr>
            </w:pPr>
            <w:r>
              <w:rPr>
                <w:sz w:val="21"/>
              </w:rPr>
              <w:t>无障碍游览路线</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right="126"/>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44"/>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9"/>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right="127"/>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7"/>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6"/>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right="124"/>
              <w:jc w:val="right"/>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left="18"/>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7"/>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5"/>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right="126"/>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5"/>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8"/>
              <w:jc w:val="center"/>
              <w:rPr>
                <w:sz w:val="21"/>
              </w:rPr>
            </w:pPr>
            <w:r>
              <w:rPr>
                <w:w w:val="99"/>
                <w:sz w:val="21"/>
              </w:rPr>
              <w:t>—</w:t>
            </w:r>
          </w:p>
        </w:tc>
        <w:tc>
          <w:tcPr>
            <w:tcW w:w="512" w:type="dxa"/>
            <w:tcBorders>
              <w:top w:val="single" w:color="000000" w:sz="4" w:space="0"/>
              <w:left w:val="single" w:color="000000" w:sz="4" w:space="0"/>
              <w:bottom w:val="single" w:color="000000" w:sz="4" w:space="0"/>
              <w:right w:val="single" w:color="000000" w:sz="4" w:space="0"/>
            </w:tcBorders>
          </w:tcPr>
          <w:p>
            <w:pPr>
              <w:pStyle w:val="13"/>
              <w:spacing w:before="145"/>
              <w:ind w:right="135"/>
              <w:jc w:val="right"/>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435" w:type="dxa"/>
            <w:vMerge w:val="continue"/>
            <w:tcBorders>
              <w:top w:val="nil"/>
              <w:bottom w:val="single" w:color="000000" w:sz="4" w:space="0"/>
              <w:right w:val="single" w:color="000000" w:sz="4" w:space="0"/>
            </w:tcBorders>
            <w:textDirection w:val="tbRl"/>
          </w:tcPr>
          <w:p>
            <w:pPr>
              <w:rPr>
                <w:sz w:val="2"/>
                <w:szCs w:val="2"/>
              </w:rPr>
            </w:pPr>
          </w:p>
        </w:tc>
        <w:tc>
          <w:tcPr>
            <w:tcW w:w="1338" w:type="dxa"/>
            <w:tcBorders>
              <w:top w:val="single" w:color="000000" w:sz="4" w:space="0"/>
              <w:left w:val="single" w:color="000000" w:sz="4" w:space="0"/>
              <w:bottom w:val="single" w:color="000000" w:sz="4" w:space="0"/>
              <w:right w:val="single" w:color="000000" w:sz="4" w:space="0"/>
            </w:tcBorders>
          </w:tcPr>
          <w:p>
            <w:pPr>
              <w:pStyle w:val="13"/>
              <w:spacing w:before="65"/>
              <w:ind w:left="232" w:right="213"/>
              <w:jc w:val="center"/>
              <w:rPr>
                <w:sz w:val="21"/>
              </w:rPr>
            </w:pPr>
            <w:r>
              <w:rPr>
                <w:sz w:val="21"/>
              </w:rPr>
              <w:t>游憩区</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right="126"/>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left="144"/>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65"/>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left="19"/>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65"/>
              <w:ind w:right="127"/>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left="17"/>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left="16"/>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65"/>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right="124"/>
              <w:jc w:val="right"/>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65"/>
              <w:ind w:left="18"/>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left="17"/>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left="15"/>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rPr>
                <w:rFonts w:ascii="Times New Roman"/>
                <w:sz w:val="20"/>
              </w:rPr>
            </w:pP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left="15"/>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65"/>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65"/>
              <w:ind w:left="18"/>
              <w:jc w:val="center"/>
              <w:rPr>
                <w:sz w:val="21"/>
              </w:rPr>
            </w:pPr>
            <w:r>
              <w:rPr>
                <w:w w:val="99"/>
                <w:sz w:val="21"/>
              </w:rPr>
              <w:t>—</w:t>
            </w:r>
          </w:p>
        </w:tc>
        <w:tc>
          <w:tcPr>
            <w:tcW w:w="512" w:type="dxa"/>
            <w:tcBorders>
              <w:top w:val="single" w:color="000000" w:sz="4" w:space="0"/>
              <w:left w:val="single" w:color="000000" w:sz="4" w:space="0"/>
              <w:bottom w:val="single" w:color="000000" w:sz="4" w:space="0"/>
              <w:right w:val="single" w:color="000000" w:sz="4" w:space="0"/>
            </w:tcBorders>
          </w:tcPr>
          <w:p>
            <w:pPr>
              <w:pStyle w:val="13"/>
              <w:spacing w:before="65"/>
              <w:ind w:right="135"/>
              <w:jc w:val="right"/>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435" w:type="dxa"/>
            <w:vMerge w:val="continue"/>
            <w:tcBorders>
              <w:top w:val="nil"/>
              <w:bottom w:val="single" w:color="000000" w:sz="4" w:space="0"/>
              <w:right w:val="single" w:color="000000" w:sz="4" w:space="0"/>
            </w:tcBorders>
            <w:textDirection w:val="tbRl"/>
          </w:tcPr>
          <w:p>
            <w:pPr>
              <w:rPr>
                <w:sz w:val="2"/>
                <w:szCs w:val="2"/>
              </w:rPr>
            </w:pPr>
          </w:p>
        </w:tc>
        <w:tc>
          <w:tcPr>
            <w:tcW w:w="1338" w:type="dxa"/>
            <w:tcBorders>
              <w:top w:val="single" w:color="000000" w:sz="4" w:space="0"/>
              <w:left w:val="single" w:color="000000" w:sz="4" w:space="0"/>
              <w:bottom w:val="single" w:color="000000" w:sz="4" w:space="0"/>
              <w:right w:val="single" w:color="000000" w:sz="4" w:space="0"/>
            </w:tcBorders>
          </w:tcPr>
          <w:p>
            <w:pPr>
              <w:pStyle w:val="13"/>
              <w:spacing w:before="145"/>
              <w:ind w:left="232" w:right="215"/>
              <w:jc w:val="center"/>
              <w:rPr>
                <w:sz w:val="21"/>
              </w:rPr>
            </w:pPr>
            <w:r>
              <w:rPr>
                <w:sz w:val="21"/>
              </w:rPr>
              <w:t>游憩设施</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right="126"/>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44"/>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9"/>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right="127"/>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7"/>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6"/>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right="124"/>
              <w:jc w:val="right"/>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left="18"/>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7"/>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5"/>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right="126"/>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5"/>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8"/>
              <w:jc w:val="center"/>
              <w:rPr>
                <w:sz w:val="21"/>
              </w:rPr>
            </w:pPr>
            <w:r>
              <w:rPr>
                <w:w w:val="99"/>
                <w:sz w:val="21"/>
              </w:rPr>
              <w:t>—</w:t>
            </w:r>
          </w:p>
        </w:tc>
        <w:tc>
          <w:tcPr>
            <w:tcW w:w="512" w:type="dxa"/>
            <w:tcBorders>
              <w:top w:val="single" w:color="000000" w:sz="4" w:space="0"/>
              <w:left w:val="single" w:color="000000" w:sz="4" w:space="0"/>
              <w:bottom w:val="single" w:color="000000" w:sz="4" w:space="0"/>
              <w:right w:val="single" w:color="000000" w:sz="4" w:space="0"/>
            </w:tcBorders>
          </w:tcPr>
          <w:p>
            <w:pPr>
              <w:pStyle w:val="13"/>
              <w:spacing w:before="145"/>
              <w:ind w:right="135"/>
              <w:jc w:val="right"/>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6" w:hRule="atLeast"/>
        </w:trPr>
        <w:tc>
          <w:tcPr>
            <w:tcW w:w="435" w:type="dxa"/>
            <w:vMerge w:val="continue"/>
            <w:tcBorders>
              <w:top w:val="nil"/>
              <w:bottom w:val="single" w:color="000000" w:sz="4" w:space="0"/>
              <w:right w:val="single" w:color="000000" w:sz="4" w:space="0"/>
            </w:tcBorders>
            <w:textDirection w:val="tbRl"/>
          </w:tcPr>
          <w:p>
            <w:pPr>
              <w:rPr>
                <w:sz w:val="2"/>
                <w:szCs w:val="2"/>
              </w:rPr>
            </w:pPr>
          </w:p>
        </w:tc>
        <w:tc>
          <w:tcPr>
            <w:tcW w:w="1338" w:type="dxa"/>
            <w:tcBorders>
              <w:top w:val="single" w:color="000000" w:sz="4" w:space="0"/>
              <w:left w:val="single" w:color="000000" w:sz="4" w:space="0"/>
              <w:bottom w:val="single" w:color="000000" w:sz="4" w:space="0"/>
              <w:right w:val="single" w:color="000000" w:sz="4" w:space="0"/>
            </w:tcBorders>
          </w:tcPr>
          <w:p>
            <w:pPr>
              <w:pStyle w:val="13"/>
              <w:spacing w:before="47" w:line="213" w:lineRule="auto"/>
              <w:ind w:left="568" w:right="234" w:hanging="315"/>
              <w:rPr>
                <w:sz w:val="21"/>
              </w:rPr>
            </w:pPr>
            <w:r>
              <w:rPr>
                <w:sz w:val="21"/>
              </w:rPr>
              <w:t>服务类设施</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right="126"/>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44"/>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4"/>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9"/>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4"/>
              <w:ind w:right="127"/>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7"/>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6"/>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4"/>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right="124"/>
              <w:jc w:val="right"/>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4"/>
              <w:ind w:left="18"/>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7"/>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4"/>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5"/>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right="126"/>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5"/>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4"/>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4"/>
              <w:ind w:left="18"/>
              <w:jc w:val="center"/>
              <w:rPr>
                <w:sz w:val="21"/>
              </w:rPr>
            </w:pPr>
            <w:r>
              <w:rPr>
                <w:w w:val="99"/>
                <w:sz w:val="21"/>
              </w:rPr>
              <w:t>—</w:t>
            </w:r>
          </w:p>
        </w:tc>
        <w:tc>
          <w:tcPr>
            <w:tcW w:w="512" w:type="dxa"/>
            <w:tcBorders>
              <w:top w:val="single" w:color="000000" w:sz="4" w:space="0"/>
              <w:left w:val="single" w:color="000000" w:sz="4" w:space="0"/>
              <w:bottom w:val="single" w:color="000000" w:sz="4" w:space="0"/>
              <w:right w:val="single" w:color="000000" w:sz="4" w:space="0"/>
            </w:tcBorders>
          </w:tcPr>
          <w:p>
            <w:pPr>
              <w:pStyle w:val="13"/>
              <w:spacing w:before="144"/>
              <w:ind w:right="135"/>
              <w:jc w:val="right"/>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435" w:type="dxa"/>
            <w:vMerge w:val="continue"/>
            <w:tcBorders>
              <w:top w:val="nil"/>
              <w:bottom w:val="single" w:color="000000" w:sz="4" w:space="0"/>
              <w:right w:val="single" w:color="000000" w:sz="4" w:space="0"/>
            </w:tcBorders>
            <w:textDirection w:val="tbRl"/>
          </w:tcPr>
          <w:p>
            <w:pPr>
              <w:rPr>
                <w:sz w:val="2"/>
                <w:szCs w:val="2"/>
              </w:rPr>
            </w:pPr>
          </w:p>
        </w:tc>
        <w:tc>
          <w:tcPr>
            <w:tcW w:w="1338" w:type="dxa"/>
            <w:tcBorders>
              <w:top w:val="single" w:color="000000" w:sz="4" w:space="0"/>
              <w:left w:val="single" w:color="000000" w:sz="4" w:space="0"/>
              <w:bottom w:val="single" w:color="000000" w:sz="4" w:space="0"/>
              <w:right w:val="single" w:color="000000" w:sz="4" w:space="0"/>
            </w:tcBorders>
          </w:tcPr>
          <w:p>
            <w:pPr>
              <w:pStyle w:val="13"/>
              <w:spacing w:before="145"/>
              <w:ind w:left="232" w:right="215"/>
              <w:jc w:val="center"/>
              <w:rPr>
                <w:sz w:val="21"/>
              </w:rPr>
            </w:pPr>
            <w:r>
              <w:rPr>
                <w:sz w:val="21"/>
              </w:rPr>
              <w:t>管理设施</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right="126"/>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44"/>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9"/>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right="127"/>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7"/>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6"/>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9"/>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right="124"/>
              <w:jc w:val="right"/>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left="18"/>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7"/>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left="16"/>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5"/>
              <w:jc w:val="center"/>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right="126"/>
              <w:jc w:val="right"/>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5"/>
              <w:jc w:val="center"/>
              <w:rPr>
                <w:sz w:val="21"/>
              </w:rPr>
            </w:pPr>
            <w:r>
              <w:rPr>
                <w:w w:val="99"/>
                <w:sz w:val="21"/>
              </w:rPr>
              <w:t>—</w:t>
            </w:r>
          </w:p>
        </w:tc>
        <w:tc>
          <w:tcPr>
            <w:tcW w:w="493" w:type="dxa"/>
            <w:tcBorders>
              <w:top w:val="single" w:color="000000" w:sz="4" w:space="0"/>
              <w:left w:val="single" w:color="000000" w:sz="4" w:space="0"/>
              <w:bottom w:val="single" w:color="000000" w:sz="4" w:space="0"/>
              <w:right w:val="single" w:color="000000" w:sz="4" w:space="0"/>
            </w:tcBorders>
          </w:tcPr>
          <w:p>
            <w:pPr>
              <w:pStyle w:val="13"/>
              <w:spacing w:before="145"/>
              <w:ind w:left="144"/>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45"/>
              <w:rPr>
                <w:sz w:val="21"/>
              </w:rPr>
            </w:pPr>
            <w:r>
              <w:rPr>
                <w:w w:val="99"/>
                <w:sz w:val="21"/>
              </w:rPr>
              <w:t>○</w:t>
            </w:r>
          </w:p>
        </w:tc>
        <w:tc>
          <w:tcPr>
            <w:tcW w:w="492" w:type="dxa"/>
            <w:tcBorders>
              <w:top w:val="single" w:color="000000" w:sz="4" w:space="0"/>
              <w:left w:val="single" w:color="000000" w:sz="4" w:space="0"/>
              <w:bottom w:val="single" w:color="000000" w:sz="4" w:space="0"/>
              <w:right w:val="single" w:color="000000" w:sz="4" w:space="0"/>
            </w:tcBorders>
          </w:tcPr>
          <w:p>
            <w:pPr>
              <w:pStyle w:val="13"/>
              <w:spacing w:before="145"/>
              <w:ind w:left="18"/>
              <w:jc w:val="center"/>
              <w:rPr>
                <w:sz w:val="21"/>
              </w:rPr>
            </w:pPr>
            <w:r>
              <w:rPr>
                <w:w w:val="99"/>
                <w:sz w:val="21"/>
              </w:rPr>
              <w:t>—</w:t>
            </w:r>
          </w:p>
        </w:tc>
        <w:tc>
          <w:tcPr>
            <w:tcW w:w="512" w:type="dxa"/>
            <w:tcBorders>
              <w:top w:val="single" w:color="000000" w:sz="4" w:space="0"/>
              <w:left w:val="single" w:color="000000" w:sz="4" w:space="0"/>
              <w:bottom w:val="single" w:color="000000" w:sz="4" w:space="0"/>
              <w:right w:val="single" w:color="000000" w:sz="4" w:space="0"/>
            </w:tcBorders>
          </w:tcPr>
          <w:p>
            <w:pPr>
              <w:pStyle w:val="13"/>
              <w:spacing w:before="145"/>
              <w:ind w:right="135"/>
              <w:jc w:val="right"/>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14591" w:type="dxa"/>
            <w:gridSpan w:val="28"/>
            <w:tcBorders>
              <w:top w:val="single" w:color="000000" w:sz="4" w:space="0"/>
              <w:bottom w:val="single" w:color="000000" w:sz="4" w:space="0"/>
              <w:right w:val="single" w:color="000000" w:sz="4" w:space="0"/>
            </w:tcBorders>
          </w:tcPr>
          <w:p>
            <w:pPr>
              <w:pStyle w:val="13"/>
              <w:spacing w:before="144"/>
              <w:ind w:left="107"/>
              <w:rPr>
                <w:sz w:val="21"/>
              </w:rPr>
            </w:pPr>
            <w:r>
              <w:rPr>
                <w:sz w:val="21"/>
              </w:rPr>
              <w:t>备注：“○”表示一般情况下此工程建设范围均应配备的无障碍设施，“—”表示在情况需要时此工程建设范围可选择配备的无障碍设施</w:t>
            </w:r>
          </w:p>
        </w:tc>
      </w:tr>
    </w:tbl>
    <w:p>
      <w:pPr>
        <w:spacing w:after="0"/>
        <w:rPr>
          <w:sz w:val="21"/>
        </w:rPr>
        <w:sectPr>
          <w:footerReference r:id="rId18" w:type="default"/>
          <w:pgSz w:w="16840" w:h="11910" w:orient="landscape"/>
          <w:pgMar w:top="1100" w:right="1000" w:bottom="280" w:left="1000" w:header="0" w:footer="0" w:gutter="0"/>
          <w:cols w:space="720" w:num="1"/>
        </w:sectPr>
      </w:pPr>
    </w:p>
    <w:p>
      <w:pPr>
        <w:pStyle w:val="12"/>
        <w:numPr>
          <w:ilvl w:val="1"/>
          <w:numId w:val="183"/>
        </w:numPr>
        <w:tabs>
          <w:tab w:val="left" w:pos="4724"/>
        </w:tabs>
        <w:spacing w:before="60" w:after="0" w:line="240" w:lineRule="auto"/>
        <w:ind w:left="4723" w:right="0" w:hanging="421"/>
        <w:jc w:val="left"/>
        <w:rPr>
          <w:rFonts w:hint="eastAsia" w:ascii="黑体" w:eastAsia="黑体"/>
          <w:sz w:val="21"/>
        </w:rPr>
      </w:pPr>
      <w:bookmarkStart w:id="873" w:name="7.2公园绿地"/>
      <w:bookmarkEnd w:id="873"/>
      <w:bookmarkStart w:id="874" w:name="_bookmark48"/>
      <w:bookmarkEnd w:id="874"/>
      <w:bookmarkStart w:id="875" w:name="_bookmark48"/>
      <w:bookmarkEnd w:id="875"/>
      <w:r>
        <w:rPr>
          <w:rFonts w:hint="eastAsia" w:ascii="黑体" w:eastAsia="黑体"/>
          <w:sz w:val="21"/>
        </w:rPr>
        <w:t>公园绿地</w:t>
      </w:r>
    </w:p>
    <w:p>
      <w:pPr>
        <w:pStyle w:val="5"/>
        <w:spacing w:before="6"/>
        <w:rPr>
          <w:rFonts w:ascii="黑体"/>
          <w:sz w:val="15"/>
        </w:rPr>
      </w:pPr>
    </w:p>
    <w:p>
      <w:pPr>
        <w:pStyle w:val="5"/>
        <w:spacing w:before="1" w:line="417" w:lineRule="auto"/>
        <w:ind w:left="112" w:right="139" w:firstLine="427"/>
      </w:pPr>
      <w:r>
        <w:rPr>
          <w:w w:val="95"/>
        </w:rPr>
        <w:t xml:space="preserve">本节是依据综合公园绿地的无障碍设计要求进行编写，其他类型城市绿地可根据性质和规模大小参照   </w:t>
      </w:r>
      <w:r>
        <w:t>执行。</w:t>
      </w:r>
    </w:p>
    <w:p>
      <w:pPr>
        <w:pStyle w:val="12"/>
        <w:numPr>
          <w:ilvl w:val="2"/>
          <w:numId w:val="184"/>
        </w:numPr>
        <w:tabs>
          <w:tab w:val="left" w:pos="965"/>
        </w:tabs>
        <w:spacing w:before="0" w:after="0" w:line="417" w:lineRule="auto"/>
        <w:ind w:left="112" w:right="212" w:firstLine="0"/>
        <w:jc w:val="both"/>
        <w:rPr>
          <w:sz w:val="21"/>
        </w:rPr>
      </w:pPr>
      <w:bookmarkStart w:id="876" w:name="7.2.1考虑到乘轮椅者乘坐公共交通工具及出租车达到公园的情况，本条规定公园出入"/>
      <w:bookmarkEnd w:id="876"/>
      <w:bookmarkStart w:id="877" w:name="7.2.1考虑到乘轮椅者乘坐公共交通工具及出租车达到公园的情况，本条规定公园出入"/>
      <w:bookmarkEnd w:id="877"/>
      <w:r>
        <w:rPr>
          <w:spacing w:val="-2"/>
          <w:w w:val="95"/>
          <w:sz w:val="21"/>
        </w:rPr>
        <w:t xml:space="preserve">考虑到乘轮椅者乘坐公共交通工具及出租车达到公园的情况，本条规定公园出入口附近的公交车   </w:t>
      </w:r>
      <w:r>
        <w:rPr>
          <w:spacing w:val="-2"/>
          <w:sz w:val="21"/>
        </w:rPr>
        <w:t>站、轨道交通车站出入口及出租车停靠点应便于乘轮椅者的通行与使用。</w:t>
      </w:r>
    </w:p>
    <w:p>
      <w:pPr>
        <w:pStyle w:val="12"/>
        <w:numPr>
          <w:ilvl w:val="2"/>
          <w:numId w:val="184"/>
        </w:numPr>
        <w:tabs>
          <w:tab w:val="left" w:pos="965"/>
        </w:tabs>
        <w:spacing w:before="0" w:after="0" w:line="417" w:lineRule="auto"/>
        <w:ind w:left="112" w:right="210" w:firstLine="0"/>
        <w:jc w:val="both"/>
        <w:rPr>
          <w:sz w:val="21"/>
        </w:rPr>
      </w:pPr>
      <w:bookmarkStart w:id="878" w:name="7.2.2根据《深圳市城市规划标准与准则》第6.4.2.4条规定“所有停车场库均"/>
      <w:bookmarkEnd w:id="878"/>
      <w:bookmarkStart w:id="879" w:name="7.2.2根据《深圳市城市规划标准与准则》第6.4.2.4条规定“所有停车场库均"/>
      <w:bookmarkEnd w:id="879"/>
      <w:r>
        <w:rPr>
          <w:spacing w:val="-9"/>
          <w:sz w:val="21"/>
        </w:rPr>
        <w:t xml:space="preserve">根据《深圳市城市规划标准与准则》第 </w:t>
      </w:r>
      <w:r>
        <w:rPr>
          <w:sz w:val="21"/>
        </w:rPr>
        <w:t>6.4.2.4</w:t>
      </w:r>
      <w:r>
        <w:rPr>
          <w:spacing w:val="-9"/>
          <w:sz w:val="21"/>
        </w:rPr>
        <w:t xml:space="preserve"> 条规定“所有停车场库均应在停车场最方便的位</w:t>
      </w:r>
      <w:r>
        <w:rPr>
          <w:spacing w:val="-10"/>
          <w:sz w:val="21"/>
        </w:rPr>
        <w:t xml:space="preserve">置，为残疾人提供不小于停车位总数 </w:t>
      </w:r>
      <w:r>
        <w:rPr>
          <w:sz w:val="21"/>
        </w:rPr>
        <w:t>2</w:t>
      </w:r>
      <w:r>
        <w:rPr>
          <w:spacing w:val="-9"/>
          <w:sz w:val="21"/>
        </w:rPr>
        <w:t xml:space="preserve">%的无障碍停车位，比例不足 </w:t>
      </w:r>
      <w:r>
        <w:rPr>
          <w:sz w:val="21"/>
        </w:rPr>
        <w:t>1</w:t>
      </w:r>
      <w:r>
        <w:rPr>
          <w:spacing w:val="-12"/>
          <w:sz w:val="21"/>
        </w:rPr>
        <w:t xml:space="preserve"> 个无障碍车位至少设置 </w:t>
      </w:r>
      <w:r>
        <w:rPr>
          <w:sz w:val="21"/>
        </w:rPr>
        <w:t>1</w:t>
      </w:r>
      <w:r>
        <w:rPr>
          <w:spacing w:val="-10"/>
          <w:sz w:val="21"/>
        </w:rPr>
        <w:t xml:space="preserve"> 个无障碍车</w:t>
      </w:r>
      <w:r>
        <w:rPr>
          <w:spacing w:val="-8"/>
          <w:sz w:val="21"/>
        </w:rPr>
        <w:t>位。”本条将《无障碍设计规范》</w:t>
      </w:r>
      <w:r>
        <w:rPr>
          <w:rFonts w:hint="eastAsia" w:ascii="仿宋" w:hAnsi="仿宋" w:eastAsia="仿宋"/>
          <w:sz w:val="21"/>
        </w:rPr>
        <w:t>GB</w:t>
      </w:r>
      <w:r>
        <w:rPr>
          <w:sz w:val="21"/>
        </w:rPr>
        <w:t>50763-2012</w:t>
      </w:r>
      <w:r>
        <w:rPr>
          <w:spacing w:val="-40"/>
          <w:sz w:val="21"/>
        </w:rPr>
        <w:t xml:space="preserve"> 第 </w:t>
      </w:r>
      <w:r>
        <w:rPr>
          <w:sz w:val="21"/>
        </w:rPr>
        <w:t>6.2.1</w:t>
      </w:r>
      <w:r>
        <w:rPr>
          <w:spacing w:val="-10"/>
          <w:sz w:val="21"/>
        </w:rPr>
        <w:t xml:space="preserve"> 条简化，并按《深圳市城市规划标准与准则》规定无障碍机动车停车位数量比例要求。</w:t>
      </w:r>
    </w:p>
    <w:p>
      <w:pPr>
        <w:pStyle w:val="12"/>
        <w:numPr>
          <w:ilvl w:val="2"/>
          <w:numId w:val="184"/>
        </w:numPr>
        <w:tabs>
          <w:tab w:val="left" w:pos="965"/>
        </w:tabs>
        <w:spacing w:before="0" w:after="0" w:line="268" w:lineRule="exact"/>
        <w:ind w:left="964" w:right="0" w:hanging="853"/>
        <w:jc w:val="both"/>
        <w:rPr>
          <w:sz w:val="21"/>
        </w:rPr>
      </w:pPr>
      <w:bookmarkStart w:id="880" w:name="7.2.3本条规定了售票处的无障碍设计要求。"/>
      <w:bookmarkEnd w:id="880"/>
      <w:bookmarkStart w:id="881" w:name="7.2.3本条规定了售票处的无障碍设计要求。"/>
      <w:bookmarkEnd w:id="881"/>
      <w:r>
        <w:rPr>
          <w:sz w:val="21"/>
        </w:rPr>
        <w:t>本条规定了售票处的无障碍设计要求。</w:t>
      </w:r>
    </w:p>
    <w:p>
      <w:pPr>
        <w:pStyle w:val="5"/>
        <w:spacing w:before="6"/>
        <w:rPr>
          <w:sz w:val="15"/>
        </w:rPr>
      </w:pPr>
    </w:p>
    <w:p>
      <w:pPr>
        <w:pStyle w:val="5"/>
        <w:tabs>
          <w:tab w:val="left" w:pos="959"/>
        </w:tabs>
        <w:ind w:left="540"/>
      </w:pPr>
      <w:r>
        <w:t>3</w:t>
      </w:r>
      <w:r>
        <w:tab/>
      </w:r>
      <w:r>
        <w:t>售票窗口前设提示盲道帮助视觉障碍者确定窗口位置。</w:t>
      </w:r>
    </w:p>
    <w:p>
      <w:pPr>
        <w:pStyle w:val="5"/>
        <w:spacing w:before="6"/>
        <w:rPr>
          <w:sz w:val="15"/>
        </w:rPr>
      </w:pPr>
    </w:p>
    <w:p>
      <w:pPr>
        <w:pStyle w:val="12"/>
        <w:numPr>
          <w:ilvl w:val="2"/>
          <w:numId w:val="184"/>
        </w:numPr>
        <w:tabs>
          <w:tab w:val="left" w:pos="964"/>
          <w:tab w:val="left" w:pos="965"/>
        </w:tabs>
        <w:spacing w:before="0" w:after="0" w:line="240" w:lineRule="auto"/>
        <w:ind w:left="964" w:right="0" w:hanging="853"/>
        <w:jc w:val="left"/>
        <w:rPr>
          <w:sz w:val="21"/>
        </w:rPr>
      </w:pPr>
      <w:bookmarkStart w:id="882" w:name="7.2.4本条规定了城市绿地出入口的无障碍设计要求。"/>
      <w:bookmarkEnd w:id="882"/>
      <w:bookmarkStart w:id="883" w:name="7.2.4本条规定了城市绿地出入口的无障碍设计要求。"/>
      <w:bookmarkEnd w:id="883"/>
      <w:r>
        <w:rPr>
          <w:sz w:val="21"/>
        </w:rPr>
        <w:t>本条规定了城市绿地出入口的无障碍设计要求。</w:t>
      </w:r>
    </w:p>
    <w:p>
      <w:pPr>
        <w:pStyle w:val="5"/>
        <w:spacing w:before="7"/>
        <w:rPr>
          <w:sz w:val="15"/>
        </w:rPr>
      </w:pPr>
    </w:p>
    <w:p>
      <w:pPr>
        <w:pStyle w:val="12"/>
        <w:numPr>
          <w:ilvl w:val="3"/>
          <w:numId w:val="184"/>
        </w:numPr>
        <w:tabs>
          <w:tab w:val="left" w:pos="959"/>
          <w:tab w:val="left" w:pos="960"/>
        </w:tabs>
        <w:spacing w:before="0" w:after="0" w:line="417" w:lineRule="auto"/>
        <w:ind w:left="112" w:right="108" w:firstLine="427"/>
        <w:jc w:val="left"/>
        <w:rPr>
          <w:sz w:val="21"/>
        </w:rPr>
      </w:pPr>
      <w:r>
        <w:rPr>
          <w:spacing w:val="-8"/>
          <w:w w:val="95"/>
          <w:sz w:val="21"/>
        </w:rPr>
        <w:t xml:space="preserve">因为行动障碍者行进速度较慢，在节假日或高峰时段，可设置无障碍专用绿色通道引导游客分流，   </w:t>
      </w:r>
      <w:r>
        <w:rPr>
          <w:spacing w:val="-8"/>
          <w:sz w:val="21"/>
        </w:rPr>
        <w:t>可以避免相互间的干扰，有助于消除发生突发性事件时的安全隐患。</w:t>
      </w:r>
    </w:p>
    <w:p>
      <w:pPr>
        <w:pStyle w:val="12"/>
        <w:numPr>
          <w:ilvl w:val="3"/>
          <w:numId w:val="184"/>
        </w:numPr>
        <w:tabs>
          <w:tab w:val="left" w:pos="959"/>
          <w:tab w:val="left" w:pos="960"/>
        </w:tabs>
        <w:spacing w:before="0" w:after="0" w:line="417" w:lineRule="auto"/>
        <w:ind w:left="112" w:right="212" w:firstLine="427"/>
        <w:jc w:val="left"/>
        <w:rPr>
          <w:sz w:val="21"/>
        </w:rPr>
      </w:pPr>
      <w:r>
        <w:rPr>
          <w:spacing w:val="-3"/>
          <w:sz w:val="21"/>
        </w:rPr>
        <w:t xml:space="preserve">出入口无障碍通道宽度设置不应小于 </w:t>
      </w:r>
      <w:r>
        <w:rPr>
          <w:sz w:val="21"/>
        </w:rPr>
        <w:t>1.20</w:t>
      </w:r>
      <w:r>
        <w:rPr>
          <w:rFonts w:hint="eastAsia" w:ascii="仿宋" w:eastAsia="仿宋"/>
          <w:sz w:val="21"/>
        </w:rPr>
        <w:t>m</w:t>
      </w:r>
      <w:r>
        <w:rPr>
          <w:sz w:val="21"/>
        </w:rPr>
        <w:t>，保证一辆轮椅和一个人侧身通过，条件允许的情况</w:t>
      </w:r>
      <w:r>
        <w:rPr>
          <w:spacing w:val="-3"/>
          <w:sz w:val="21"/>
        </w:rPr>
        <w:t xml:space="preserve">下，建议将无障碍专用通道宽度设置为 </w:t>
      </w:r>
      <w:r>
        <w:rPr>
          <w:sz w:val="21"/>
        </w:rPr>
        <w:t>1.80</w:t>
      </w:r>
      <w:r>
        <w:rPr>
          <w:rFonts w:hint="eastAsia" w:ascii="仿宋" w:eastAsia="仿宋"/>
          <w:sz w:val="21"/>
        </w:rPr>
        <w:t>m</w:t>
      </w:r>
      <w:r>
        <w:rPr>
          <w:sz w:val="21"/>
        </w:rPr>
        <w:t>，保证两辆轮椅并行。</w:t>
      </w:r>
    </w:p>
    <w:p>
      <w:pPr>
        <w:pStyle w:val="12"/>
        <w:numPr>
          <w:ilvl w:val="3"/>
          <w:numId w:val="184"/>
        </w:numPr>
        <w:tabs>
          <w:tab w:val="left" w:pos="959"/>
          <w:tab w:val="left" w:pos="960"/>
        </w:tabs>
        <w:spacing w:before="0" w:after="0" w:line="417" w:lineRule="auto"/>
        <w:ind w:left="112" w:right="104" w:firstLine="427"/>
        <w:jc w:val="left"/>
        <w:rPr>
          <w:sz w:val="21"/>
        </w:rPr>
      </w:pPr>
      <w:r>
        <w:rPr>
          <w:spacing w:val="-18"/>
          <w:w w:val="99"/>
          <w:sz w:val="21"/>
        </w:rPr>
        <w:t>参照《深圳市道路设计标准》第</w:t>
      </w:r>
      <w:r>
        <w:rPr>
          <w:spacing w:val="-50"/>
          <w:sz w:val="21"/>
        </w:rPr>
        <w:t xml:space="preserve"> </w:t>
      </w:r>
      <w:r>
        <w:rPr>
          <w:spacing w:val="1"/>
          <w:w w:val="99"/>
          <w:sz w:val="21"/>
        </w:rPr>
        <w:t>8.</w:t>
      </w:r>
      <w:r>
        <w:rPr>
          <w:spacing w:val="-2"/>
          <w:w w:val="99"/>
          <w:sz w:val="21"/>
        </w:rPr>
        <w:t>3</w:t>
      </w:r>
      <w:r>
        <w:rPr>
          <w:spacing w:val="1"/>
          <w:w w:val="99"/>
          <w:sz w:val="21"/>
        </w:rPr>
        <w:t>.</w:t>
      </w:r>
      <w:r>
        <w:rPr>
          <w:w w:val="99"/>
          <w:sz w:val="21"/>
        </w:rPr>
        <w:t>3</w:t>
      </w:r>
      <w:r>
        <w:rPr>
          <w:spacing w:val="-54"/>
          <w:sz w:val="21"/>
        </w:rPr>
        <w:t xml:space="preserve"> </w:t>
      </w:r>
      <w:r>
        <w:rPr>
          <w:spacing w:val="1"/>
          <w:w w:val="99"/>
          <w:sz w:val="21"/>
        </w:rPr>
        <w:t>条第</w:t>
      </w:r>
      <w:r>
        <w:rPr>
          <w:spacing w:val="-53"/>
          <w:sz w:val="21"/>
        </w:rPr>
        <w:t xml:space="preserve"> </w:t>
      </w:r>
      <w:r>
        <w:rPr>
          <w:w w:val="99"/>
          <w:sz w:val="21"/>
        </w:rPr>
        <w:t>4</w:t>
      </w:r>
      <w:r>
        <w:rPr>
          <w:spacing w:val="-52"/>
          <w:sz w:val="21"/>
        </w:rPr>
        <w:t xml:space="preserve"> </w:t>
      </w:r>
      <w:r>
        <w:rPr>
          <w:spacing w:val="-10"/>
          <w:w w:val="99"/>
          <w:sz w:val="21"/>
        </w:rPr>
        <w:t>款“车止石与防护柱设置净距为</w:t>
      </w:r>
      <w:r>
        <w:rPr>
          <w:spacing w:val="-53"/>
          <w:sz w:val="21"/>
        </w:rPr>
        <w:t xml:space="preserve"> </w:t>
      </w:r>
      <w:r>
        <w:rPr>
          <w:spacing w:val="1"/>
          <w:w w:val="99"/>
          <w:sz w:val="21"/>
        </w:rPr>
        <w:t>12</w:t>
      </w:r>
      <w:r>
        <w:rPr>
          <w:spacing w:val="-2"/>
          <w:w w:val="99"/>
          <w:sz w:val="21"/>
        </w:rPr>
        <w:t>0</w:t>
      </w:r>
      <w:r>
        <w:rPr>
          <w:rFonts w:hint="eastAsia" w:ascii="仿宋" w:hAnsi="仿宋" w:eastAsia="仿宋"/>
          <w:spacing w:val="1"/>
          <w:w w:val="99"/>
          <w:sz w:val="21"/>
        </w:rPr>
        <w:t>cm</w:t>
      </w:r>
      <w:r>
        <w:rPr>
          <w:spacing w:val="-1"/>
          <w:w w:val="99"/>
          <w:sz w:val="21"/>
        </w:rPr>
        <w:t>～</w:t>
      </w:r>
      <w:r>
        <w:rPr>
          <w:spacing w:val="1"/>
          <w:w w:val="99"/>
          <w:sz w:val="21"/>
        </w:rPr>
        <w:t>150</w:t>
      </w:r>
      <w:r>
        <w:rPr>
          <w:rFonts w:hint="eastAsia" w:ascii="仿宋" w:hAnsi="仿宋" w:eastAsia="仿宋"/>
          <w:spacing w:val="1"/>
          <w:w w:val="99"/>
          <w:sz w:val="21"/>
        </w:rPr>
        <w:t>c</w:t>
      </w:r>
      <w:r>
        <w:rPr>
          <w:rFonts w:hint="eastAsia" w:ascii="仿宋" w:hAnsi="仿宋" w:eastAsia="仿宋"/>
          <w:spacing w:val="-2"/>
          <w:w w:val="99"/>
          <w:sz w:val="21"/>
        </w:rPr>
        <w:t>m</w:t>
      </w:r>
      <w:r>
        <w:rPr>
          <w:spacing w:val="-27"/>
          <w:w w:val="99"/>
          <w:sz w:val="21"/>
        </w:rPr>
        <w:t>……”，</w:t>
      </w:r>
      <w:r>
        <w:rPr>
          <w:spacing w:val="-2"/>
          <w:sz w:val="21"/>
        </w:rPr>
        <w:t xml:space="preserve">考虑三轮车的通行，本款规定阻车桩间距不宜小于 </w:t>
      </w:r>
      <w:r>
        <w:rPr>
          <w:sz w:val="21"/>
        </w:rPr>
        <w:t>1.20</w:t>
      </w:r>
      <w:r>
        <w:rPr>
          <w:rFonts w:hint="eastAsia" w:ascii="仿宋" w:hAnsi="仿宋" w:eastAsia="仿宋"/>
          <w:sz w:val="21"/>
        </w:rPr>
        <w:t>m</w:t>
      </w:r>
      <w:r>
        <w:rPr>
          <w:sz w:val="21"/>
        </w:rPr>
        <w:t>。阻车桩前后需设置轮椅回转空间，供乘轮椅者调整方向。</w:t>
      </w:r>
    </w:p>
    <w:p>
      <w:pPr>
        <w:pStyle w:val="5"/>
        <w:tabs>
          <w:tab w:val="left" w:pos="959"/>
        </w:tabs>
        <w:spacing w:line="269" w:lineRule="exact"/>
        <w:ind w:left="540"/>
      </w:pPr>
      <w:r>
        <w:t>5</w:t>
      </w:r>
      <w:r>
        <w:tab/>
      </w:r>
      <w:r>
        <w:t>出入口附近可提供轮椅和婴儿车租赁，为行动障碍者和带有婴儿的游客提供应急服务。</w:t>
      </w:r>
    </w:p>
    <w:p>
      <w:pPr>
        <w:pStyle w:val="5"/>
        <w:spacing w:before="6"/>
        <w:rPr>
          <w:sz w:val="15"/>
        </w:rPr>
      </w:pPr>
    </w:p>
    <w:p>
      <w:pPr>
        <w:pStyle w:val="12"/>
        <w:numPr>
          <w:ilvl w:val="2"/>
          <w:numId w:val="184"/>
        </w:numPr>
        <w:tabs>
          <w:tab w:val="left" w:pos="965"/>
        </w:tabs>
        <w:spacing w:before="0" w:after="0" w:line="240" w:lineRule="auto"/>
        <w:ind w:left="964" w:right="0" w:hanging="853"/>
        <w:jc w:val="both"/>
        <w:rPr>
          <w:sz w:val="21"/>
        </w:rPr>
      </w:pPr>
      <w:bookmarkStart w:id="884" w:name="7.2.5本条规定了无障碍游览路线的设计要求。"/>
      <w:bookmarkEnd w:id="884"/>
      <w:bookmarkStart w:id="885" w:name="7.2.5本条规定了无障碍游览路线的设计要求。"/>
      <w:bookmarkEnd w:id="885"/>
      <w:r>
        <w:rPr>
          <w:sz w:val="21"/>
        </w:rPr>
        <w:t>本条规定了无障碍游览路线的设计要求。</w:t>
      </w:r>
    </w:p>
    <w:p>
      <w:pPr>
        <w:pStyle w:val="5"/>
        <w:spacing w:before="7"/>
        <w:rPr>
          <w:sz w:val="15"/>
        </w:rPr>
      </w:pPr>
    </w:p>
    <w:p>
      <w:pPr>
        <w:pStyle w:val="5"/>
        <w:spacing w:line="417" w:lineRule="auto"/>
        <w:ind w:left="540" w:right="108" w:hanging="8"/>
        <w:jc w:val="both"/>
      </w:pPr>
      <w:r>
        <w:t>2</w:t>
      </w:r>
      <w:r>
        <w:rPr>
          <w:spacing w:val="-6"/>
        </w:rPr>
        <w:t xml:space="preserve">  无障碍游览小路不能形成环路时，尽端应设置轮椅回转空间。通行轮椅的小路宽度不小于 </w:t>
      </w:r>
      <w:r>
        <w:t>1.20</w:t>
      </w:r>
      <w:r>
        <w:rPr>
          <w:rFonts w:hint="eastAsia" w:ascii="仿宋" w:hAnsi="仿宋" w:eastAsia="仿宋"/>
        </w:rPr>
        <w:t>m</w:t>
      </w:r>
      <w:r>
        <w:t>。4</w:t>
      </w:r>
      <w:r>
        <w:rPr>
          <w:spacing w:val="-5"/>
        </w:rPr>
        <w:t>、</w:t>
      </w:r>
      <w:r>
        <w:t>5</w:t>
      </w:r>
      <w:r>
        <w:rPr>
          <w:spacing w:val="4"/>
        </w:rPr>
        <w:t xml:space="preserve"> 参照《城市绿地设计规范》</w:t>
      </w:r>
      <w:r>
        <w:rPr>
          <w:rFonts w:hint="eastAsia" w:ascii="仿宋" w:hAnsi="仿宋" w:eastAsia="仿宋"/>
        </w:rPr>
        <w:t>GB</w:t>
      </w:r>
      <w:r>
        <w:rPr>
          <w:rFonts w:hint="eastAsia" w:ascii="仿宋" w:hAnsi="仿宋" w:eastAsia="仿宋"/>
          <w:spacing w:val="-56"/>
        </w:rPr>
        <w:t xml:space="preserve"> </w:t>
      </w:r>
      <w:r>
        <w:t>50420-2007（2016</w:t>
      </w:r>
      <w:r>
        <w:rPr>
          <w:spacing w:val="-19"/>
        </w:rPr>
        <w:t xml:space="preserve"> 年版</w:t>
      </w:r>
      <w:r>
        <w:rPr>
          <w:spacing w:val="-3"/>
        </w:rPr>
        <w:t>）</w:t>
      </w:r>
      <w:r>
        <w:rPr>
          <w:spacing w:val="-28"/>
        </w:rPr>
        <w:t xml:space="preserve">第 </w:t>
      </w:r>
      <w:r>
        <w:t>6.1.4</w:t>
      </w:r>
      <w:r>
        <w:rPr>
          <w:spacing w:val="-8"/>
        </w:rPr>
        <w:t xml:space="preserve"> 条 “……主路纵坡不宜大于</w:t>
      </w:r>
    </w:p>
    <w:p>
      <w:pPr>
        <w:pStyle w:val="5"/>
        <w:spacing w:line="417" w:lineRule="auto"/>
        <w:ind w:left="112" w:right="212"/>
        <w:jc w:val="both"/>
      </w:pPr>
      <w:r>
        <w:rPr>
          <w:spacing w:val="-12"/>
        </w:rPr>
        <w:t>8</w:t>
      </w:r>
      <w:r>
        <w:rPr>
          <w:spacing w:val="-10"/>
        </w:rPr>
        <w:t xml:space="preserve">％，山地主路纵坡不应大于 </w:t>
      </w:r>
      <w:r>
        <w:t>12%</w:t>
      </w:r>
      <w:r>
        <w:rPr>
          <w:spacing w:val="-2"/>
        </w:rPr>
        <w:t>……”考虑到在城市绿地中轮椅长距离推行，本款将无障碍游览主园路的</w:t>
      </w:r>
      <w:r>
        <w:rPr>
          <w:spacing w:val="-11"/>
        </w:rPr>
        <w:t xml:space="preserve">坡度定为 </w:t>
      </w:r>
      <w:r>
        <w:t>5％，既能满足一部分乘轮椅者在无人帮助的条件下独立通行，也可以使病弱及老年人通行更舒</w:t>
      </w:r>
      <w:r>
        <w:rPr>
          <w:spacing w:val="-2"/>
        </w:rPr>
        <w:t xml:space="preserve">适和安全。山地公园绿地在用地受限、实施有困难的局部路段，无障碍游览主园路纵坡不应小于 </w:t>
      </w:r>
      <w:r>
        <w:t>8%。</w:t>
      </w:r>
    </w:p>
    <w:p>
      <w:pPr>
        <w:pStyle w:val="12"/>
        <w:numPr>
          <w:ilvl w:val="0"/>
          <w:numId w:val="185"/>
        </w:numPr>
        <w:tabs>
          <w:tab w:val="left" w:pos="960"/>
        </w:tabs>
        <w:spacing w:before="0" w:after="0" w:line="417" w:lineRule="auto"/>
        <w:ind w:left="112" w:right="210" w:firstLine="427"/>
        <w:jc w:val="both"/>
        <w:rPr>
          <w:sz w:val="21"/>
        </w:rPr>
      </w:pPr>
      <w:r>
        <w:rPr>
          <w:spacing w:val="-3"/>
          <w:w w:val="95"/>
          <w:sz w:val="21"/>
        </w:rPr>
        <w:t xml:space="preserve">不平整、不防滑、松动、积水的地面会给行人的通行带来困难，甚至产生危险。汀步石铺装、防   </w:t>
      </w:r>
      <w:r>
        <w:rPr>
          <w:spacing w:val="-3"/>
          <w:sz w:val="21"/>
        </w:rPr>
        <w:t>腐木铺装不利于轮椅、婴儿车、女性高跟鞋的通行。</w:t>
      </w:r>
    </w:p>
    <w:p>
      <w:pPr>
        <w:pStyle w:val="12"/>
        <w:numPr>
          <w:ilvl w:val="0"/>
          <w:numId w:val="185"/>
        </w:numPr>
        <w:tabs>
          <w:tab w:val="left" w:pos="960"/>
        </w:tabs>
        <w:spacing w:before="0" w:after="0" w:line="269" w:lineRule="exact"/>
        <w:ind w:left="960" w:right="0" w:hanging="420"/>
        <w:jc w:val="both"/>
        <w:rPr>
          <w:sz w:val="21"/>
        </w:rPr>
      </w:pPr>
      <w:r>
        <w:rPr>
          <w:spacing w:val="-1"/>
          <w:sz w:val="21"/>
        </w:rPr>
        <w:t>滤水箅子的孔洞会对轮椅的通行和盲杖的使用带来不便和安全隐患，所以应尽量避免在无障碍游</w:t>
      </w:r>
    </w:p>
    <w:p>
      <w:pPr>
        <w:spacing w:after="0" w:line="269" w:lineRule="exact"/>
        <w:jc w:val="both"/>
        <w:rPr>
          <w:sz w:val="21"/>
        </w:rPr>
        <w:sectPr>
          <w:footerReference r:id="rId19" w:type="default"/>
          <w:pgSz w:w="11910" w:h="16840"/>
          <w:pgMar w:top="1580" w:right="920" w:bottom="280" w:left="1020" w:header="0" w:footer="0" w:gutter="0"/>
          <w:cols w:space="720" w:num="1"/>
        </w:sectPr>
      </w:pPr>
    </w:p>
    <w:p>
      <w:pPr>
        <w:pStyle w:val="5"/>
        <w:spacing w:before="60" w:line="417" w:lineRule="auto"/>
        <w:ind w:left="112" w:right="207"/>
        <w:jc w:val="both"/>
      </w:pPr>
      <w:r>
        <w:rPr>
          <w:spacing w:val="-3"/>
          <w:w w:val="95"/>
        </w:rPr>
        <w:t xml:space="preserve">览园路上设置有孔洞的箅子。无法避免时，限定孔洞的宽度和走向，是为了防止卡住盲杖、轮椅小轮、高   </w:t>
      </w:r>
      <w:r>
        <w:rPr>
          <w:spacing w:val="-8"/>
        </w:rPr>
        <w:t>跟鞋，或盲杖滑出带来危险。《无障碍设计规范》</w:t>
      </w:r>
      <w:r>
        <w:rPr>
          <w:rFonts w:hint="eastAsia" w:ascii="仿宋" w:hAnsi="仿宋" w:eastAsia="仿宋"/>
        </w:rPr>
        <w:t>GB</w:t>
      </w:r>
      <w:r>
        <w:t>50763-2012</w:t>
      </w:r>
      <w:r>
        <w:rPr>
          <w:spacing w:val="-38"/>
        </w:rPr>
        <w:t xml:space="preserve"> 第 </w:t>
      </w:r>
      <w:r>
        <w:t>6.2.4</w:t>
      </w:r>
      <w:r>
        <w:rPr>
          <w:spacing w:val="-30"/>
        </w:rPr>
        <w:t xml:space="preserve"> 条第 </w:t>
      </w:r>
      <w:r>
        <w:t>6</w:t>
      </w:r>
      <w:r>
        <w:rPr>
          <w:spacing w:val="-9"/>
        </w:rPr>
        <w:t xml:space="preserve"> 款“排水沟的滤水箅子孔</w:t>
      </w:r>
      <w:r>
        <w:rPr>
          <w:spacing w:val="-16"/>
        </w:rPr>
        <w:t xml:space="preserve">的宽度不应大于 </w:t>
      </w:r>
      <w:r>
        <w:rPr>
          <w:spacing w:val="-3"/>
        </w:rPr>
        <w:t>15</w:t>
      </w:r>
      <w:r>
        <w:rPr>
          <w:rFonts w:hint="eastAsia" w:ascii="仿宋" w:hAnsi="仿宋" w:eastAsia="仿宋"/>
          <w:spacing w:val="-3"/>
        </w:rPr>
        <w:t>mm</w:t>
      </w:r>
      <w:r>
        <w:rPr>
          <w:spacing w:val="-8"/>
        </w:rPr>
        <w:t>”。依据盲杖端头尺寸、轮椅小轮一般宽度、高跟鞋鞋跟一般尺寸，参照《澳门特区</w:t>
      </w:r>
      <w:r>
        <w:rPr>
          <w:spacing w:val="-5"/>
        </w:rPr>
        <w:t xml:space="preserve">无障碍通用设计建筑指引》第 </w:t>
      </w:r>
      <w:r>
        <w:t>2.2.1</w:t>
      </w:r>
      <w:r>
        <w:rPr>
          <w:spacing w:val="-10"/>
        </w:rPr>
        <w:t xml:space="preserve"> 条“格栅的缝不得超过 </w:t>
      </w:r>
      <w:r>
        <w:t>13</w:t>
      </w:r>
      <w:r>
        <w:rPr>
          <w:spacing w:val="-6"/>
        </w:rPr>
        <w:t xml:space="preserve"> 毫米，格栅长边应该垂直于行走方向。” 因此，本款减小滤水箅子孔洞宽度，并规定布设方向。</w:t>
      </w:r>
    </w:p>
    <w:p>
      <w:pPr>
        <w:pStyle w:val="12"/>
        <w:numPr>
          <w:ilvl w:val="2"/>
          <w:numId w:val="184"/>
        </w:numPr>
        <w:tabs>
          <w:tab w:val="left" w:pos="965"/>
        </w:tabs>
        <w:spacing w:before="0" w:after="0" w:line="268" w:lineRule="exact"/>
        <w:ind w:left="964" w:right="0" w:hanging="853"/>
        <w:jc w:val="both"/>
        <w:rPr>
          <w:sz w:val="21"/>
        </w:rPr>
      </w:pPr>
      <w:bookmarkStart w:id="886" w:name="7.2.6本条规定了游憩区的无障碍设计要求。"/>
      <w:bookmarkEnd w:id="886"/>
      <w:bookmarkStart w:id="887" w:name="7.2.6本条规定了游憩区的无障碍设计要求。"/>
      <w:bookmarkEnd w:id="887"/>
      <w:r>
        <w:rPr>
          <w:sz w:val="21"/>
        </w:rPr>
        <w:t>本条规定了游憩区的无障碍设计要求。</w:t>
      </w:r>
    </w:p>
    <w:p>
      <w:pPr>
        <w:pStyle w:val="5"/>
        <w:spacing w:before="122"/>
        <w:ind w:left="537"/>
        <w:jc w:val="both"/>
      </w:pPr>
      <w:r>
        <w:rPr>
          <w:rFonts w:ascii="Calibri" w:eastAsia="Calibri"/>
        </w:rPr>
        <w:t xml:space="preserve">1 </w:t>
      </w:r>
      <w:r>
        <w:t>无障碍游憩区是为行动不便的游客在园内的活动或休憩提供的专用区域。</w:t>
      </w:r>
    </w:p>
    <w:p>
      <w:pPr>
        <w:pStyle w:val="5"/>
        <w:spacing w:before="120" w:line="417" w:lineRule="auto"/>
        <w:ind w:left="112" w:right="215" w:firstLine="427"/>
        <w:jc w:val="both"/>
      </w:pPr>
      <w:r>
        <w:t>4</w:t>
      </w:r>
      <w:r>
        <w:rPr>
          <w:spacing w:val="-2"/>
        </w:rPr>
        <w:t xml:space="preserve"> 广场树池高出广场地面，可以防止轮椅掉进树坑，如果树池与广场地面相平，设置与地面相平的箅子可以防止轮椅的行进受到影响。</w:t>
      </w:r>
    </w:p>
    <w:p>
      <w:pPr>
        <w:pStyle w:val="12"/>
        <w:numPr>
          <w:ilvl w:val="2"/>
          <w:numId w:val="184"/>
        </w:numPr>
        <w:tabs>
          <w:tab w:val="left" w:pos="965"/>
        </w:tabs>
        <w:spacing w:before="0" w:after="0" w:line="269" w:lineRule="exact"/>
        <w:ind w:left="964" w:right="0" w:hanging="853"/>
        <w:jc w:val="both"/>
        <w:rPr>
          <w:sz w:val="21"/>
        </w:rPr>
      </w:pPr>
      <w:bookmarkStart w:id="888" w:name="7.2.7本条规定了游憩设施的无障碍设计要求。游憩设施可包括亭、台、楼、榭、廊、"/>
      <w:bookmarkEnd w:id="888"/>
      <w:bookmarkStart w:id="889" w:name="7.2.7本条规定了游憩设施的无障碍设计要求。游憩设施可包括亭、台、楼、榭、廊、"/>
      <w:bookmarkEnd w:id="889"/>
      <w:r>
        <w:rPr>
          <w:spacing w:val="-5"/>
          <w:sz w:val="21"/>
        </w:rPr>
        <w:t>本条规定了游憩设施的无障碍设计要求。游憩设施可包括亭、台、楼、榭、廊、花架、建筑院落</w:t>
      </w:r>
    </w:p>
    <w:p>
      <w:pPr>
        <w:pStyle w:val="5"/>
        <w:spacing w:before="6"/>
        <w:rPr>
          <w:sz w:val="15"/>
        </w:rPr>
      </w:pPr>
    </w:p>
    <w:p>
      <w:pPr>
        <w:pStyle w:val="5"/>
        <w:spacing w:before="1"/>
        <w:ind w:left="112"/>
      </w:pPr>
      <w:r>
        <w:t>（组合）、码头、桥等。</w:t>
      </w:r>
    </w:p>
    <w:p>
      <w:pPr>
        <w:pStyle w:val="5"/>
        <w:spacing w:before="6"/>
        <w:rPr>
          <w:sz w:val="15"/>
        </w:rPr>
      </w:pPr>
    </w:p>
    <w:p>
      <w:pPr>
        <w:pStyle w:val="5"/>
        <w:ind w:left="540"/>
        <w:jc w:val="both"/>
      </w:pPr>
      <w:r>
        <w:t>3 为避免迂回，游憩建筑有 3 个以上出入口时，应至少选择 2 个不同方向的出入口设为无障碍出入</w:t>
      </w:r>
    </w:p>
    <w:p>
      <w:pPr>
        <w:pStyle w:val="5"/>
        <w:spacing w:before="7"/>
        <w:rPr>
          <w:sz w:val="15"/>
        </w:rPr>
      </w:pPr>
    </w:p>
    <w:p>
      <w:pPr>
        <w:pStyle w:val="5"/>
        <w:ind w:left="112"/>
      </w:pPr>
      <w:r>
        <w:t>口。</w:t>
      </w:r>
    </w:p>
    <w:p>
      <w:pPr>
        <w:pStyle w:val="5"/>
        <w:spacing w:before="7"/>
        <w:rPr>
          <w:sz w:val="15"/>
        </w:rPr>
      </w:pPr>
    </w:p>
    <w:p>
      <w:pPr>
        <w:pStyle w:val="5"/>
        <w:tabs>
          <w:tab w:val="left" w:pos="959"/>
        </w:tabs>
        <w:ind w:left="540"/>
      </w:pPr>
      <w:r>
        <w:t>5</w:t>
      </w:r>
      <w:r>
        <w:tab/>
      </w:r>
      <w:r>
        <w:rPr>
          <w:spacing w:val="-2"/>
        </w:rPr>
        <w:t xml:space="preserve">建筑院落内廊宽度至少要满足一辆轮椅和一个人侧身通过，因此宽度不应小于 </w:t>
      </w:r>
      <w:r>
        <w:t>1.20</w:t>
      </w:r>
      <w:r>
        <w:rPr>
          <w:rFonts w:hint="eastAsia" w:ascii="仿宋" w:eastAsia="仿宋"/>
        </w:rPr>
        <w:t>m</w:t>
      </w:r>
      <w:r>
        <w:t>。</w:t>
      </w:r>
    </w:p>
    <w:p>
      <w:pPr>
        <w:pStyle w:val="5"/>
        <w:spacing w:before="6"/>
        <w:rPr>
          <w:sz w:val="15"/>
        </w:rPr>
      </w:pPr>
    </w:p>
    <w:p>
      <w:pPr>
        <w:pStyle w:val="12"/>
        <w:numPr>
          <w:ilvl w:val="2"/>
          <w:numId w:val="184"/>
        </w:numPr>
        <w:tabs>
          <w:tab w:val="left" w:pos="964"/>
          <w:tab w:val="left" w:pos="965"/>
        </w:tabs>
        <w:spacing w:before="1" w:after="0" w:line="417" w:lineRule="auto"/>
        <w:ind w:left="112" w:right="104" w:firstLine="0"/>
        <w:jc w:val="left"/>
        <w:rPr>
          <w:sz w:val="21"/>
        </w:rPr>
      </w:pPr>
      <w:bookmarkStart w:id="890" w:name="7.2.8本条规定了服务类设施的无障碍设计要求。服务类设施可包括游客服务中心、小"/>
      <w:bookmarkEnd w:id="890"/>
      <w:bookmarkStart w:id="891" w:name="7.2.8本条规定了服务类设施的无障碍设计要求。服务类设施可包括游客服务中心、小"/>
      <w:bookmarkEnd w:id="891"/>
      <w:r>
        <w:rPr>
          <w:spacing w:val="-4"/>
          <w:sz w:val="21"/>
        </w:rPr>
        <w:t>本条规定了服务类设施的无障碍设计要求。服务类设施可包括游客服务中心、小卖店、茶座、咖</w:t>
      </w:r>
      <w:r>
        <w:rPr>
          <w:spacing w:val="-12"/>
          <w:w w:val="95"/>
          <w:sz w:val="21"/>
        </w:rPr>
        <w:t xml:space="preserve">啡厅、餐厅、摄影部以及母婴室、卫生间、服务台、业务台、咨询台、售货柜台、游览车、游船、饮水器、   </w:t>
      </w:r>
      <w:r>
        <w:rPr>
          <w:spacing w:val="-12"/>
          <w:sz w:val="21"/>
        </w:rPr>
        <w:t>洗手台、垃圾箱等。</w:t>
      </w:r>
    </w:p>
    <w:p>
      <w:pPr>
        <w:pStyle w:val="5"/>
        <w:spacing w:line="417" w:lineRule="auto"/>
        <w:ind w:left="112" w:right="210" w:firstLine="420"/>
        <w:jc w:val="both"/>
      </w:pPr>
      <w:r>
        <w:t>3  参照《上海市无障碍设施设计标准》</w:t>
      </w:r>
      <w:r>
        <w:rPr>
          <w:rFonts w:hint="eastAsia" w:ascii="仿宋" w:hAnsi="仿宋" w:eastAsia="仿宋"/>
        </w:rPr>
        <w:t>DBJ</w:t>
      </w:r>
      <w:r>
        <w:rPr>
          <w:rFonts w:hint="eastAsia" w:ascii="仿宋" w:hAnsi="仿宋" w:eastAsia="仿宋"/>
          <w:spacing w:val="4"/>
        </w:rPr>
        <w:t xml:space="preserve"> </w:t>
      </w:r>
      <w:r>
        <w:t>08-103-2003</w:t>
      </w:r>
      <w:r>
        <w:rPr>
          <w:spacing w:val="-34"/>
        </w:rPr>
        <w:t xml:space="preserve"> 第 </w:t>
      </w:r>
      <w:r>
        <w:t>3.3.4</w:t>
      </w:r>
      <w:r>
        <w:rPr>
          <w:spacing w:val="-8"/>
        </w:rPr>
        <w:t xml:space="preserve"> 条“公共绿地的休息座椅旁应按</w:t>
      </w:r>
      <w:r>
        <w:rPr>
          <w:spacing w:val="-20"/>
        </w:rPr>
        <w:t xml:space="preserve">不小于 </w:t>
      </w:r>
      <w:r>
        <w:t>10%的比例，分设轮椅停留位置”和《天津市无障碍设计标准》</w:t>
      </w:r>
      <w:r>
        <w:rPr>
          <w:rFonts w:hint="eastAsia" w:ascii="仿宋" w:hAnsi="仿宋" w:eastAsia="仿宋"/>
        </w:rPr>
        <w:t>DB/T</w:t>
      </w:r>
      <w:r>
        <w:rPr>
          <w:rFonts w:hint="eastAsia" w:ascii="仿宋" w:hAnsi="仿宋" w:eastAsia="仿宋"/>
          <w:spacing w:val="-4"/>
        </w:rPr>
        <w:t xml:space="preserve"> </w:t>
      </w:r>
      <w:r>
        <w:t>29-196-2017</w:t>
      </w:r>
      <w:r>
        <w:rPr>
          <w:spacing w:val="-38"/>
        </w:rPr>
        <w:t xml:space="preserve"> 第 </w:t>
      </w:r>
      <w:r>
        <w:t>5.2.6</w:t>
      </w:r>
      <w:r>
        <w:rPr>
          <w:spacing w:val="-28"/>
        </w:rPr>
        <w:t xml:space="preserve"> 条第 </w:t>
      </w:r>
      <w:r>
        <w:t xml:space="preserve">5 </w:t>
      </w:r>
      <w:r>
        <w:rPr>
          <w:spacing w:val="-7"/>
        </w:rPr>
        <w:t xml:space="preserve">款“休息座椅旁应按不少于座椅总数的 </w:t>
      </w:r>
      <w:r>
        <w:t>10</w:t>
      </w:r>
      <w:r>
        <w:rPr>
          <w:spacing w:val="-6"/>
        </w:rPr>
        <w:t xml:space="preserve">％设置轮椅停留空间，且至少设置 </w:t>
      </w:r>
      <w:r>
        <w:t>1</w:t>
      </w:r>
      <w:r>
        <w:rPr>
          <w:spacing w:val="-11"/>
        </w:rPr>
        <w:t xml:space="preserve"> 个。”本款规定了轮椅席位数量配置的要求。</w:t>
      </w:r>
    </w:p>
    <w:p>
      <w:pPr>
        <w:pStyle w:val="5"/>
        <w:spacing w:line="268" w:lineRule="exact"/>
        <w:ind w:left="532"/>
        <w:jc w:val="both"/>
      </w:pPr>
      <w:r>
        <w:t>5 参照《深圳市公共场所母婴室设计规程》</w:t>
      </w:r>
      <w:r>
        <w:rPr>
          <w:rFonts w:hint="eastAsia" w:ascii="仿宋" w:hAnsi="仿宋" w:eastAsia="仿宋"/>
        </w:rPr>
        <w:t xml:space="preserve">SJG </w:t>
      </w:r>
      <w:r>
        <w:t>54-2019 第 3.0.2 条第 3 款“用地面积不小于 2 万</w:t>
      </w:r>
    </w:p>
    <w:p>
      <w:pPr>
        <w:pStyle w:val="5"/>
        <w:spacing w:before="6"/>
        <w:rPr>
          <w:sz w:val="15"/>
        </w:rPr>
      </w:pPr>
    </w:p>
    <w:p>
      <w:pPr>
        <w:pStyle w:val="5"/>
        <w:spacing w:line="417" w:lineRule="auto"/>
        <w:ind w:left="112" w:right="212"/>
        <w:jc w:val="both"/>
      </w:pPr>
      <w:r>
        <w:t>㎡的公园（</w:t>
      </w:r>
      <w:r>
        <w:rPr>
          <w:spacing w:val="1"/>
        </w:rPr>
        <w:t>公园绿地</w:t>
      </w:r>
      <w:r>
        <w:t>）</w:t>
      </w:r>
      <w:r>
        <w:rPr>
          <w:spacing w:val="-5"/>
        </w:rPr>
        <w:t xml:space="preserve">等公共开敞空间，应设置 </w:t>
      </w:r>
      <w:r>
        <w:t>1</w:t>
      </w:r>
      <w:r>
        <w:rPr>
          <w:spacing w:val="-5"/>
        </w:rPr>
        <w:t xml:space="preserve"> 处使用面积不小于 </w:t>
      </w:r>
      <w:r>
        <w:t>6 ㎡的独立母婴室，且沿步行主路</w:t>
      </w:r>
      <w:r>
        <w:rPr>
          <w:spacing w:val="-8"/>
        </w:rPr>
        <w:t xml:space="preserve">径服务半径每 </w:t>
      </w:r>
      <w:r>
        <w:t>1～2</w:t>
      </w:r>
      <w:r>
        <w:rPr>
          <w:rFonts w:hint="eastAsia" w:ascii="仿宋" w:hAnsi="仿宋" w:eastAsia="仿宋"/>
        </w:rPr>
        <w:t xml:space="preserve">km </w:t>
      </w:r>
      <w:r>
        <w:rPr>
          <w:spacing w:val="-13"/>
        </w:rPr>
        <w:t xml:space="preserve">宜设置 </w:t>
      </w:r>
      <w:r>
        <w:t>1</w:t>
      </w:r>
      <w:r>
        <w:rPr>
          <w:spacing w:val="-1"/>
        </w:rPr>
        <w:t xml:space="preserve"> 处。”本款增加了公园绿地内母婴室的设置要求。</w:t>
      </w:r>
    </w:p>
    <w:p>
      <w:pPr>
        <w:pStyle w:val="12"/>
        <w:numPr>
          <w:ilvl w:val="2"/>
          <w:numId w:val="184"/>
        </w:numPr>
        <w:tabs>
          <w:tab w:val="left" w:pos="964"/>
          <w:tab w:val="left" w:pos="965"/>
        </w:tabs>
        <w:spacing w:before="0" w:after="0" w:line="269" w:lineRule="exact"/>
        <w:ind w:left="964" w:right="0" w:hanging="853"/>
        <w:jc w:val="left"/>
        <w:rPr>
          <w:sz w:val="21"/>
        </w:rPr>
      </w:pPr>
      <w:bookmarkStart w:id="892" w:name="7.2.9管理设施主要是指各种面向游客的具有管理功能的建筑，如管理处、派出所等。"/>
      <w:bookmarkEnd w:id="892"/>
      <w:bookmarkStart w:id="893" w:name="7.2.9管理设施主要是指各种面向游客的具有管理功能的建筑，如管理处、派出所等。"/>
      <w:bookmarkEnd w:id="893"/>
      <w:r>
        <w:rPr>
          <w:sz w:val="21"/>
        </w:rPr>
        <w:t>管理设施主要是指各种面向游客的具有管理功能的建筑，如管理处、派出所等。</w:t>
      </w:r>
    </w:p>
    <w:p>
      <w:pPr>
        <w:pStyle w:val="5"/>
        <w:spacing w:before="6"/>
        <w:rPr>
          <w:sz w:val="15"/>
        </w:rPr>
      </w:pPr>
    </w:p>
    <w:p>
      <w:pPr>
        <w:pStyle w:val="12"/>
        <w:numPr>
          <w:ilvl w:val="2"/>
          <w:numId w:val="186"/>
        </w:numPr>
        <w:tabs>
          <w:tab w:val="left" w:pos="964"/>
          <w:tab w:val="left" w:pos="965"/>
        </w:tabs>
        <w:spacing w:before="0" w:after="0" w:line="417" w:lineRule="auto"/>
        <w:ind w:left="112" w:right="215" w:firstLine="0"/>
        <w:jc w:val="left"/>
        <w:rPr>
          <w:sz w:val="21"/>
        </w:rPr>
      </w:pPr>
      <w:bookmarkStart w:id="894" w:name="7.2.11危险地段设置警示标识、提示标识、安全警示线可以提示游人尤其是视觉障碍"/>
      <w:bookmarkEnd w:id="894"/>
      <w:bookmarkStart w:id="895" w:name="7.2.11危险地段设置警示标识、提示标识、安全警示线可以提示游人尤其是视觉障碍"/>
      <w:bookmarkEnd w:id="895"/>
      <w:r>
        <w:rPr>
          <w:spacing w:val="-3"/>
          <w:w w:val="95"/>
          <w:sz w:val="21"/>
        </w:rPr>
        <w:t xml:space="preserve">危险地段设置警示标识、提示标识、安全警示线可以提示游人尤其是视觉障碍者、儿童危险地段   </w:t>
      </w:r>
      <w:r>
        <w:rPr>
          <w:spacing w:val="-3"/>
          <w:sz w:val="21"/>
        </w:rPr>
        <w:t>的位置。设置安全防护措施可以防止发生跌落、倾覆、侧翻事故。</w:t>
      </w:r>
    </w:p>
    <w:p>
      <w:pPr>
        <w:pStyle w:val="12"/>
        <w:numPr>
          <w:ilvl w:val="2"/>
          <w:numId w:val="186"/>
        </w:numPr>
        <w:tabs>
          <w:tab w:val="left" w:pos="964"/>
          <w:tab w:val="left" w:pos="965"/>
        </w:tabs>
        <w:spacing w:before="0" w:after="0" w:line="417" w:lineRule="auto"/>
        <w:ind w:left="112" w:right="210" w:firstLine="0"/>
        <w:jc w:val="left"/>
        <w:rPr>
          <w:sz w:val="21"/>
        </w:rPr>
      </w:pPr>
      <w:bookmarkStart w:id="896" w:name="7.2.12深圳市的公园绿地夜间有大量市民使用，应做好夜间照明设计，台阶、坡道、"/>
      <w:bookmarkEnd w:id="896"/>
      <w:bookmarkStart w:id="897" w:name="7.2.12深圳市的公园绿地夜间有大量市民使用，应做好夜间照明设计，台阶、坡道、"/>
      <w:bookmarkEnd w:id="897"/>
      <w:r>
        <w:rPr>
          <w:spacing w:val="-4"/>
          <w:w w:val="95"/>
          <w:sz w:val="21"/>
        </w:rPr>
        <w:t xml:space="preserve">深圳市的公园绿地夜间有大量市民使用，应做好夜间照明设计，台阶、坡道、危险地段应加强照   </w:t>
      </w:r>
      <w:r>
        <w:rPr>
          <w:spacing w:val="-4"/>
          <w:sz w:val="21"/>
        </w:rPr>
        <w:t>明。</w:t>
      </w:r>
    </w:p>
    <w:p>
      <w:pPr>
        <w:pStyle w:val="12"/>
        <w:numPr>
          <w:ilvl w:val="2"/>
          <w:numId w:val="186"/>
        </w:numPr>
        <w:tabs>
          <w:tab w:val="left" w:pos="964"/>
          <w:tab w:val="left" w:pos="965"/>
        </w:tabs>
        <w:spacing w:before="0" w:after="0" w:line="269" w:lineRule="exact"/>
        <w:ind w:left="964" w:right="0" w:hanging="853"/>
        <w:jc w:val="left"/>
        <w:rPr>
          <w:sz w:val="21"/>
        </w:rPr>
      </w:pPr>
      <w:bookmarkStart w:id="898" w:name="7.2.13本条规定了滨水公园绿地的无障碍设计要求。深圳市位于广东省中南沿海地区"/>
      <w:bookmarkEnd w:id="898"/>
      <w:bookmarkStart w:id="899" w:name="7.2.13本条规定了滨水公园绿地的无障碍设计要求。深圳市位于广东省中南沿海地区"/>
      <w:bookmarkEnd w:id="899"/>
      <w:r>
        <w:rPr>
          <w:spacing w:val="-6"/>
          <w:sz w:val="21"/>
        </w:rPr>
        <w:t>本条规定了滨水公园绿地的无障碍设计要求。深圳市位于广东省中南沿海地区，多滨水公园绿地，</w:t>
      </w:r>
    </w:p>
    <w:p>
      <w:pPr>
        <w:spacing w:after="0" w:line="269" w:lineRule="exact"/>
        <w:jc w:val="left"/>
        <w:rPr>
          <w:sz w:val="21"/>
        </w:rPr>
        <w:sectPr>
          <w:footerReference r:id="rId20" w:type="default"/>
          <w:pgSz w:w="11910" w:h="16840"/>
          <w:pgMar w:top="1580" w:right="920" w:bottom="1160" w:left="1020" w:header="0" w:footer="975" w:gutter="0"/>
          <w:pgNumType w:start="94"/>
          <w:cols w:space="720" w:num="1"/>
        </w:sectPr>
      </w:pPr>
    </w:p>
    <w:p>
      <w:pPr>
        <w:pStyle w:val="5"/>
        <w:spacing w:before="60"/>
        <w:ind w:left="112"/>
      </w:pPr>
      <w:r>
        <w:t>因此增加本条规定。</w:t>
      </w:r>
    </w:p>
    <w:p>
      <w:pPr>
        <w:pStyle w:val="5"/>
        <w:spacing w:before="6"/>
        <w:rPr>
          <w:sz w:val="15"/>
        </w:rPr>
      </w:pPr>
    </w:p>
    <w:p>
      <w:pPr>
        <w:pStyle w:val="12"/>
        <w:numPr>
          <w:ilvl w:val="3"/>
          <w:numId w:val="186"/>
        </w:numPr>
        <w:tabs>
          <w:tab w:val="left" w:pos="960"/>
        </w:tabs>
        <w:spacing w:before="1" w:after="0" w:line="240" w:lineRule="auto"/>
        <w:ind w:left="960" w:right="0" w:hanging="420"/>
        <w:jc w:val="both"/>
        <w:rPr>
          <w:sz w:val="21"/>
        </w:rPr>
      </w:pPr>
      <w:r>
        <w:rPr>
          <w:spacing w:val="-2"/>
          <w:sz w:val="21"/>
        </w:rPr>
        <w:t xml:space="preserve">无障碍游览园路应至少要满足一辆轮椅和一个人正面相对通过，因此宽度不宜小于 </w:t>
      </w:r>
      <w:r>
        <w:rPr>
          <w:sz w:val="21"/>
        </w:rPr>
        <w:t>1.50</w:t>
      </w:r>
      <w:r>
        <w:rPr>
          <w:rFonts w:hint="eastAsia" w:ascii="仿宋" w:eastAsia="仿宋"/>
          <w:sz w:val="21"/>
        </w:rPr>
        <w:t>m</w:t>
      </w:r>
      <w:r>
        <w:rPr>
          <w:sz w:val="21"/>
        </w:rPr>
        <w:t>。</w:t>
      </w:r>
    </w:p>
    <w:p>
      <w:pPr>
        <w:pStyle w:val="5"/>
        <w:spacing w:before="6"/>
        <w:rPr>
          <w:sz w:val="15"/>
        </w:rPr>
      </w:pPr>
    </w:p>
    <w:p>
      <w:pPr>
        <w:pStyle w:val="12"/>
        <w:numPr>
          <w:ilvl w:val="3"/>
          <w:numId w:val="186"/>
        </w:numPr>
        <w:tabs>
          <w:tab w:val="left" w:pos="960"/>
        </w:tabs>
        <w:spacing w:before="0" w:after="0" w:line="417" w:lineRule="auto"/>
        <w:ind w:left="112" w:right="212" w:firstLine="427"/>
        <w:jc w:val="both"/>
        <w:rPr>
          <w:sz w:val="21"/>
        </w:rPr>
      </w:pPr>
      <w:r>
        <w:rPr>
          <w:spacing w:val="-3"/>
          <w:sz w:val="21"/>
        </w:rPr>
        <w:t xml:space="preserve">乘轮椅者的视线水平高度一般为 </w:t>
      </w:r>
      <w:r>
        <w:rPr>
          <w:sz w:val="21"/>
        </w:rPr>
        <w:t>1.10</w:t>
      </w:r>
      <w:r>
        <w:rPr>
          <w:rFonts w:hint="eastAsia" w:ascii="仿宋" w:eastAsia="仿宋"/>
          <w:sz w:val="21"/>
        </w:rPr>
        <w:t>m</w:t>
      </w:r>
      <w:r>
        <w:rPr>
          <w:sz w:val="21"/>
        </w:rPr>
        <w:t>，为防止乘轮椅者沿湖面观景时跌落水中，安全护栏不应</w:t>
      </w:r>
      <w:r>
        <w:rPr>
          <w:spacing w:val="-17"/>
          <w:sz w:val="21"/>
        </w:rPr>
        <w:t xml:space="preserve">低于 </w:t>
      </w:r>
      <w:r>
        <w:rPr>
          <w:sz w:val="21"/>
        </w:rPr>
        <w:t>900</w:t>
      </w:r>
      <w:r>
        <w:rPr>
          <w:rFonts w:hint="eastAsia" w:ascii="仿宋" w:eastAsia="仿宋"/>
          <w:sz w:val="21"/>
        </w:rPr>
        <w:t>mm</w:t>
      </w:r>
      <w:r>
        <w:rPr>
          <w:sz w:val="21"/>
        </w:rPr>
        <w:t>。</w:t>
      </w:r>
    </w:p>
    <w:p>
      <w:pPr>
        <w:pStyle w:val="12"/>
        <w:numPr>
          <w:ilvl w:val="2"/>
          <w:numId w:val="186"/>
        </w:numPr>
        <w:tabs>
          <w:tab w:val="left" w:pos="965"/>
        </w:tabs>
        <w:spacing w:before="0" w:after="0" w:line="269" w:lineRule="exact"/>
        <w:ind w:left="964" w:right="0" w:hanging="853"/>
        <w:jc w:val="both"/>
        <w:rPr>
          <w:sz w:val="21"/>
        </w:rPr>
      </w:pPr>
      <w:bookmarkStart w:id="900" w:name="7.2.14本条规定了植物配置的要求。"/>
      <w:bookmarkEnd w:id="900"/>
      <w:bookmarkStart w:id="901" w:name="7.2.14本条规定了植物配置的要求。"/>
      <w:bookmarkEnd w:id="901"/>
      <w:r>
        <w:rPr>
          <w:sz w:val="21"/>
        </w:rPr>
        <w:t>本条规定了植物配置的要求。</w:t>
      </w:r>
    </w:p>
    <w:p>
      <w:pPr>
        <w:pStyle w:val="5"/>
        <w:spacing w:before="7"/>
        <w:rPr>
          <w:sz w:val="15"/>
        </w:rPr>
      </w:pPr>
    </w:p>
    <w:p>
      <w:pPr>
        <w:pStyle w:val="12"/>
        <w:numPr>
          <w:ilvl w:val="0"/>
          <w:numId w:val="187"/>
        </w:numPr>
        <w:tabs>
          <w:tab w:val="left" w:pos="960"/>
        </w:tabs>
        <w:spacing w:before="0" w:after="0" w:line="417" w:lineRule="auto"/>
        <w:ind w:left="112" w:right="210" w:firstLine="427"/>
        <w:jc w:val="both"/>
        <w:rPr>
          <w:sz w:val="21"/>
        </w:rPr>
      </w:pPr>
      <w:r>
        <w:rPr>
          <w:spacing w:val="-4"/>
          <w:w w:val="95"/>
          <w:sz w:val="21"/>
        </w:rPr>
        <w:t>针对视觉障碍者、听觉障碍者、老年人、儿童等群体的特殊体验感受，公园绿地的景观植物可基   于五感（</w:t>
      </w:r>
      <w:r>
        <w:rPr>
          <w:spacing w:val="-3"/>
          <w:w w:val="95"/>
          <w:sz w:val="21"/>
        </w:rPr>
        <w:t>视觉、听觉、嗅觉、触觉、味觉）</w:t>
      </w:r>
      <w:r>
        <w:rPr>
          <w:w w:val="95"/>
          <w:sz w:val="21"/>
        </w:rPr>
        <w:t xml:space="preserve">配置。植物配置时种植具有芳香气味、花叶色彩鲜艳的观赏性   </w:t>
      </w:r>
      <w:r>
        <w:rPr>
          <w:sz w:val="21"/>
        </w:rPr>
        <w:t>植物，不仅为视觉障碍者、老年人等群体指引方向，还可起到舒缓心情的作用，丰富人们的视觉体验。</w:t>
      </w:r>
    </w:p>
    <w:p>
      <w:pPr>
        <w:pStyle w:val="12"/>
        <w:numPr>
          <w:ilvl w:val="0"/>
          <w:numId w:val="187"/>
        </w:numPr>
        <w:tabs>
          <w:tab w:val="left" w:pos="960"/>
        </w:tabs>
        <w:spacing w:before="0" w:after="0" w:line="417" w:lineRule="auto"/>
        <w:ind w:left="112" w:right="215" w:firstLine="427"/>
        <w:jc w:val="both"/>
        <w:rPr>
          <w:sz w:val="21"/>
        </w:rPr>
      </w:pPr>
      <w:r>
        <w:rPr>
          <w:spacing w:val="-3"/>
          <w:w w:val="95"/>
          <w:sz w:val="21"/>
        </w:rPr>
        <w:t xml:space="preserve">不应种植带叶刺、枝刺、皮刺的职务，如剑麻、香泡、勒杜鹃、木棉、虎刺玫、霸王鞭等，易造   </w:t>
      </w:r>
      <w:r>
        <w:rPr>
          <w:spacing w:val="-3"/>
          <w:sz w:val="21"/>
        </w:rPr>
        <w:t>成危险。</w:t>
      </w:r>
    </w:p>
    <w:p>
      <w:pPr>
        <w:pStyle w:val="12"/>
        <w:numPr>
          <w:ilvl w:val="0"/>
          <w:numId w:val="187"/>
        </w:numPr>
        <w:tabs>
          <w:tab w:val="left" w:pos="960"/>
        </w:tabs>
        <w:spacing w:before="0" w:after="0" w:line="417" w:lineRule="auto"/>
        <w:ind w:left="112" w:right="212" w:firstLine="427"/>
        <w:jc w:val="both"/>
        <w:rPr>
          <w:sz w:val="21"/>
        </w:rPr>
      </w:pPr>
      <w:r>
        <w:rPr>
          <w:spacing w:val="-2"/>
          <w:w w:val="95"/>
          <w:sz w:val="21"/>
        </w:rPr>
        <w:t xml:space="preserve">根系容易露出地面的植物影响无障碍通行，且易造成危险。非游览线路和休憩区的公园范围可以   </w:t>
      </w:r>
      <w:r>
        <w:rPr>
          <w:spacing w:val="-2"/>
          <w:sz w:val="21"/>
        </w:rPr>
        <w:t>种植。</w:t>
      </w:r>
    </w:p>
    <w:p>
      <w:pPr>
        <w:pStyle w:val="12"/>
        <w:numPr>
          <w:ilvl w:val="2"/>
          <w:numId w:val="186"/>
        </w:numPr>
        <w:tabs>
          <w:tab w:val="left" w:pos="965"/>
        </w:tabs>
        <w:spacing w:before="0" w:after="0" w:line="269" w:lineRule="exact"/>
        <w:ind w:left="964" w:right="0" w:hanging="853"/>
        <w:jc w:val="both"/>
        <w:rPr>
          <w:sz w:val="21"/>
        </w:rPr>
      </w:pPr>
      <w:bookmarkStart w:id="902" w:name="7.2.15本条规定了其他类别公园绿地的无障碍设计要求。"/>
      <w:bookmarkEnd w:id="902"/>
      <w:bookmarkStart w:id="903" w:name="7.2.15本条规定了其他类别公园绿地的无障碍设计要求。"/>
      <w:bookmarkEnd w:id="903"/>
      <w:r>
        <w:rPr>
          <w:sz w:val="21"/>
        </w:rPr>
        <w:t>本条规定了其他类别公园绿地的无障碍设计要求。</w:t>
      </w:r>
    </w:p>
    <w:p>
      <w:pPr>
        <w:pStyle w:val="5"/>
        <w:spacing w:before="6"/>
        <w:rPr>
          <w:sz w:val="15"/>
        </w:rPr>
      </w:pPr>
    </w:p>
    <w:p>
      <w:pPr>
        <w:pStyle w:val="12"/>
        <w:numPr>
          <w:ilvl w:val="0"/>
          <w:numId w:val="188"/>
        </w:numPr>
        <w:tabs>
          <w:tab w:val="left" w:pos="960"/>
        </w:tabs>
        <w:spacing w:before="0" w:after="0" w:line="417" w:lineRule="auto"/>
        <w:ind w:left="112" w:right="212" w:firstLine="427"/>
        <w:jc w:val="both"/>
        <w:rPr>
          <w:sz w:val="21"/>
        </w:rPr>
      </w:pPr>
      <w:r>
        <w:rPr>
          <w:spacing w:val="-2"/>
          <w:w w:val="95"/>
          <w:sz w:val="21"/>
        </w:rPr>
        <w:t xml:space="preserve">视觉障碍者可以通过触摸嗅闻和言传而感知周围环境，感应周围的动物和植物，使其游览更为方   </w:t>
      </w:r>
      <w:r>
        <w:rPr>
          <w:spacing w:val="-2"/>
          <w:sz w:val="21"/>
        </w:rPr>
        <w:t>便和享受其中的乐趣。</w:t>
      </w:r>
    </w:p>
    <w:p>
      <w:pPr>
        <w:pStyle w:val="12"/>
        <w:numPr>
          <w:ilvl w:val="0"/>
          <w:numId w:val="188"/>
        </w:numPr>
        <w:tabs>
          <w:tab w:val="left" w:pos="960"/>
        </w:tabs>
        <w:spacing w:before="0" w:after="0" w:line="417" w:lineRule="auto"/>
        <w:ind w:left="112" w:right="212" w:firstLine="427"/>
        <w:jc w:val="both"/>
        <w:rPr>
          <w:sz w:val="21"/>
        </w:rPr>
      </w:pPr>
      <w:r>
        <w:rPr>
          <w:spacing w:val="-3"/>
          <w:w w:val="95"/>
          <w:sz w:val="21"/>
        </w:rPr>
        <w:t xml:space="preserve">各类公园的展示区、展览区也应充分考虑各种群体的不同需要，要使乘轮椅者便于靠近围栏或矮   </w:t>
      </w:r>
      <w:r>
        <w:rPr>
          <w:spacing w:val="-3"/>
          <w:sz w:val="21"/>
        </w:rPr>
        <w:t>围墙，并留出一定数量便于乘轮椅者观看的窗口和位置。</w:t>
      </w:r>
    </w:p>
    <w:p>
      <w:pPr>
        <w:spacing w:after="0" w:line="417" w:lineRule="auto"/>
        <w:jc w:val="both"/>
        <w:rPr>
          <w:sz w:val="21"/>
        </w:rPr>
        <w:sectPr>
          <w:pgSz w:w="11910" w:h="16840"/>
          <w:pgMar w:top="1580" w:right="920" w:bottom="1160" w:left="1020" w:header="0" w:footer="975" w:gutter="0"/>
          <w:cols w:space="720" w:num="1"/>
        </w:sectPr>
      </w:pPr>
    </w:p>
    <w:p>
      <w:pPr>
        <w:pStyle w:val="2"/>
        <w:numPr>
          <w:ilvl w:val="1"/>
          <w:numId w:val="188"/>
        </w:numPr>
        <w:tabs>
          <w:tab w:val="left" w:pos="4499"/>
          <w:tab w:val="left" w:pos="4500"/>
        </w:tabs>
        <w:spacing w:before="68" w:after="0" w:line="240" w:lineRule="auto"/>
        <w:ind w:left="4500" w:right="0" w:hanging="420"/>
        <w:jc w:val="left"/>
      </w:pPr>
      <w:bookmarkStart w:id="904" w:name="8城市建筑"/>
      <w:bookmarkEnd w:id="904"/>
      <w:bookmarkStart w:id="905" w:name="_bookmark49"/>
      <w:bookmarkEnd w:id="905"/>
      <w:r>
        <w:t>城市建筑</w:t>
      </w:r>
    </w:p>
    <w:p>
      <w:pPr>
        <w:pStyle w:val="12"/>
        <w:numPr>
          <w:ilvl w:val="2"/>
          <w:numId w:val="188"/>
        </w:numPr>
        <w:tabs>
          <w:tab w:val="left" w:pos="4724"/>
        </w:tabs>
        <w:spacing w:before="206" w:after="0" w:line="240" w:lineRule="auto"/>
        <w:ind w:left="4723" w:right="0" w:hanging="421"/>
        <w:jc w:val="left"/>
        <w:rPr>
          <w:rFonts w:hint="eastAsia" w:ascii="黑体" w:eastAsia="黑体"/>
          <w:sz w:val="21"/>
        </w:rPr>
      </w:pPr>
      <w:bookmarkStart w:id="906" w:name="8.1一般规定"/>
      <w:bookmarkEnd w:id="906"/>
      <w:bookmarkStart w:id="907" w:name="_bookmark50"/>
      <w:bookmarkEnd w:id="907"/>
      <w:bookmarkStart w:id="908" w:name="_bookmark50"/>
      <w:bookmarkEnd w:id="908"/>
      <w:r>
        <w:rPr>
          <w:rFonts w:hint="eastAsia" w:ascii="黑体" w:eastAsia="黑体"/>
          <w:sz w:val="21"/>
        </w:rPr>
        <w:t>一般规定</w:t>
      </w:r>
    </w:p>
    <w:p>
      <w:pPr>
        <w:pStyle w:val="5"/>
        <w:spacing w:before="6"/>
        <w:rPr>
          <w:rFonts w:ascii="黑体"/>
          <w:sz w:val="15"/>
        </w:rPr>
      </w:pPr>
    </w:p>
    <w:p>
      <w:pPr>
        <w:pStyle w:val="12"/>
        <w:numPr>
          <w:ilvl w:val="2"/>
          <w:numId w:val="189"/>
        </w:numPr>
        <w:tabs>
          <w:tab w:val="left" w:pos="952"/>
          <w:tab w:val="left" w:pos="953"/>
        </w:tabs>
        <w:spacing w:before="1" w:after="0" w:line="417" w:lineRule="auto"/>
        <w:ind w:left="112" w:right="212" w:firstLine="0"/>
        <w:jc w:val="left"/>
        <w:rPr>
          <w:sz w:val="21"/>
        </w:rPr>
      </w:pPr>
      <w:bookmarkStart w:id="909" w:name="8.1.1本标准增加了工业建筑的无障碍设计要求，并将居住建筑、公共建筑、工业建筑"/>
      <w:bookmarkEnd w:id="909"/>
      <w:bookmarkStart w:id="910" w:name="8.1.1本标准增加了工业建筑的无障碍设计要求，并将居住建筑、公共建筑、工业建筑"/>
      <w:bookmarkEnd w:id="910"/>
      <w:r>
        <w:rPr>
          <w:spacing w:val="-3"/>
          <w:w w:val="95"/>
          <w:sz w:val="21"/>
        </w:rPr>
        <w:t xml:space="preserve">本标准增加了工业建筑的无障碍设计要求，并将居住建筑、公共建筑、工业建筑及其他建筑合称   </w:t>
      </w:r>
      <w:r>
        <w:rPr>
          <w:spacing w:val="-3"/>
          <w:sz w:val="21"/>
        </w:rPr>
        <w:t>为城市建筑。</w:t>
      </w:r>
    </w:p>
    <w:p>
      <w:pPr>
        <w:pStyle w:val="12"/>
        <w:numPr>
          <w:ilvl w:val="2"/>
          <w:numId w:val="189"/>
        </w:numPr>
        <w:tabs>
          <w:tab w:val="left" w:pos="952"/>
          <w:tab w:val="left" w:pos="953"/>
        </w:tabs>
        <w:spacing w:before="0" w:after="0" w:line="269" w:lineRule="exact"/>
        <w:ind w:left="952" w:right="0" w:hanging="841"/>
        <w:jc w:val="left"/>
        <w:rPr>
          <w:sz w:val="21"/>
        </w:rPr>
      </w:pPr>
      <w:bookmarkStart w:id="911" w:name="8.1.2本标准中建筑基地系指建筑工程项目红线内扣除主体建筑单体之后的室外部分。"/>
      <w:bookmarkEnd w:id="911"/>
      <w:bookmarkStart w:id="912" w:name="8.1.2本标准中建筑基地系指建筑工程项目红线内扣除主体建筑单体之后的室外部分。"/>
      <w:bookmarkEnd w:id="912"/>
      <w:r>
        <w:rPr>
          <w:sz w:val="21"/>
        </w:rPr>
        <w:t>本标准中建筑基地系指建筑工程项目红线内扣除主体建筑单体之后的室外部分。</w:t>
      </w:r>
    </w:p>
    <w:p>
      <w:pPr>
        <w:pStyle w:val="5"/>
        <w:spacing w:before="6"/>
        <w:rPr>
          <w:sz w:val="15"/>
        </w:rPr>
      </w:pPr>
    </w:p>
    <w:p>
      <w:pPr>
        <w:pStyle w:val="12"/>
        <w:numPr>
          <w:ilvl w:val="2"/>
          <w:numId w:val="190"/>
        </w:numPr>
        <w:tabs>
          <w:tab w:val="left" w:pos="952"/>
          <w:tab w:val="left" w:pos="953"/>
        </w:tabs>
        <w:spacing w:before="0" w:after="0" w:line="240" w:lineRule="auto"/>
        <w:ind w:left="952" w:right="0" w:hanging="841"/>
        <w:jc w:val="left"/>
        <w:rPr>
          <w:sz w:val="21"/>
        </w:rPr>
      </w:pPr>
      <w:bookmarkStart w:id="913" w:name="8.1.4建筑基地和建筑单体内宜配建下列无障碍设施，如表8.1.4。"/>
      <w:bookmarkEnd w:id="913"/>
      <w:bookmarkStart w:id="914" w:name="8.1.4建筑基地和建筑单体内宜配建下列无障碍设施，如表8.1.4。"/>
      <w:bookmarkEnd w:id="914"/>
      <w:r>
        <w:rPr>
          <w:spacing w:val="-3"/>
          <w:sz w:val="21"/>
        </w:rPr>
        <w:t xml:space="preserve">建筑基地和建筑单体内宜配建下列无障碍设施，如表 </w:t>
      </w:r>
      <w:r>
        <w:rPr>
          <w:sz w:val="21"/>
        </w:rPr>
        <w:t>8.1.4。</w:t>
      </w:r>
    </w:p>
    <w:p>
      <w:pPr>
        <w:pStyle w:val="5"/>
        <w:spacing w:before="7"/>
        <w:rPr>
          <w:sz w:val="15"/>
        </w:rPr>
      </w:pPr>
    </w:p>
    <w:p>
      <w:pPr>
        <w:pStyle w:val="12"/>
        <w:numPr>
          <w:ilvl w:val="2"/>
          <w:numId w:val="190"/>
        </w:numPr>
        <w:tabs>
          <w:tab w:val="left" w:pos="952"/>
          <w:tab w:val="left" w:pos="953"/>
        </w:tabs>
        <w:spacing w:before="0" w:after="0" w:line="240" w:lineRule="auto"/>
        <w:ind w:left="952" w:right="0" w:hanging="841"/>
        <w:jc w:val="left"/>
        <w:rPr>
          <w:sz w:val="21"/>
        </w:rPr>
      </w:pPr>
      <w:bookmarkStart w:id="915" w:name="8.1.5相邻基地的无障碍出入口靠近设置有利于无障碍通行。"/>
      <w:bookmarkEnd w:id="915"/>
      <w:bookmarkStart w:id="916" w:name="8.1.5相邻基地的无障碍出入口靠近设置有利于无障碍通行。"/>
      <w:bookmarkEnd w:id="916"/>
      <w:r>
        <w:rPr>
          <w:sz w:val="21"/>
        </w:rPr>
        <w:t>相邻基地的无障碍出入口靠近设置有利于无障碍通行。</w:t>
      </w:r>
    </w:p>
    <w:p>
      <w:pPr>
        <w:pStyle w:val="5"/>
        <w:spacing w:before="7"/>
        <w:rPr>
          <w:sz w:val="15"/>
        </w:rPr>
      </w:pPr>
    </w:p>
    <w:p>
      <w:pPr>
        <w:pStyle w:val="5"/>
        <w:tabs>
          <w:tab w:val="left" w:pos="952"/>
        </w:tabs>
        <w:ind w:left="112"/>
      </w:pPr>
      <w:r>
        <w:rPr>
          <w:b/>
        </w:rPr>
        <w:t>8.1.7</w:t>
      </w:r>
      <w:r>
        <w:rPr>
          <w:b/>
        </w:rPr>
        <w:tab/>
      </w:r>
      <w:bookmarkStart w:id="917" w:name="8.1.7结合深圳市气候特征，基地内的人行通道可尽量结合浓荫植物设置。"/>
      <w:bookmarkEnd w:id="917"/>
      <w:r>
        <w:t>结合深圳市气候特征，基地内的人行通道可尽量结合浓荫植物设置。</w:t>
      </w:r>
    </w:p>
    <w:p>
      <w:pPr>
        <w:spacing w:after="0"/>
        <w:sectPr>
          <w:pgSz w:w="11910" w:h="16840"/>
          <w:pgMar w:top="1580" w:right="920" w:bottom="1160" w:left="1020" w:header="0" w:footer="975" w:gutter="0"/>
          <w:cols w:space="720" w:num="1"/>
        </w:sectPr>
      </w:pPr>
    </w:p>
    <w:p>
      <w:pPr>
        <w:spacing w:before="48" w:after="23"/>
        <w:ind w:left="5766" w:right="5544" w:firstLine="0"/>
        <w:jc w:val="center"/>
        <w:rPr>
          <w:rFonts w:hint="eastAsia" w:ascii="黑体" w:eastAsia="黑体"/>
          <w:sz w:val="21"/>
        </w:rPr>
      </w:pPr>
      <w:r>
        <mc:AlternateContent>
          <mc:Choice Requires="wps">
            <w:drawing>
              <wp:anchor distT="0" distB="0" distL="114300" distR="114300" simplePos="0" relativeHeight="251678720" behindDoc="1" locked="0" layoutInCell="1" allowOverlap="1">
                <wp:simplePos x="0" y="0"/>
                <wp:positionH relativeFrom="page">
                  <wp:posOffset>656590</wp:posOffset>
                </wp:positionH>
                <wp:positionV relativeFrom="paragraph">
                  <wp:posOffset>226695</wp:posOffset>
                </wp:positionV>
                <wp:extent cx="958850" cy="1863090"/>
                <wp:effectExtent l="4445" t="1905" r="8255" b="20955"/>
                <wp:wrapNone/>
                <wp:docPr id="16" name="直线 10"/>
                <wp:cNvGraphicFramePr/>
                <a:graphic xmlns:a="http://schemas.openxmlformats.org/drawingml/2006/main">
                  <a:graphicData uri="http://schemas.microsoft.com/office/word/2010/wordprocessingShape">
                    <wps:wsp>
                      <wps:cNvSpPr/>
                      <wps:spPr>
                        <a:xfrm>
                          <a:off x="0" y="0"/>
                          <a:ext cx="958850" cy="186309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margin-left:51.7pt;margin-top:17.85pt;height:146.7pt;width:75.5pt;mso-position-horizontal-relative:page;z-index:-251637760;mso-width-relative:page;mso-height-relative:page;" filled="f" stroked="t" coordsize="21600,21600" o:gfxdata="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vj&#10;/SHWAAAACgEAAA8AAAAAAAAAAQAgAAAAIgAAAGRycy9kb3ducmV2LnhtbFBLAQIUABQAAAAIAIdO&#10;4kAryD2+7AEAAOIDAAAOAAAAAAAAAAEAIAAAACUBAABkcnMvZTJvRG9jLnhtbFBLBQYAAAAABgAG&#10;AFkBAACDBQ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679744" behindDoc="1" locked="0" layoutInCell="1" allowOverlap="1">
                <wp:simplePos x="0" y="0"/>
                <wp:positionH relativeFrom="page">
                  <wp:posOffset>2019300</wp:posOffset>
                </wp:positionH>
                <wp:positionV relativeFrom="page">
                  <wp:posOffset>2236470</wp:posOffset>
                </wp:positionV>
                <wp:extent cx="158115" cy="92075"/>
                <wp:effectExtent l="0" t="0" r="0" b="0"/>
                <wp:wrapNone/>
                <wp:docPr id="18" name="文本框 11"/>
                <wp:cNvGraphicFramePr/>
                <a:graphic xmlns:a="http://schemas.openxmlformats.org/drawingml/2006/main">
                  <a:graphicData uri="http://schemas.microsoft.com/office/word/2010/wordprocessingShape">
                    <wps:wsp>
                      <wps:cNvSpPr txBox="1"/>
                      <wps:spPr>
                        <a:xfrm>
                          <a:off x="0" y="0"/>
                          <a:ext cx="158115" cy="92075"/>
                        </a:xfrm>
                        <a:prstGeom prst="rect">
                          <a:avLst/>
                        </a:prstGeom>
                        <a:noFill/>
                        <a:ln>
                          <a:noFill/>
                        </a:ln>
                      </wps:spPr>
                      <wps:txbx>
                        <w:txbxContent>
                          <w:p>
                            <w:pPr>
                              <w:pStyle w:val="5"/>
                              <w:spacing w:line="249" w:lineRule="exact"/>
                              <w:ind w:left="20"/>
                            </w:pPr>
                            <w:r>
                              <w:rPr>
                                <w:w w:val="99"/>
                              </w:rPr>
                              <w:t>/</w:t>
                            </w:r>
                          </w:p>
                        </w:txbxContent>
                      </wps:txbx>
                      <wps:bodyPr vert="vert" lIns="0" tIns="0" rIns="0" bIns="0" upright="1"/>
                    </wps:wsp>
                  </a:graphicData>
                </a:graphic>
              </wp:anchor>
            </w:drawing>
          </mc:Choice>
          <mc:Fallback>
            <w:pict>
              <v:shape id="文本框 11" o:spid="_x0000_s1026" o:spt="202" type="#_x0000_t202" style="position:absolute;left:0pt;margin-left:159pt;margin-top:176.1pt;height:7.25pt;width:12.45pt;mso-position-horizontal-relative:page;mso-position-vertical-relative:page;z-index:-251636736;mso-width-relative:page;mso-height-relative:page;" filled="f" stroked="f" coordsize="21600,21600" o:gfxdata="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JgdePcAAAACwEAAA8AAAAAAAAAAQAgAAAAIgAAAGRycy9kb3ducmV2&#10;LnhtbFBLAQIUABQAAAAIAIdO4kBhFezLvwEAAH4DAAAOAAAAAAAAAAEAIAAAACsBAABkcnMvZTJv&#10;RG9jLnhtbFBLBQYAAAAABgAGAFkBAABcBQAAAAA=&#10;">
                <v:fill on="f" focussize="0,0"/>
                <v:stroke on="f"/>
                <v:imagedata o:title=""/>
                <o:lock v:ext="edit" aspectratio="f"/>
                <v:textbox inset="0mm,0mm,0mm,0mm" style="layout-flow:vertical;">
                  <w:txbxContent>
                    <w:p>
                      <w:pPr>
                        <w:pStyle w:val="5"/>
                        <w:spacing w:line="249" w:lineRule="exact"/>
                        <w:ind w:left="20"/>
                      </w:pPr>
                      <w:r>
                        <w:rPr>
                          <w:w w:val="99"/>
                        </w:rPr>
                        <w:t>/</w:t>
                      </w:r>
                    </w:p>
                  </w:txbxContent>
                </v:textbox>
              </v:shape>
            </w:pict>
          </mc:Fallback>
        </mc:AlternateContent>
      </w:r>
      <w:r>
        <w:rPr>
          <w:rFonts w:hint="eastAsia" w:ascii="黑体" w:eastAsia="黑体"/>
          <w:sz w:val="21"/>
        </w:rPr>
        <w:t xml:space="preserve">表 </w:t>
      </w:r>
      <w:r>
        <w:rPr>
          <w:b/>
          <w:sz w:val="21"/>
        </w:rPr>
        <w:t xml:space="preserve">8.1.4 </w:t>
      </w:r>
      <w:r>
        <w:rPr>
          <w:rFonts w:hint="eastAsia" w:ascii="黑体" w:eastAsia="黑体"/>
          <w:sz w:val="21"/>
        </w:rPr>
        <w:t>城市建筑无障碍设施配建表</w:t>
      </w:r>
    </w:p>
    <w:tbl>
      <w:tblPr>
        <w:tblStyle w:val="9"/>
        <w:tblW w:w="0" w:type="auto"/>
        <w:tblInd w:w="13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4"/>
        <w:gridCol w:w="1106"/>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0" w:hRule="atLeast"/>
        </w:trPr>
        <w:tc>
          <w:tcPr>
            <w:tcW w:w="1520" w:type="dxa"/>
            <w:gridSpan w:val="2"/>
            <w:vMerge w:val="restart"/>
            <w:tcBorders>
              <w:bottom w:val="single" w:color="000000" w:sz="4" w:space="0"/>
              <w:right w:val="single" w:color="000000" w:sz="4" w:space="0"/>
            </w:tcBorders>
          </w:tcPr>
          <w:p>
            <w:pPr>
              <w:pStyle w:val="13"/>
              <w:rPr>
                <w:rFonts w:ascii="黑体"/>
                <w:sz w:val="20"/>
              </w:rPr>
            </w:pPr>
          </w:p>
          <w:p>
            <w:pPr>
              <w:pStyle w:val="13"/>
              <w:spacing w:before="9"/>
              <w:rPr>
                <w:rFonts w:ascii="黑体"/>
                <w:sz w:val="16"/>
              </w:rPr>
            </w:pPr>
          </w:p>
          <w:p>
            <w:pPr>
              <w:pStyle w:val="13"/>
              <w:spacing w:line="278" w:lineRule="auto"/>
              <w:ind w:left="550" w:right="429" w:hanging="106"/>
              <w:rPr>
                <w:sz w:val="21"/>
              </w:rPr>
            </w:pPr>
            <w:r>
              <w:rPr>
                <w:sz w:val="21"/>
              </w:rPr>
              <w:t>无障碍设施</w:t>
            </w:r>
          </w:p>
          <w:p>
            <w:pPr>
              <w:pStyle w:val="13"/>
              <w:rPr>
                <w:rFonts w:ascii="黑体"/>
                <w:sz w:val="20"/>
              </w:rPr>
            </w:pPr>
          </w:p>
          <w:p>
            <w:pPr>
              <w:pStyle w:val="13"/>
              <w:rPr>
                <w:rFonts w:ascii="黑体"/>
                <w:sz w:val="20"/>
              </w:rPr>
            </w:pPr>
          </w:p>
          <w:p>
            <w:pPr>
              <w:pStyle w:val="13"/>
              <w:rPr>
                <w:rFonts w:ascii="黑体"/>
                <w:sz w:val="20"/>
              </w:rPr>
            </w:pPr>
          </w:p>
          <w:p>
            <w:pPr>
              <w:pStyle w:val="13"/>
              <w:spacing w:before="3"/>
              <w:rPr>
                <w:rFonts w:ascii="黑体"/>
                <w:sz w:val="19"/>
              </w:rPr>
            </w:pPr>
          </w:p>
          <w:p>
            <w:pPr>
              <w:pStyle w:val="13"/>
              <w:ind w:left="492"/>
              <w:rPr>
                <w:sz w:val="21"/>
              </w:rPr>
            </w:pPr>
            <w:r>
              <w:rPr>
                <w:sz w:val="21"/>
              </w:rPr>
              <w:t>类型</w:t>
            </w:r>
          </w:p>
        </w:tc>
        <w:tc>
          <w:tcPr>
            <w:tcW w:w="7028" w:type="dxa"/>
            <w:gridSpan w:val="14"/>
            <w:tcBorders>
              <w:left w:val="single" w:color="000000" w:sz="4" w:space="0"/>
              <w:bottom w:val="single" w:color="000000" w:sz="4" w:space="0"/>
              <w:right w:val="single" w:color="000000" w:sz="4" w:space="0"/>
            </w:tcBorders>
          </w:tcPr>
          <w:p>
            <w:pPr>
              <w:pStyle w:val="13"/>
              <w:spacing w:before="101"/>
              <w:ind w:left="2763" w:right="2744"/>
              <w:jc w:val="center"/>
              <w:rPr>
                <w:sz w:val="21"/>
              </w:rPr>
            </w:pPr>
            <w:r>
              <w:rPr>
                <w:sz w:val="21"/>
              </w:rPr>
              <w:t>无障碍通行设施</w:t>
            </w:r>
          </w:p>
        </w:tc>
        <w:tc>
          <w:tcPr>
            <w:tcW w:w="4518" w:type="dxa"/>
            <w:gridSpan w:val="9"/>
            <w:tcBorders>
              <w:left w:val="single" w:color="000000" w:sz="4" w:space="0"/>
              <w:bottom w:val="single" w:color="000000" w:sz="4" w:space="0"/>
              <w:right w:val="single" w:color="000000" w:sz="4" w:space="0"/>
            </w:tcBorders>
          </w:tcPr>
          <w:p>
            <w:pPr>
              <w:pStyle w:val="13"/>
              <w:spacing w:before="101"/>
              <w:ind w:left="1507" w:right="1490"/>
              <w:jc w:val="center"/>
              <w:rPr>
                <w:sz w:val="21"/>
              </w:rPr>
            </w:pPr>
            <w:r>
              <w:rPr>
                <w:sz w:val="21"/>
              </w:rPr>
              <w:t>无障碍服务设施</w:t>
            </w:r>
          </w:p>
        </w:tc>
        <w:tc>
          <w:tcPr>
            <w:tcW w:w="1506" w:type="dxa"/>
            <w:gridSpan w:val="3"/>
            <w:tcBorders>
              <w:left w:val="single" w:color="000000" w:sz="4" w:space="0"/>
              <w:bottom w:val="single" w:color="000000" w:sz="4" w:space="0"/>
              <w:right w:val="single" w:color="000000" w:sz="4" w:space="0"/>
            </w:tcBorders>
          </w:tcPr>
          <w:p>
            <w:pPr>
              <w:pStyle w:val="13"/>
              <w:spacing w:line="236" w:lineRule="exact"/>
              <w:ind w:left="106" w:right="89"/>
              <w:jc w:val="center"/>
              <w:rPr>
                <w:sz w:val="21"/>
              </w:rPr>
            </w:pPr>
            <w:r>
              <w:rPr>
                <w:sz w:val="21"/>
              </w:rPr>
              <w:t>无障碍信息设</w:t>
            </w:r>
          </w:p>
          <w:p>
            <w:pPr>
              <w:pStyle w:val="13"/>
              <w:spacing w:line="224" w:lineRule="exact"/>
              <w:ind w:left="19"/>
              <w:jc w:val="center"/>
              <w:rPr>
                <w:sz w:val="21"/>
              </w:rPr>
            </w:pPr>
            <w:r>
              <w:rPr>
                <w:w w:val="99"/>
                <w:sz w:val="21"/>
              </w:rPr>
              <w:t>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39" w:hRule="atLeast"/>
        </w:trPr>
        <w:tc>
          <w:tcPr>
            <w:tcW w:w="1520" w:type="dxa"/>
            <w:gridSpan w:val="2"/>
            <w:vMerge w:val="continue"/>
            <w:tcBorders>
              <w:top w:val="nil"/>
              <w:bottom w:val="single" w:color="000000" w:sz="4" w:space="0"/>
              <w:right w:val="single" w:color="000000" w:sz="4" w:space="0"/>
            </w:tcBorders>
          </w:tcPr>
          <w:p>
            <w:pPr>
              <w:rPr>
                <w:sz w:val="2"/>
                <w:szCs w:val="2"/>
              </w:rPr>
            </w:pP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19"/>
              <w:ind w:left="274"/>
              <w:rPr>
                <w:sz w:val="21"/>
              </w:rPr>
            </w:pPr>
            <w:r>
              <w:rPr>
                <w:sz w:val="21"/>
              </w:rPr>
              <w:t>无障碍机动车停车位</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19"/>
              <w:ind w:left="118"/>
              <w:rPr>
                <w:sz w:val="21"/>
              </w:rPr>
            </w:pPr>
            <w:r>
              <w:rPr>
                <w:sz w:val="21"/>
              </w:rPr>
              <w:t>无障碍小汽车上 落客区</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20"/>
              <w:ind w:left="800"/>
              <w:rPr>
                <w:sz w:val="21"/>
              </w:rPr>
            </w:pPr>
            <w:r>
              <w:rPr>
                <w:sz w:val="21"/>
              </w:rPr>
              <w:t>缘石坡道</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20"/>
              <w:ind w:left="884" w:right="884"/>
              <w:jc w:val="center"/>
              <w:rPr>
                <w:sz w:val="21"/>
              </w:rPr>
            </w:pPr>
            <w:r>
              <w:rPr>
                <w:sz w:val="21"/>
              </w:rPr>
              <w:t>盲道</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20"/>
              <w:ind w:left="694"/>
              <w:rPr>
                <w:sz w:val="21"/>
              </w:rPr>
            </w:pPr>
            <w:r>
              <w:rPr>
                <w:sz w:val="21"/>
              </w:rPr>
              <w:t>无障碍通道</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21"/>
              <w:ind w:left="800"/>
              <w:rPr>
                <w:sz w:val="21"/>
              </w:rPr>
            </w:pPr>
            <w:r>
              <w:rPr>
                <w:sz w:val="21"/>
              </w:rPr>
              <w:t>轮椅坡道</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19"/>
              <w:ind w:left="589"/>
              <w:rPr>
                <w:sz w:val="21"/>
              </w:rPr>
            </w:pPr>
            <w:r>
              <w:rPr>
                <w:sz w:val="21"/>
              </w:rPr>
              <w:t>无障碍出入口</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19"/>
              <w:jc w:val="center"/>
              <w:rPr>
                <w:sz w:val="21"/>
              </w:rPr>
            </w:pPr>
            <w:r>
              <w:rPr>
                <w:w w:val="99"/>
                <w:sz w:val="21"/>
              </w:rPr>
              <w:t>门</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20"/>
              <w:ind w:left="694"/>
              <w:rPr>
                <w:sz w:val="21"/>
              </w:rPr>
            </w:pPr>
            <w:r>
              <w:rPr>
                <w:sz w:val="21"/>
              </w:rPr>
              <w:t>无障碍电梯</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20"/>
              <w:ind w:left="694"/>
              <w:rPr>
                <w:sz w:val="21"/>
              </w:rPr>
            </w:pPr>
            <w:r>
              <w:rPr>
                <w:sz w:val="21"/>
              </w:rPr>
              <w:t>无障碍楼梯</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20"/>
              <w:ind w:left="884" w:right="884"/>
              <w:jc w:val="center"/>
              <w:rPr>
                <w:sz w:val="21"/>
              </w:rPr>
            </w:pPr>
            <w:r>
              <w:rPr>
                <w:sz w:val="21"/>
              </w:rPr>
              <w:t>台阶</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21"/>
              <w:ind w:left="800"/>
              <w:rPr>
                <w:sz w:val="21"/>
              </w:rPr>
            </w:pPr>
            <w:r>
              <w:rPr>
                <w:sz w:val="21"/>
              </w:rPr>
              <w:t>自动扶梯</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19"/>
              <w:ind w:left="694"/>
              <w:rPr>
                <w:sz w:val="21"/>
              </w:rPr>
            </w:pPr>
            <w:r>
              <w:rPr>
                <w:sz w:val="21"/>
              </w:rPr>
              <w:t>自动人行道</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19"/>
              <w:ind w:left="884" w:right="884"/>
              <w:jc w:val="center"/>
              <w:rPr>
                <w:sz w:val="21"/>
              </w:rPr>
            </w:pPr>
            <w:r>
              <w:rPr>
                <w:sz w:val="21"/>
              </w:rPr>
              <w:t>扶手</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20"/>
              <w:ind w:left="885" w:right="884"/>
              <w:jc w:val="center"/>
              <w:rPr>
                <w:sz w:val="21"/>
              </w:rPr>
            </w:pPr>
            <w:r>
              <w:rPr>
                <w:sz w:val="21"/>
              </w:rPr>
              <w:t>母婴室</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20"/>
              <w:ind w:left="589"/>
              <w:rPr>
                <w:sz w:val="21"/>
              </w:rPr>
            </w:pPr>
            <w:r>
              <w:rPr>
                <w:sz w:val="21"/>
              </w:rPr>
              <w:t>无障碍卫生间</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20"/>
              <w:ind w:left="694"/>
              <w:rPr>
                <w:sz w:val="21"/>
              </w:rPr>
            </w:pPr>
            <w:r>
              <w:rPr>
                <w:sz w:val="21"/>
              </w:rPr>
              <w:t>第三卫生间</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21"/>
              <w:ind w:left="694"/>
              <w:rPr>
                <w:sz w:val="21"/>
              </w:rPr>
            </w:pPr>
            <w:r>
              <w:rPr>
                <w:sz w:val="21"/>
              </w:rPr>
              <w:t>公共卫生间</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19"/>
              <w:ind w:left="380"/>
              <w:rPr>
                <w:sz w:val="21"/>
              </w:rPr>
            </w:pPr>
            <w:r>
              <w:rPr>
                <w:sz w:val="21"/>
              </w:rPr>
              <w:t>公共浴室及更衣室</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19"/>
              <w:ind w:left="694"/>
              <w:rPr>
                <w:sz w:val="21"/>
              </w:rPr>
            </w:pPr>
            <w:r>
              <w:rPr>
                <w:sz w:val="21"/>
              </w:rPr>
              <w:t>无障碍客房</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20"/>
              <w:ind w:left="380"/>
              <w:rPr>
                <w:sz w:val="21"/>
              </w:rPr>
            </w:pPr>
            <w:r>
              <w:rPr>
                <w:sz w:val="21"/>
              </w:rPr>
              <w:t>无障碍住房、宿舍</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20"/>
              <w:ind w:left="800"/>
              <w:rPr>
                <w:sz w:val="21"/>
              </w:rPr>
            </w:pPr>
            <w:r>
              <w:rPr>
                <w:sz w:val="21"/>
              </w:rPr>
              <w:t>轮椅席位</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20"/>
              <w:ind w:left="589"/>
              <w:rPr>
                <w:sz w:val="21"/>
              </w:rPr>
            </w:pPr>
            <w:r>
              <w:rPr>
                <w:sz w:val="21"/>
              </w:rPr>
              <w:t>低位服务设施</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21"/>
              <w:ind w:left="800"/>
              <w:rPr>
                <w:sz w:val="21"/>
              </w:rPr>
            </w:pPr>
            <w:r>
              <w:rPr>
                <w:sz w:val="21"/>
              </w:rPr>
              <w:t>标识设施</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19"/>
              <w:ind w:left="800"/>
              <w:rPr>
                <w:sz w:val="21"/>
              </w:rPr>
            </w:pPr>
            <w:r>
              <w:rPr>
                <w:sz w:val="21"/>
              </w:rPr>
              <w:t>盲文设施</w:t>
            </w:r>
          </w:p>
        </w:tc>
        <w:tc>
          <w:tcPr>
            <w:tcW w:w="502" w:type="dxa"/>
            <w:tcBorders>
              <w:top w:val="single" w:color="000000" w:sz="4" w:space="0"/>
              <w:left w:val="single" w:color="000000" w:sz="4" w:space="0"/>
              <w:bottom w:val="single" w:color="000000" w:sz="4" w:space="0"/>
              <w:right w:val="single" w:color="000000" w:sz="4" w:space="0"/>
            </w:tcBorders>
            <w:textDirection w:val="tbRl"/>
          </w:tcPr>
          <w:p>
            <w:pPr>
              <w:pStyle w:val="13"/>
              <w:spacing w:before="19"/>
              <w:ind w:left="800"/>
              <w:rPr>
                <w:sz w:val="21"/>
              </w:rPr>
            </w:pPr>
            <w:r>
              <w:rPr>
                <w:sz w:val="21"/>
              </w:rPr>
              <w:t>交互设备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1520" w:type="dxa"/>
            <w:gridSpan w:val="2"/>
            <w:tcBorders>
              <w:top w:val="single" w:color="000000" w:sz="4" w:space="0"/>
              <w:bottom w:val="single" w:color="000000" w:sz="4" w:space="0"/>
              <w:right w:val="single" w:color="000000" w:sz="4" w:space="0"/>
            </w:tcBorders>
          </w:tcPr>
          <w:p>
            <w:pPr>
              <w:pStyle w:val="13"/>
              <w:spacing w:before="159"/>
              <w:ind w:left="339"/>
              <w:rPr>
                <w:sz w:val="21"/>
              </w:rPr>
            </w:pPr>
            <w:r>
              <w:rPr>
                <w:sz w:val="21"/>
              </w:rPr>
              <w:t>居住建筑</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5"/>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right="129"/>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414" w:type="dxa"/>
            <w:vMerge w:val="restart"/>
            <w:tcBorders>
              <w:top w:val="single" w:color="000000" w:sz="4" w:space="0"/>
              <w:bottom w:val="single" w:color="000000" w:sz="4" w:space="0"/>
            </w:tcBorders>
            <w:textDirection w:val="tbRl"/>
          </w:tcPr>
          <w:p>
            <w:pPr>
              <w:pStyle w:val="13"/>
              <w:spacing w:line="240" w:lineRule="exact"/>
              <w:ind w:left="2139" w:right="2137"/>
              <w:jc w:val="center"/>
              <w:rPr>
                <w:sz w:val="21"/>
              </w:rPr>
            </w:pPr>
            <w:r>
              <w:rPr>
                <w:sz w:val="21"/>
              </w:rPr>
              <w:t>公共建筑</w:t>
            </w:r>
          </w:p>
        </w:tc>
        <w:tc>
          <w:tcPr>
            <w:tcW w:w="1106" w:type="dxa"/>
            <w:tcBorders>
              <w:top w:val="single" w:color="000000" w:sz="4" w:space="0"/>
              <w:bottom w:val="single" w:color="000000" w:sz="4" w:space="0"/>
              <w:right w:val="single" w:color="000000" w:sz="4" w:space="0"/>
            </w:tcBorders>
          </w:tcPr>
          <w:p>
            <w:pPr>
              <w:pStyle w:val="13"/>
              <w:spacing w:before="158"/>
              <w:ind w:left="108" w:right="99"/>
              <w:jc w:val="center"/>
              <w:rPr>
                <w:sz w:val="21"/>
              </w:rPr>
            </w:pPr>
            <w:r>
              <w:rPr>
                <w:sz w:val="21"/>
              </w:rPr>
              <w:t>办公建筑</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5"/>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right="129"/>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9"/>
              <w:jc w:val="center"/>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414" w:type="dxa"/>
            <w:vMerge w:val="continue"/>
            <w:tcBorders>
              <w:top w:val="nil"/>
              <w:bottom w:val="single" w:color="000000" w:sz="4" w:space="0"/>
            </w:tcBorders>
            <w:textDirection w:val="tbRl"/>
          </w:tcPr>
          <w:p>
            <w:pPr>
              <w:rPr>
                <w:sz w:val="2"/>
                <w:szCs w:val="2"/>
              </w:rPr>
            </w:pPr>
          </w:p>
        </w:tc>
        <w:tc>
          <w:tcPr>
            <w:tcW w:w="1106" w:type="dxa"/>
            <w:tcBorders>
              <w:top w:val="single" w:color="000000" w:sz="4" w:space="0"/>
              <w:bottom w:val="single" w:color="000000" w:sz="4" w:space="0"/>
              <w:right w:val="single" w:color="000000" w:sz="4" w:space="0"/>
            </w:tcBorders>
          </w:tcPr>
          <w:p>
            <w:pPr>
              <w:pStyle w:val="13"/>
              <w:spacing w:before="159"/>
              <w:ind w:left="108" w:right="99"/>
              <w:jc w:val="center"/>
              <w:rPr>
                <w:sz w:val="21"/>
              </w:rPr>
            </w:pPr>
            <w:r>
              <w:rPr>
                <w:sz w:val="21"/>
              </w:rPr>
              <w:t>教育建筑</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5"/>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right="129"/>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9"/>
              <w:jc w:val="center"/>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9" w:hRule="atLeast"/>
        </w:trPr>
        <w:tc>
          <w:tcPr>
            <w:tcW w:w="414" w:type="dxa"/>
            <w:vMerge w:val="continue"/>
            <w:tcBorders>
              <w:top w:val="nil"/>
              <w:bottom w:val="single" w:color="000000" w:sz="4" w:space="0"/>
            </w:tcBorders>
            <w:textDirection w:val="tbRl"/>
          </w:tcPr>
          <w:p>
            <w:pPr>
              <w:rPr>
                <w:sz w:val="2"/>
                <w:szCs w:val="2"/>
              </w:rPr>
            </w:pPr>
          </w:p>
        </w:tc>
        <w:tc>
          <w:tcPr>
            <w:tcW w:w="1106" w:type="dxa"/>
            <w:tcBorders>
              <w:top w:val="single" w:color="000000" w:sz="4" w:space="0"/>
              <w:bottom w:val="single" w:color="000000" w:sz="4" w:space="0"/>
              <w:right w:val="single" w:color="000000" w:sz="4" w:space="0"/>
            </w:tcBorders>
          </w:tcPr>
          <w:p>
            <w:pPr>
              <w:pStyle w:val="13"/>
              <w:spacing w:before="158"/>
              <w:ind w:left="108" w:right="99"/>
              <w:jc w:val="center"/>
              <w:rPr>
                <w:sz w:val="21"/>
              </w:rPr>
            </w:pPr>
            <w:r>
              <w:rPr>
                <w:sz w:val="21"/>
              </w:rPr>
              <w:t>医疗建筑</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5"/>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right="129"/>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414" w:type="dxa"/>
            <w:vMerge w:val="continue"/>
            <w:tcBorders>
              <w:top w:val="nil"/>
              <w:bottom w:val="single" w:color="000000" w:sz="4" w:space="0"/>
            </w:tcBorders>
            <w:textDirection w:val="tbRl"/>
          </w:tcPr>
          <w:p>
            <w:pPr>
              <w:rPr>
                <w:sz w:val="2"/>
                <w:szCs w:val="2"/>
              </w:rPr>
            </w:pPr>
          </w:p>
        </w:tc>
        <w:tc>
          <w:tcPr>
            <w:tcW w:w="1106" w:type="dxa"/>
            <w:tcBorders>
              <w:top w:val="single" w:color="000000" w:sz="4" w:space="0"/>
              <w:bottom w:val="single" w:color="000000" w:sz="4" w:space="0"/>
              <w:right w:val="single" w:color="000000" w:sz="4" w:space="0"/>
            </w:tcBorders>
          </w:tcPr>
          <w:p>
            <w:pPr>
              <w:pStyle w:val="13"/>
              <w:spacing w:before="22" w:line="278" w:lineRule="auto"/>
              <w:ind w:left="131" w:right="119"/>
              <w:jc w:val="center"/>
              <w:rPr>
                <w:sz w:val="21"/>
              </w:rPr>
            </w:pPr>
            <w:r>
              <w:rPr>
                <w:sz w:val="21"/>
              </w:rPr>
              <w:t>福利及特殊服务建</w:t>
            </w:r>
          </w:p>
          <w:p>
            <w:pPr>
              <w:pStyle w:val="13"/>
              <w:spacing w:line="269" w:lineRule="exact"/>
              <w:ind w:left="14"/>
              <w:jc w:val="center"/>
              <w:rPr>
                <w:sz w:val="21"/>
              </w:rPr>
            </w:pPr>
            <w:r>
              <w:rPr>
                <w:w w:val="99"/>
                <w:sz w:val="21"/>
              </w:rPr>
              <w:t>筑</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5"/>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right="129"/>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9"/>
              <w:rPr>
                <w:rFonts w:ascii="黑体"/>
                <w:sz w:val="25"/>
              </w:rPr>
            </w:pPr>
          </w:p>
          <w:p>
            <w:pPr>
              <w:pStyle w:val="13"/>
              <w:ind w:left="19"/>
              <w:jc w:val="center"/>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9" w:hRule="atLeast"/>
        </w:trPr>
        <w:tc>
          <w:tcPr>
            <w:tcW w:w="414" w:type="dxa"/>
            <w:vMerge w:val="continue"/>
            <w:tcBorders>
              <w:top w:val="nil"/>
              <w:bottom w:val="single" w:color="000000" w:sz="4" w:space="0"/>
            </w:tcBorders>
            <w:textDirection w:val="tbRl"/>
          </w:tcPr>
          <w:p>
            <w:pPr>
              <w:rPr>
                <w:sz w:val="2"/>
                <w:szCs w:val="2"/>
              </w:rPr>
            </w:pPr>
          </w:p>
        </w:tc>
        <w:tc>
          <w:tcPr>
            <w:tcW w:w="1106" w:type="dxa"/>
            <w:tcBorders>
              <w:top w:val="single" w:color="000000" w:sz="4" w:space="0"/>
              <w:bottom w:val="single" w:color="000000" w:sz="4" w:space="0"/>
              <w:right w:val="single" w:color="000000" w:sz="4" w:space="0"/>
            </w:tcBorders>
          </w:tcPr>
          <w:p>
            <w:pPr>
              <w:pStyle w:val="13"/>
              <w:spacing w:before="158"/>
              <w:ind w:left="108" w:right="99"/>
              <w:jc w:val="center"/>
              <w:rPr>
                <w:sz w:val="21"/>
              </w:rPr>
            </w:pPr>
            <w:r>
              <w:rPr>
                <w:sz w:val="21"/>
              </w:rPr>
              <w:t>体育建筑</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5"/>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right="129"/>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6"/>
              <w:ind w:left="19"/>
              <w:jc w:val="center"/>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trPr>
        <w:tc>
          <w:tcPr>
            <w:tcW w:w="414" w:type="dxa"/>
            <w:vMerge w:val="continue"/>
            <w:tcBorders>
              <w:top w:val="nil"/>
              <w:bottom w:val="single" w:color="000000" w:sz="4" w:space="0"/>
            </w:tcBorders>
            <w:textDirection w:val="tbRl"/>
          </w:tcPr>
          <w:p>
            <w:pPr>
              <w:rPr>
                <w:sz w:val="2"/>
                <w:szCs w:val="2"/>
              </w:rPr>
            </w:pPr>
          </w:p>
        </w:tc>
        <w:tc>
          <w:tcPr>
            <w:tcW w:w="1106" w:type="dxa"/>
            <w:tcBorders>
              <w:top w:val="single" w:color="000000" w:sz="4" w:space="0"/>
              <w:bottom w:val="single" w:color="000000" w:sz="4" w:space="0"/>
              <w:right w:val="single" w:color="000000" w:sz="4" w:space="0"/>
            </w:tcBorders>
          </w:tcPr>
          <w:p>
            <w:pPr>
              <w:pStyle w:val="13"/>
              <w:spacing w:before="159"/>
              <w:ind w:left="108" w:right="99"/>
              <w:jc w:val="center"/>
              <w:rPr>
                <w:sz w:val="21"/>
              </w:rPr>
            </w:pPr>
            <w:r>
              <w:rPr>
                <w:sz w:val="21"/>
              </w:rPr>
              <w:t>文化建筑</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5"/>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right="129"/>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7"/>
              <w:ind w:left="19"/>
              <w:jc w:val="center"/>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414" w:type="dxa"/>
            <w:vMerge w:val="continue"/>
            <w:tcBorders>
              <w:top w:val="nil"/>
              <w:bottom w:val="single" w:color="000000" w:sz="4" w:space="0"/>
            </w:tcBorders>
            <w:textDirection w:val="tbRl"/>
          </w:tcPr>
          <w:p>
            <w:pPr>
              <w:rPr>
                <w:sz w:val="2"/>
                <w:szCs w:val="2"/>
              </w:rPr>
            </w:pPr>
          </w:p>
        </w:tc>
        <w:tc>
          <w:tcPr>
            <w:tcW w:w="1106" w:type="dxa"/>
            <w:tcBorders>
              <w:top w:val="single" w:color="000000" w:sz="4" w:space="0"/>
              <w:bottom w:val="single" w:color="000000" w:sz="4" w:space="0"/>
              <w:right w:val="single" w:color="000000" w:sz="4" w:space="0"/>
            </w:tcBorders>
          </w:tcPr>
          <w:p>
            <w:pPr>
              <w:pStyle w:val="13"/>
              <w:spacing w:before="21"/>
              <w:ind w:left="108" w:right="99"/>
              <w:jc w:val="center"/>
              <w:rPr>
                <w:sz w:val="21"/>
              </w:rPr>
            </w:pPr>
            <w:r>
              <w:rPr>
                <w:sz w:val="21"/>
              </w:rPr>
              <w:t>商业服务</w:t>
            </w:r>
          </w:p>
          <w:p>
            <w:pPr>
              <w:pStyle w:val="13"/>
              <w:spacing w:before="43"/>
              <w:ind w:left="110" w:right="98"/>
              <w:jc w:val="center"/>
              <w:rPr>
                <w:sz w:val="21"/>
              </w:rPr>
            </w:pPr>
            <w:r>
              <w:rPr>
                <w:sz w:val="21"/>
              </w:rPr>
              <w:t>建筑</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5"/>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right="129"/>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75"/>
              <w:ind w:left="19"/>
              <w:jc w:val="center"/>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7" w:hRule="atLeast"/>
        </w:trPr>
        <w:tc>
          <w:tcPr>
            <w:tcW w:w="414" w:type="dxa"/>
            <w:vMerge w:val="continue"/>
            <w:tcBorders>
              <w:top w:val="nil"/>
              <w:bottom w:val="single" w:color="000000" w:sz="4" w:space="0"/>
            </w:tcBorders>
            <w:textDirection w:val="tbRl"/>
          </w:tcPr>
          <w:p>
            <w:pPr>
              <w:rPr>
                <w:sz w:val="2"/>
                <w:szCs w:val="2"/>
              </w:rPr>
            </w:pPr>
          </w:p>
        </w:tc>
        <w:tc>
          <w:tcPr>
            <w:tcW w:w="1106" w:type="dxa"/>
            <w:tcBorders>
              <w:top w:val="single" w:color="000000" w:sz="4" w:space="0"/>
              <w:bottom w:val="single" w:color="000000" w:sz="4" w:space="0"/>
              <w:right w:val="single" w:color="000000" w:sz="4" w:space="0"/>
            </w:tcBorders>
          </w:tcPr>
          <w:p>
            <w:pPr>
              <w:pStyle w:val="13"/>
              <w:spacing w:before="160"/>
              <w:ind w:left="108" w:right="99"/>
              <w:jc w:val="center"/>
              <w:rPr>
                <w:sz w:val="21"/>
              </w:rPr>
            </w:pPr>
            <w:r>
              <w:rPr>
                <w:sz w:val="21"/>
              </w:rPr>
              <w:t>交通建筑</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5"/>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right="129"/>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7"/>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49"/>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8"/>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50"/>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6"/>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right="131"/>
              <w:jc w:val="right"/>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c>
          <w:tcPr>
            <w:tcW w:w="502" w:type="dxa"/>
            <w:tcBorders>
              <w:top w:val="single" w:color="000000" w:sz="4" w:space="0"/>
              <w:left w:val="single" w:color="000000" w:sz="4" w:space="0"/>
              <w:bottom w:val="single" w:color="000000" w:sz="4" w:space="0"/>
              <w:right w:val="single" w:color="000000" w:sz="4" w:space="0"/>
            </w:tcBorders>
          </w:tcPr>
          <w:p>
            <w:pPr>
              <w:pStyle w:val="13"/>
              <w:spacing w:before="155"/>
              <w:ind w:left="19"/>
              <w:jc w:val="center"/>
              <w:rPr>
                <w:sz w:val="21"/>
              </w:rPr>
            </w:pPr>
            <w:r>
              <w:rPr>
                <w:w w:val="99"/>
                <w:sz w:val="21"/>
              </w:rPr>
              <w:t>—</w:t>
            </w:r>
          </w:p>
        </w:tc>
      </w:tr>
    </w:tbl>
    <w:p>
      <w:pPr>
        <w:spacing w:after="0"/>
        <w:jc w:val="center"/>
        <w:rPr>
          <w:sz w:val="21"/>
        </w:rPr>
        <w:sectPr>
          <w:footerReference r:id="rId21" w:type="default"/>
          <w:pgSz w:w="16840" w:h="11910" w:orient="landscape"/>
          <w:pgMar w:top="1100" w:right="1120" w:bottom="280" w:left="900" w:header="0" w:footer="0" w:gutter="0"/>
          <w:cols w:space="720" w:num="1"/>
        </w:sectPr>
      </w:pPr>
    </w:p>
    <w:p>
      <w:pPr>
        <w:pStyle w:val="5"/>
        <w:spacing w:before="2"/>
        <w:rPr>
          <w:rFonts w:ascii="黑体"/>
          <w:sz w:val="2"/>
        </w:rPr>
      </w:pPr>
    </w:p>
    <w:tbl>
      <w:tblPr>
        <w:tblStyle w:val="9"/>
        <w:tblW w:w="0" w:type="auto"/>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4"/>
        <w:gridCol w:w="1106"/>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gridCol w:w="5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8" w:hRule="atLeast"/>
        </w:trPr>
        <w:tc>
          <w:tcPr>
            <w:tcW w:w="1520" w:type="dxa"/>
            <w:gridSpan w:val="2"/>
            <w:tcBorders>
              <w:left w:val="single" w:color="000000" w:sz="8" w:space="0"/>
            </w:tcBorders>
          </w:tcPr>
          <w:p>
            <w:pPr>
              <w:pStyle w:val="13"/>
              <w:spacing w:before="159"/>
              <w:ind w:left="339"/>
              <w:rPr>
                <w:sz w:val="21"/>
              </w:rPr>
            </w:pPr>
            <w:r>
              <w:rPr>
                <w:sz w:val="21"/>
              </w:rPr>
              <w:t>工业建筑</w:t>
            </w:r>
          </w:p>
        </w:tc>
        <w:tc>
          <w:tcPr>
            <w:tcW w:w="502" w:type="dxa"/>
          </w:tcPr>
          <w:p>
            <w:pPr>
              <w:pStyle w:val="13"/>
              <w:spacing w:before="156"/>
              <w:ind w:left="19"/>
              <w:jc w:val="center"/>
              <w:rPr>
                <w:sz w:val="21"/>
              </w:rPr>
            </w:pPr>
            <w:r>
              <w:rPr>
                <w:w w:val="99"/>
                <w:sz w:val="21"/>
              </w:rPr>
              <w:t>○</w:t>
            </w:r>
          </w:p>
        </w:tc>
        <w:tc>
          <w:tcPr>
            <w:tcW w:w="502" w:type="dxa"/>
          </w:tcPr>
          <w:p>
            <w:pPr>
              <w:pStyle w:val="13"/>
              <w:spacing w:before="156"/>
              <w:ind w:right="131"/>
              <w:jc w:val="right"/>
              <w:rPr>
                <w:sz w:val="21"/>
              </w:rPr>
            </w:pPr>
            <w:r>
              <w:rPr>
                <w:w w:val="99"/>
                <w:sz w:val="21"/>
              </w:rPr>
              <w:t>—</w:t>
            </w:r>
          </w:p>
        </w:tc>
        <w:tc>
          <w:tcPr>
            <w:tcW w:w="502" w:type="dxa"/>
          </w:tcPr>
          <w:p>
            <w:pPr>
              <w:pStyle w:val="13"/>
              <w:spacing w:before="156"/>
              <w:ind w:left="18"/>
              <w:jc w:val="center"/>
              <w:rPr>
                <w:sz w:val="21"/>
              </w:rPr>
            </w:pPr>
            <w:r>
              <w:rPr>
                <w:w w:val="99"/>
                <w:sz w:val="21"/>
              </w:rPr>
              <w:t>○</w:t>
            </w:r>
          </w:p>
        </w:tc>
        <w:tc>
          <w:tcPr>
            <w:tcW w:w="502" w:type="dxa"/>
          </w:tcPr>
          <w:p>
            <w:pPr>
              <w:pStyle w:val="13"/>
              <w:spacing w:before="156"/>
              <w:ind w:left="150"/>
              <w:rPr>
                <w:sz w:val="21"/>
              </w:rPr>
            </w:pPr>
            <w:r>
              <w:rPr>
                <w:w w:val="99"/>
                <w:sz w:val="21"/>
              </w:rPr>
              <w:t>—</w:t>
            </w:r>
          </w:p>
        </w:tc>
        <w:tc>
          <w:tcPr>
            <w:tcW w:w="502" w:type="dxa"/>
          </w:tcPr>
          <w:p>
            <w:pPr>
              <w:pStyle w:val="13"/>
              <w:spacing w:before="156"/>
              <w:ind w:left="16"/>
              <w:jc w:val="center"/>
              <w:rPr>
                <w:sz w:val="21"/>
              </w:rPr>
            </w:pPr>
            <w:r>
              <w:rPr>
                <w:w w:val="99"/>
                <w:sz w:val="21"/>
              </w:rPr>
              <w:t>○</w:t>
            </w:r>
          </w:p>
        </w:tc>
        <w:tc>
          <w:tcPr>
            <w:tcW w:w="502" w:type="dxa"/>
          </w:tcPr>
          <w:p>
            <w:pPr>
              <w:pStyle w:val="13"/>
              <w:spacing w:before="156"/>
              <w:ind w:right="131"/>
              <w:jc w:val="right"/>
              <w:rPr>
                <w:sz w:val="21"/>
              </w:rPr>
            </w:pPr>
            <w:r>
              <w:rPr>
                <w:w w:val="99"/>
                <w:sz w:val="21"/>
              </w:rPr>
              <w:t>—</w:t>
            </w:r>
          </w:p>
        </w:tc>
        <w:tc>
          <w:tcPr>
            <w:tcW w:w="502" w:type="dxa"/>
          </w:tcPr>
          <w:p>
            <w:pPr>
              <w:pStyle w:val="13"/>
              <w:spacing w:before="156"/>
              <w:ind w:left="19"/>
              <w:jc w:val="center"/>
              <w:rPr>
                <w:sz w:val="21"/>
              </w:rPr>
            </w:pPr>
            <w:r>
              <w:rPr>
                <w:w w:val="99"/>
                <w:sz w:val="21"/>
              </w:rPr>
              <w:t>○</w:t>
            </w:r>
          </w:p>
        </w:tc>
        <w:tc>
          <w:tcPr>
            <w:tcW w:w="502" w:type="dxa"/>
          </w:tcPr>
          <w:p>
            <w:pPr>
              <w:pStyle w:val="13"/>
              <w:spacing w:before="156"/>
              <w:ind w:left="19"/>
              <w:jc w:val="center"/>
              <w:rPr>
                <w:sz w:val="21"/>
              </w:rPr>
            </w:pPr>
            <w:r>
              <w:rPr>
                <w:w w:val="99"/>
                <w:sz w:val="21"/>
              </w:rPr>
              <w:t>—</w:t>
            </w:r>
          </w:p>
        </w:tc>
        <w:tc>
          <w:tcPr>
            <w:tcW w:w="502" w:type="dxa"/>
          </w:tcPr>
          <w:p>
            <w:pPr>
              <w:pStyle w:val="13"/>
              <w:spacing w:before="156"/>
              <w:ind w:left="18"/>
              <w:jc w:val="center"/>
              <w:rPr>
                <w:sz w:val="21"/>
              </w:rPr>
            </w:pPr>
            <w:r>
              <w:rPr>
                <w:w w:val="99"/>
                <w:sz w:val="21"/>
              </w:rPr>
              <w:t>—</w:t>
            </w:r>
          </w:p>
        </w:tc>
        <w:tc>
          <w:tcPr>
            <w:tcW w:w="502" w:type="dxa"/>
          </w:tcPr>
          <w:p>
            <w:pPr>
              <w:pStyle w:val="13"/>
              <w:spacing w:before="156"/>
              <w:ind w:left="17"/>
              <w:jc w:val="center"/>
              <w:rPr>
                <w:sz w:val="21"/>
              </w:rPr>
            </w:pPr>
            <w:r>
              <w:rPr>
                <w:w w:val="99"/>
                <w:sz w:val="21"/>
              </w:rPr>
              <w:t>—</w:t>
            </w:r>
          </w:p>
        </w:tc>
        <w:tc>
          <w:tcPr>
            <w:tcW w:w="502" w:type="dxa"/>
          </w:tcPr>
          <w:p>
            <w:pPr>
              <w:pStyle w:val="13"/>
              <w:spacing w:before="156"/>
              <w:ind w:left="149"/>
              <w:rPr>
                <w:sz w:val="21"/>
              </w:rPr>
            </w:pPr>
            <w:r>
              <w:rPr>
                <w:w w:val="99"/>
                <w:sz w:val="21"/>
              </w:rPr>
              <w:t>—</w:t>
            </w:r>
          </w:p>
        </w:tc>
        <w:tc>
          <w:tcPr>
            <w:tcW w:w="502" w:type="dxa"/>
          </w:tcPr>
          <w:p>
            <w:pPr>
              <w:pStyle w:val="13"/>
              <w:spacing w:before="156"/>
              <w:ind w:left="15"/>
              <w:jc w:val="center"/>
              <w:rPr>
                <w:sz w:val="21"/>
              </w:rPr>
            </w:pPr>
            <w:r>
              <w:rPr>
                <w:w w:val="99"/>
                <w:sz w:val="21"/>
              </w:rPr>
              <w:t>—</w:t>
            </w:r>
          </w:p>
        </w:tc>
        <w:tc>
          <w:tcPr>
            <w:tcW w:w="502" w:type="dxa"/>
          </w:tcPr>
          <w:p>
            <w:pPr>
              <w:pStyle w:val="13"/>
              <w:spacing w:before="156"/>
              <w:ind w:right="129"/>
              <w:jc w:val="right"/>
              <w:rPr>
                <w:sz w:val="21"/>
              </w:rPr>
            </w:pPr>
            <w:r>
              <w:rPr>
                <w:w w:val="99"/>
                <w:sz w:val="21"/>
              </w:rPr>
              <w:t>—</w:t>
            </w:r>
          </w:p>
        </w:tc>
        <w:tc>
          <w:tcPr>
            <w:tcW w:w="502" w:type="dxa"/>
          </w:tcPr>
          <w:p>
            <w:pPr>
              <w:pStyle w:val="13"/>
              <w:spacing w:before="156"/>
              <w:ind w:left="18"/>
              <w:jc w:val="center"/>
              <w:rPr>
                <w:sz w:val="21"/>
              </w:rPr>
            </w:pPr>
            <w:r>
              <w:rPr>
                <w:w w:val="99"/>
                <w:sz w:val="21"/>
              </w:rPr>
              <w:t>—</w:t>
            </w:r>
          </w:p>
        </w:tc>
        <w:tc>
          <w:tcPr>
            <w:tcW w:w="502" w:type="dxa"/>
          </w:tcPr>
          <w:p>
            <w:pPr>
              <w:pStyle w:val="13"/>
              <w:spacing w:before="156"/>
              <w:ind w:left="18"/>
              <w:jc w:val="center"/>
              <w:rPr>
                <w:sz w:val="21"/>
              </w:rPr>
            </w:pPr>
            <w:r>
              <w:rPr>
                <w:w w:val="99"/>
                <w:sz w:val="21"/>
              </w:rPr>
              <w:t>—</w:t>
            </w:r>
          </w:p>
        </w:tc>
        <w:tc>
          <w:tcPr>
            <w:tcW w:w="502" w:type="dxa"/>
          </w:tcPr>
          <w:p>
            <w:pPr>
              <w:pStyle w:val="13"/>
              <w:spacing w:before="156"/>
              <w:ind w:left="17"/>
              <w:jc w:val="center"/>
              <w:rPr>
                <w:sz w:val="21"/>
              </w:rPr>
            </w:pPr>
            <w:r>
              <w:rPr>
                <w:w w:val="99"/>
                <w:sz w:val="21"/>
              </w:rPr>
              <w:t>—</w:t>
            </w:r>
          </w:p>
        </w:tc>
        <w:tc>
          <w:tcPr>
            <w:tcW w:w="502" w:type="dxa"/>
          </w:tcPr>
          <w:p>
            <w:pPr>
              <w:pStyle w:val="13"/>
              <w:spacing w:before="156"/>
              <w:ind w:left="16"/>
              <w:jc w:val="center"/>
              <w:rPr>
                <w:sz w:val="21"/>
              </w:rPr>
            </w:pPr>
            <w:r>
              <w:rPr>
                <w:w w:val="99"/>
                <w:sz w:val="21"/>
              </w:rPr>
              <w:t>—</w:t>
            </w:r>
          </w:p>
        </w:tc>
        <w:tc>
          <w:tcPr>
            <w:tcW w:w="502" w:type="dxa"/>
          </w:tcPr>
          <w:p>
            <w:pPr>
              <w:pStyle w:val="13"/>
              <w:spacing w:before="156"/>
              <w:ind w:left="149"/>
              <w:rPr>
                <w:sz w:val="21"/>
              </w:rPr>
            </w:pPr>
            <w:r>
              <w:rPr>
                <w:w w:val="99"/>
                <w:sz w:val="21"/>
              </w:rPr>
              <w:t>○</w:t>
            </w:r>
          </w:p>
        </w:tc>
        <w:tc>
          <w:tcPr>
            <w:tcW w:w="502" w:type="dxa"/>
          </w:tcPr>
          <w:p>
            <w:pPr>
              <w:pStyle w:val="13"/>
              <w:spacing w:before="156"/>
              <w:ind w:left="19"/>
              <w:jc w:val="center"/>
              <w:rPr>
                <w:sz w:val="21"/>
              </w:rPr>
            </w:pPr>
            <w:r>
              <w:rPr>
                <w:w w:val="99"/>
                <w:sz w:val="21"/>
              </w:rPr>
              <w:t>—</w:t>
            </w:r>
          </w:p>
        </w:tc>
        <w:tc>
          <w:tcPr>
            <w:tcW w:w="502" w:type="dxa"/>
          </w:tcPr>
          <w:p>
            <w:pPr>
              <w:pStyle w:val="13"/>
              <w:spacing w:before="156"/>
              <w:ind w:left="18"/>
              <w:jc w:val="center"/>
              <w:rPr>
                <w:sz w:val="21"/>
              </w:rPr>
            </w:pPr>
            <w:r>
              <w:rPr>
                <w:w w:val="99"/>
                <w:sz w:val="21"/>
              </w:rPr>
              <w:t>—</w:t>
            </w:r>
          </w:p>
        </w:tc>
        <w:tc>
          <w:tcPr>
            <w:tcW w:w="502" w:type="dxa"/>
          </w:tcPr>
          <w:p>
            <w:pPr>
              <w:pStyle w:val="13"/>
              <w:spacing w:before="156"/>
              <w:ind w:left="18"/>
              <w:jc w:val="center"/>
              <w:rPr>
                <w:sz w:val="21"/>
              </w:rPr>
            </w:pPr>
            <w:r>
              <w:rPr>
                <w:w w:val="99"/>
                <w:sz w:val="21"/>
              </w:rPr>
              <w:t>—</w:t>
            </w:r>
          </w:p>
        </w:tc>
        <w:tc>
          <w:tcPr>
            <w:tcW w:w="502" w:type="dxa"/>
          </w:tcPr>
          <w:p>
            <w:pPr>
              <w:pStyle w:val="13"/>
              <w:spacing w:before="156"/>
              <w:ind w:left="150"/>
              <w:rPr>
                <w:sz w:val="21"/>
              </w:rPr>
            </w:pPr>
            <w:r>
              <w:rPr>
                <w:w w:val="99"/>
                <w:sz w:val="21"/>
              </w:rPr>
              <w:t>—</w:t>
            </w:r>
          </w:p>
        </w:tc>
        <w:tc>
          <w:tcPr>
            <w:tcW w:w="502" w:type="dxa"/>
          </w:tcPr>
          <w:p>
            <w:pPr>
              <w:pStyle w:val="13"/>
              <w:spacing w:before="156"/>
              <w:ind w:left="16"/>
              <w:jc w:val="center"/>
              <w:rPr>
                <w:sz w:val="21"/>
              </w:rPr>
            </w:pPr>
            <w:r>
              <w:rPr>
                <w:w w:val="99"/>
                <w:sz w:val="21"/>
              </w:rPr>
              <w:t>○</w:t>
            </w:r>
          </w:p>
        </w:tc>
        <w:tc>
          <w:tcPr>
            <w:tcW w:w="502" w:type="dxa"/>
          </w:tcPr>
          <w:p>
            <w:pPr>
              <w:pStyle w:val="13"/>
              <w:spacing w:before="156"/>
              <w:ind w:right="131"/>
              <w:jc w:val="right"/>
              <w:rPr>
                <w:sz w:val="21"/>
              </w:rPr>
            </w:pPr>
            <w:r>
              <w:rPr>
                <w:w w:val="99"/>
                <w:sz w:val="21"/>
              </w:rPr>
              <w:t>○</w:t>
            </w:r>
          </w:p>
        </w:tc>
        <w:tc>
          <w:tcPr>
            <w:tcW w:w="502" w:type="dxa"/>
          </w:tcPr>
          <w:p>
            <w:pPr>
              <w:pStyle w:val="13"/>
              <w:spacing w:before="156"/>
              <w:ind w:left="19"/>
              <w:jc w:val="center"/>
              <w:rPr>
                <w:sz w:val="21"/>
              </w:rPr>
            </w:pPr>
            <w:r>
              <w:rPr>
                <w:w w:val="99"/>
                <w:sz w:val="21"/>
              </w:rPr>
              <w:t>—</w:t>
            </w:r>
          </w:p>
        </w:tc>
        <w:tc>
          <w:tcPr>
            <w:tcW w:w="502" w:type="dxa"/>
          </w:tcPr>
          <w:p>
            <w:pPr>
              <w:pStyle w:val="13"/>
              <w:spacing w:before="156"/>
              <w:ind w:left="19"/>
              <w:jc w:val="center"/>
              <w:rPr>
                <w:sz w:val="21"/>
              </w:rPr>
            </w:pPr>
            <w:r>
              <w:rPr>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14" w:type="dxa"/>
            <w:vMerge w:val="restart"/>
            <w:tcBorders>
              <w:left w:val="single" w:color="000000" w:sz="8" w:space="0"/>
              <w:right w:val="single" w:color="000000" w:sz="8" w:space="0"/>
            </w:tcBorders>
            <w:textDirection w:val="tbRl"/>
          </w:tcPr>
          <w:p>
            <w:pPr>
              <w:pStyle w:val="13"/>
              <w:spacing w:line="240" w:lineRule="exact"/>
              <w:ind w:left="978" w:right="978"/>
              <w:jc w:val="center"/>
              <w:rPr>
                <w:sz w:val="21"/>
              </w:rPr>
            </w:pPr>
            <w:r>
              <w:rPr>
                <w:sz w:val="21"/>
              </w:rPr>
              <w:t>其他建筑</w:t>
            </w:r>
          </w:p>
        </w:tc>
        <w:tc>
          <w:tcPr>
            <w:tcW w:w="1106" w:type="dxa"/>
            <w:tcBorders>
              <w:left w:val="single" w:color="000000" w:sz="8" w:space="0"/>
            </w:tcBorders>
          </w:tcPr>
          <w:p>
            <w:pPr>
              <w:pStyle w:val="13"/>
              <w:spacing w:before="21"/>
              <w:ind w:left="131"/>
              <w:rPr>
                <w:sz w:val="21"/>
              </w:rPr>
            </w:pPr>
            <w:r>
              <w:rPr>
                <w:w w:val="95"/>
                <w:sz w:val="21"/>
              </w:rPr>
              <w:t>历史文物</w:t>
            </w:r>
          </w:p>
          <w:p>
            <w:pPr>
              <w:pStyle w:val="13"/>
              <w:spacing w:before="43"/>
              <w:ind w:left="131"/>
              <w:rPr>
                <w:sz w:val="21"/>
              </w:rPr>
            </w:pPr>
            <w:r>
              <w:rPr>
                <w:w w:val="95"/>
                <w:sz w:val="21"/>
              </w:rPr>
              <w:t>保护建筑</w:t>
            </w:r>
          </w:p>
        </w:tc>
        <w:tc>
          <w:tcPr>
            <w:tcW w:w="502" w:type="dxa"/>
          </w:tcPr>
          <w:p>
            <w:pPr>
              <w:pStyle w:val="13"/>
              <w:spacing w:before="174"/>
              <w:ind w:left="19"/>
              <w:jc w:val="center"/>
              <w:rPr>
                <w:sz w:val="21"/>
              </w:rPr>
            </w:pPr>
            <w:r>
              <w:rPr>
                <w:w w:val="99"/>
                <w:sz w:val="21"/>
              </w:rPr>
              <w:t>—</w:t>
            </w:r>
          </w:p>
        </w:tc>
        <w:tc>
          <w:tcPr>
            <w:tcW w:w="502" w:type="dxa"/>
          </w:tcPr>
          <w:p>
            <w:pPr>
              <w:pStyle w:val="13"/>
              <w:spacing w:before="174"/>
              <w:ind w:right="131"/>
              <w:jc w:val="right"/>
              <w:rPr>
                <w:sz w:val="21"/>
              </w:rPr>
            </w:pPr>
            <w:r>
              <w:rPr>
                <w:w w:val="99"/>
                <w:sz w:val="21"/>
              </w:rPr>
              <w:t>—</w:t>
            </w:r>
          </w:p>
        </w:tc>
        <w:tc>
          <w:tcPr>
            <w:tcW w:w="502" w:type="dxa"/>
          </w:tcPr>
          <w:p>
            <w:pPr>
              <w:pStyle w:val="13"/>
              <w:spacing w:before="174"/>
              <w:ind w:left="18"/>
              <w:jc w:val="center"/>
              <w:rPr>
                <w:sz w:val="21"/>
              </w:rPr>
            </w:pPr>
            <w:r>
              <w:rPr>
                <w:w w:val="99"/>
                <w:sz w:val="21"/>
              </w:rPr>
              <w:t>—</w:t>
            </w:r>
          </w:p>
        </w:tc>
        <w:tc>
          <w:tcPr>
            <w:tcW w:w="502" w:type="dxa"/>
          </w:tcPr>
          <w:p>
            <w:pPr>
              <w:pStyle w:val="13"/>
              <w:spacing w:before="174"/>
              <w:ind w:left="150"/>
              <w:rPr>
                <w:sz w:val="21"/>
              </w:rPr>
            </w:pPr>
            <w:r>
              <w:rPr>
                <w:w w:val="99"/>
                <w:sz w:val="21"/>
              </w:rPr>
              <w:t>—</w:t>
            </w:r>
          </w:p>
        </w:tc>
        <w:tc>
          <w:tcPr>
            <w:tcW w:w="502" w:type="dxa"/>
          </w:tcPr>
          <w:p>
            <w:pPr>
              <w:pStyle w:val="13"/>
              <w:spacing w:before="174"/>
              <w:ind w:left="16"/>
              <w:jc w:val="center"/>
              <w:rPr>
                <w:sz w:val="21"/>
              </w:rPr>
            </w:pPr>
            <w:r>
              <w:rPr>
                <w:w w:val="99"/>
                <w:sz w:val="21"/>
              </w:rPr>
              <w:t>—</w:t>
            </w:r>
          </w:p>
        </w:tc>
        <w:tc>
          <w:tcPr>
            <w:tcW w:w="502" w:type="dxa"/>
          </w:tcPr>
          <w:p>
            <w:pPr>
              <w:pStyle w:val="13"/>
              <w:spacing w:before="174"/>
              <w:ind w:right="131"/>
              <w:jc w:val="right"/>
              <w:rPr>
                <w:sz w:val="21"/>
              </w:rPr>
            </w:pPr>
            <w:r>
              <w:rPr>
                <w:w w:val="99"/>
                <w:sz w:val="21"/>
              </w:rPr>
              <w:t>—</w:t>
            </w:r>
          </w:p>
        </w:tc>
        <w:tc>
          <w:tcPr>
            <w:tcW w:w="502" w:type="dxa"/>
          </w:tcPr>
          <w:p>
            <w:pPr>
              <w:pStyle w:val="13"/>
              <w:spacing w:before="174"/>
              <w:ind w:left="19"/>
              <w:jc w:val="center"/>
              <w:rPr>
                <w:sz w:val="21"/>
              </w:rPr>
            </w:pPr>
            <w:r>
              <w:rPr>
                <w:w w:val="99"/>
                <w:sz w:val="21"/>
              </w:rPr>
              <w:t>○</w:t>
            </w:r>
          </w:p>
        </w:tc>
        <w:tc>
          <w:tcPr>
            <w:tcW w:w="502" w:type="dxa"/>
          </w:tcPr>
          <w:p>
            <w:pPr>
              <w:pStyle w:val="13"/>
              <w:spacing w:before="174"/>
              <w:ind w:left="19"/>
              <w:jc w:val="center"/>
              <w:rPr>
                <w:sz w:val="21"/>
              </w:rPr>
            </w:pPr>
            <w:r>
              <w:rPr>
                <w:w w:val="99"/>
                <w:sz w:val="21"/>
              </w:rPr>
              <w:t>—</w:t>
            </w:r>
          </w:p>
        </w:tc>
        <w:tc>
          <w:tcPr>
            <w:tcW w:w="502" w:type="dxa"/>
          </w:tcPr>
          <w:p>
            <w:pPr>
              <w:pStyle w:val="13"/>
              <w:spacing w:before="174"/>
              <w:ind w:left="18"/>
              <w:jc w:val="center"/>
              <w:rPr>
                <w:sz w:val="21"/>
              </w:rPr>
            </w:pPr>
            <w:r>
              <w:rPr>
                <w:w w:val="99"/>
                <w:sz w:val="21"/>
              </w:rPr>
              <w:t>—</w:t>
            </w:r>
          </w:p>
        </w:tc>
        <w:tc>
          <w:tcPr>
            <w:tcW w:w="502" w:type="dxa"/>
          </w:tcPr>
          <w:p>
            <w:pPr>
              <w:pStyle w:val="13"/>
              <w:spacing w:before="174"/>
              <w:ind w:left="17"/>
              <w:jc w:val="center"/>
              <w:rPr>
                <w:sz w:val="21"/>
              </w:rPr>
            </w:pPr>
            <w:r>
              <w:rPr>
                <w:w w:val="99"/>
                <w:sz w:val="21"/>
              </w:rPr>
              <w:t>—</w:t>
            </w:r>
          </w:p>
        </w:tc>
        <w:tc>
          <w:tcPr>
            <w:tcW w:w="502" w:type="dxa"/>
          </w:tcPr>
          <w:p>
            <w:pPr>
              <w:pStyle w:val="13"/>
              <w:spacing w:before="174"/>
              <w:ind w:left="149"/>
              <w:rPr>
                <w:sz w:val="21"/>
              </w:rPr>
            </w:pPr>
            <w:r>
              <w:rPr>
                <w:w w:val="99"/>
                <w:sz w:val="21"/>
              </w:rPr>
              <w:t>—</w:t>
            </w:r>
          </w:p>
        </w:tc>
        <w:tc>
          <w:tcPr>
            <w:tcW w:w="502" w:type="dxa"/>
          </w:tcPr>
          <w:p>
            <w:pPr>
              <w:pStyle w:val="13"/>
              <w:spacing w:before="174"/>
              <w:ind w:left="15"/>
              <w:jc w:val="center"/>
              <w:rPr>
                <w:sz w:val="21"/>
              </w:rPr>
            </w:pPr>
            <w:r>
              <w:rPr>
                <w:w w:val="99"/>
                <w:sz w:val="21"/>
              </w:rPr>
              <w:t>—</w:t>
            </w:r>
          </w:p>
        </w:tc>
        <w:tc>
          <w:tcPr>
            <w:tcW w:w="502" w:type="dxa"/>
          </w:tcPr>
          <w:p>
            <w:pPr>
              <w:pStyle w:val="13"/>
              <w:spacing w:before="174"/>
              <w:ind w:right="129"/>
              <w:jc w:val="right"/>
              <w:rPr>
                <w:sz w:val="21"/>
              </w:rPr>
            </w:pPr>
            <w:r>
              <w:rPr>
                <w:w w:val="99"/>
                <w:sz w:val="21"/>
              </w:rPr>
              <w:t>—</w:t>
            </w:r>
          </w:p>
        </w:tc>
        <w:tc>
          <w:tcPr>
            <w:tcW w:w="502" w:type="dxa"/>
          </w:tcPr>
          <w:p>
            <w:pPr>
              <w:pStyle w:val="13"/>
              <w:spacing w:before="174"/>
              <w:ind w:left="18"/>
              <w:jc w:val="center"/>
              <w:rPr>
                <w:sz w:val="21"/>
              </w:rPr>
            </w:pPr>
            <w:r>
              <w:rPr>
                <w:w w:val="99"/>
                <w:sz w:val="21"/>
              </w:rPr>
              <w:t>—</w:t>
            </w:r>
          </w:p>
        </w:tc>
        <w:tc>
          <w:tcPr>
            <w:tcW w:w="502" w:type="dxa"/>
          </w:tcPr>
          <w:p>
            <w:pPr>
              <w:pStyle w:val="13"/>
              <w:spacing w:before="174"/>
              <w:ind w:left="18"/>
              <w:jc w:val="center"/>
              <w:rPr>
                <w:sz w:val="21"/>
              </w:rPr>
            </w:pPr>
            <w:r>
              <w:rPr>
                <w:w w:val="99"/>
                <w:sz w:val="21"/>
              </w:rPr>
              <w:t>—</w:t>
            </w:r>
          </w:p>
        </w:tc>
        <w:tc>
          <w:tcPr>
            <w:tcW w:w="502" w:type="dxa"/>
          </w:tcPr>
          <w:p>
            <w:pPr>
              <w:pStyle w:val="13"/>
              <w:spacing w:before="174"/>
              <w:ind w:left="17"/>
              <w:jc w:val="center"/>
              <w:rPr>
                <w:sz w:val="21"/>
              </w:rPr>
            </w:pPr>
            <w:r>
              <w:rPr>
                <w:w w:val="99"/>
                <w:sz w:val="21"/>
              </w:rPr>
              <w:t>—</w:t>
            </w:r>
          </w:p>
        </w:tc>
        <w:tc>
          <w:tcPr>
            <w:tcW w:w="502" w:type="dxa"/>
          </w:tcPr>
          <w:p>
            <w:pPr>
              <w:pStyle w:val="13"/>
              <w:spacing w:before="174"/>
              <w:ind w:left="16"/>
              <w:jc w:val="center"/>
              <w:rPr>
                <w:sz w:val="21"/>
              </w:rPr>
            </w:pPr>
            <w:r>
              <w:rPr>
                <w:w w:val="99"/>
                <w:sz w:val="21"/>
              </w:rPr>
              <w:t>—</w:t>
            </w:r>
          </w:p>
        </w:tc>
        <w:tc>
          <w:tcPr>
            <w:tcW w:w="502" w:type="dxa"/>
          </w:tcPr>
          <w:p>
            <w:pPr>
              <w:pStyle w:val="13"/>
              <w:spacing w:before="174"/>
              <w:ind w:left="149"/>
              <w:rPr>
                <w:sz w:val="21"/>
              </w:rPr>
            </w:pPr>
            <w:r>
              <w:rPr>
                <w:w w:val="99"/>
                <w:sz w:val="21"/>
              </w:rPr>
              <w:t>○</w:t>
            </w:r>
          </w:p>
        </w:tc>
        <w:tc>
          <w:tcPr>
            <w:tcW w:w="502" w:type="dxa"/>
          </w:tcPr>
          <w:p>
            <w:pPr>
              <w:pStyle w:val="13"/>
              <w:spacing w:before="174"/>
              <w:ind w:left="19"/>
              <w:jc w:val="center"/>
              <w:rPr>
                <w:sz w:val="21"/>
              </w:rPr>
            </w:pPr>
            <w:r>
              <w:rPr>
                <w:w w:val="99"/>
                <w:sz w:val="21"/>
              </w:rPr>
              <w:t>—</w:t>
            </w:r>
          </w:p>
        </w:tc>
        <w:tc>
          <w:tcPr>
            <w:tcW w:w="502" w:type="dxa"/>
          </w:tcPr>
          <w:p>
            <w:pPr>
              <w:pStyle w:val="13"/>
              <w:spacing w:before="174"/>
              <w:ind w:left="18"/>
              <w:jc w:val="center"/>
              <w:rPr>
                <w:sz w:val="21"/>
              </w:rPr>
            </w:pPr>
            <w:r>
              <w:rPr>
                <w:w w:val="99"/>
                <w:sz w:val="21"/>
              </w:rPr>
              <w:t>—</w:t>
            </w:r>
          </w:p>
        </w:tc>
        <w:tc>
          <w:tcPr>
            <w:tcW w:w="502" w:type="dxa"/>
          </w:tcPr>
          <w:p>
            <w:pPr>
              <w:pStyle w:val="13"/>
              <w:spacing w:before="174"/>
              <w:ind w:left="18"/>
              <w:jc w:val="center"/>
              <w:rPr>
                <w:sz w:val="21"/>
              </w:rPr>
            </w:pPr>
            <w:r>
              <w:rPr>
                <w:w w:val="99"/>
                <w:sz w:val="21"/>
              </w:rPr>
              <w:t>—</w:t>
            </w:r>
          </w:p>
        </w:tc>
        <w:tc>
          <w:tcPr>
            <w:tcW w:w="502" w:type="dxa"/>
          </w:tcPr>
          <w:p>
            <w:pPr>
              <w:pStyle w:val="13"/>
              <w:spacing w:before="174"/>
              <w:ind w:left="150"/>
              <w:rPr>
                <w:sz w:val="21"/>
              </w:rPr>
            </w:pPr>
            <w:r>
              <w:rPr>
                <w:w w:val="99"/>
                <w:sz w:val="21"/>
              </w:rPr>
              <w:t>—</w:t>
            </w:r>
          </w:p>
        </w:tc>
        <w:tc>
          <w:tcPr>
            <w:tcW w:w="502" w:type="dxa"/>
          </w:tcPr>
          <w:p>
            <w:pPr>
              <w:pStyle w:val="13"/>
              <w:spacing w:before="174"/>
              <w:ind w:left="16"/>
              <w:jc w:val="center"/>
              <w:rPr>
                <w:sz w:val="21"/>
              </w:rPr>
            </w:pPr>
            <w:r>
              <w:rPr>
                <w:w w:val="99"/>
                <w:sz w:val="21"/>
              </w:rPr>
              <w:t>○</w:t>
            </w:r>
          </w:p>
        </w:tc>
        <w:tc>
          <w:tcPr>
            <w:tcW w:w="502" w:type="dxa"/>
          </w:tcPr>
          <w:p>
            <w:pPr>
              <w:pStyle w:val="13"/>
              <w:spacing w:before="174"/>
              <w:ind w:right="131"/>
              <w:jc w:val="right"/>
              <w:rPr>
                <w:sz w:val="21"/>
              </w:rPr>
            </w:pPr>
            <w:r>
              <w:rPr>
                <w:w w:val="99"/>
                <w:sz w:val="21"/>
              </w:rPr>
              <w:t>○</w:t>
            </w:r>
          </w:p>
        </w:tc>
        <w:tc>
          <w:tcPr>
            <w:tcW w:w="502" w:type="dxa"/>
          </w:tcPr>
          <w:p>
            <w:pPr>
              <w:pStyle w:val="13"/>
              <w:spacing w:before="174"/>
              <w:ind w:left="19"/>
              <w:jc w:val="center"/>
              <w:rPr>
                <w:sz w:val="21"/>
              </w:rPr>
            </w:pPr>
            <w:r>
              <w:rPr>
                <w:w w:val="99"/>
                <w:sz w:val="21"/>
              </w:rPr>
              <w:t>—</w:t>
            </w:r>
          </w:p>
        </w:tc>
        <w:tc>
          <w:tcPr>
            <w:tcW w:w="502" w:type="dxa"/>
          </w:tcPr>
          <w:p>
            <w:pPr>
              <w:pStyle w:val="13"/>
              <w:spacing w:before="174"/>
              <w:ind w:left="19"/>
              <w:jc w:val="center"/>
              <w:rPr>
                <w:sz w:val="21"/>
              </w:rPr>
            </w:pPr>
            <w:r>
              <w:rPr>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14" w:type="dxa"/>
            <w:vMerge w:val="continue"/>
            <w:tcBorders>
              <w:top w:val="nil"/>
              <w:left w:val="single" w:color="000000" w:sz="8" w:space="0"/>
              <w:right w:val="single" w:color="000000" w:sz="8" w:space="0"/>
            </w:tcBorders>
            <w:textDirection w:val="tbRl"/>
          </w:tcPr>
          <w:p>
            <w:pPr>
              <w:rPr>
                <w:sz w:val="2"/>
                <w:szCs w:val="2"/>
              </w:rPr>
            </w:pPr>
          </w:p>
        </w:tc>
        <w:tc>
          <w:tcPr>
            <w:tcW w:w="1106" w:type="dxa"/>
            <w:tcBorders>
              <w:left w:val="single" w:color="000000" w:sz="8" w:space="0"/>
            </w:tcBorders>
          </w:tcPr>
          <w:p>
            <w:pPr>
              <w:pStyle w:val="13"/>
              <w:spacing w:before="20"/>
              <w:ind w:left="131"/>
              <w:rPr>
                <w:sz w:val="21"/>
              </w:rPr>
            </w:pPr>
            <w:r>
              <w:rPr>
                <w:w w:val="95"/>
                <w:sz w:val="21"/>
              </w:rPr>
              <w:t>公共停车</w:t>
            </w:r>
          </w:p>
          <w:p>
            <w:pPr>
              <w:pStyle w:val="13"/>
              <w:spacing w:before="43"/>
              <w:ind w:left="131"/>
              <w:rPr>
                <w:sz w:val="21"/>
              </w:rPr>
            </w:pPr>
            <w:r>
              <w:rPr>
                <w:w w:val="95"/>
                <w:sz w:val="21"/>
              </w:rPr>
              <w:t>场（库）</w:t>
            </w:r>
          </w:p>
        </w:tc>
        <w:tc>
          <w:tcPr>
            <w:tcW w:w="502" w:type="dxa"/>
          </w:tcPr>
          <w:p>
            <w:pPr>
              <w:pStyle w:val="13"/>
              <w:spacing w:before="174"/>
              <w:ind w:left="19"/>
              <w:jc w:val="center"/>
              <w:rPr>
                <w:sz w:val="21"/>
              </w:rPr>
            </w:pPr>
            <w:r>
              <w:rPr>
                <w:w w:val="99"/>
                <w:sz w:val="21"/>
              </w:rPr>
              <w:t>○</w:t>
            </w:r>
          </w:p>
        </w:tc>
        <w:tc>
          <w:tcPr>
            <w:tcW w:w="502" w:type="dxa"/>
          </w:tcPr>
          <w:p>
            <w:pPr>
              <w:pStyle w:val="13"/>
              <w:spacing w:before="174"/>
              <w:ind w:right="131"/>
              <w:jc w:val="right"/>
              <w:rPr>
                <w:sz w:val="21"/>
              </w:rPr>
            </w:pPr>
            <w:r>
              <w:rPr>
                <w:w w:val="99"/>
                <w:sz w:val="21"/>
              </w:rPr>
              <w:t>—</w:t>
            </w:r>
          </w:p>
        </w:tc>
        <w:tc>
          <w:tcPr>
            <w:tcW w:w="502" w:type="dxa"/>
          </w:tcPr>
          <w:p>
            <w:pPr>
              <w:pStyle w:val="13"/>
              <w:spacing w:before="174"/>
              <w:ind w:left="18"/>
              <w:jc w:val="center"/>
              <w:rPr>
                <w:sz w:val="21"/>
              </w:rPr>
            </w:pPr>
            <w:r>
              <w:rPr>
                <w:w w:val="99"/>
                <w:sz w:val="21"/>
              </w:rPr>
              <w:t>—</w:t>
            </w:r>
          </w:p>
        </w:tc>
        <w:tc>
          <w:tcPr>
            <w:tcW w:w="502" w:type="dxa"/>
          </w:tcPr>
          <w:p>
            <w:pPr>
              <w:pStyle w:val="13"/>
              <w:spacing w:before="174"/>
              <w:ind w:left="150"/>
              <w:rPr>
                <w:sz w:val="21"/>
              </w:rPr>
            </w:pPr>
            <w:r>
              <w:rPr>
                <w:w w:val="99"/>
                <w:sz w:val="21"/>
              </w:rPr>
              <w:t>—</w:t>
            </w:r>
          </w:p>
        </w:tc>
        <w:tc>
          <w:tcPr>
            <w:tcW w:w="502" w:type="dxa"/>
          </w:tcPr>
          <w:p>
            <w:pPr>
              <w:pStyle w:val="13"/>
              <w:spacing w:before="174"/>
              <w:ind w:left="16"/>
              <w:jc w:val="center"/>
              <w:rPr>
                <w:sz w:val="21"/>
              </w:rPr>
            </w:pPr>
            <w:r>
              <w:rPr>
                <w:w w:val="99"/>
                <w:sz w:val="21"/>
              </w:rPr>
              <w:t>—</w:t>
            </w:r>
          </w:p>
        </w:tc>
        <w:tc>
          <w:tcPr>
            <w:tcW w:w="502" w:type="dxa"/>
          </w:tcPr>
          <w:p>
            <w:pPr>
              <w:pStyle w:val="13"/>
              <w:spacing w:before="174"/>
              <w:ind w:right="131"/>
              <w:jc w:val="right"/>
              <w:rPr>
                <w:sz w:val="21"/>
              </w:rPr>
            </w:pPr>
            <w:r>
              <w:rPr>
                <w:w w:val="99"/>
                <w:sz w:val="21"/>
              </w:rPr>
              <w:t>—</w:t>
            </w:r>
          </w:p>
        </w:tc>
        <w:tc>
          <w:tcPr>
            <w:tcW w:w="502" w:type="dxa"/>
          </w:tcPr>
          <w:p>
            <w:pPr>
              <w:pStyle w:val="13"/>
              <w:spacing w:before="174"/>
              <w:ind w:left="19"/>
              <w:jc w:val="center"/>
              <w:rPr>
                <w:sz w:val="21"/>
              </w:rPr>
            </w:pPr>
            <w:r>
              <w:rPr>
                <w:w w:val="99"/>
                <w:sz w:val="21"/>
              </w:rPr>
              <w:t>—</w:t>
            </w:r>
          </w:p>
        </w:tc>
        <w:tc>
          <w:tcPr>
            <w:tcW w:w="502" w:type="dxa"/>
          </w:tcPr>
          <w:p>
            <w:pPr>
              <w:pStyle w:val="13"/>
              <w:spacing w:before="174"/>
              <w:ind w:left="19"/>
              <w:jc w:val="center"/>
              <w:rPr>
                <w:sz w:val="21"/>
              </w:rPr>
            </w:pPr>
            <w:r>
              <w:rPr>
                <w:w w:val="99"/>
                <w:sz w:val="21"/>
              </w:rPr>
              <w:t>—</w:t>
            </w:r>
          </w:p>
        </w:tc>
        <w:tc>
          <w:tcPr>
            <w:tcW w:w="502" w:type="dxa"/>
          </w:tcPr>
          <w:p>
            <w:pPr>
              <w:pStyle w:val="13"/>
              <w:spacing w:before="174"/>
              <w:ind w:left="18"/>
              <w:jc w:val="center"/>
              <w:rPr>
                <w:sz w:val="21"/>
              </w:rPr>
            </w:pPr>
            <w:r>
              <w:rPr>
                <w:w w:val="99"/>
                <w:sz w:val="21"/>
              </w:rPr>
              <w:t>—</w:t>
            </w:r>
          </w:p>
        </w:tc>
        <w:tc>
          <w:tcPr>
            <w:tcW w:w="502" w:type="dxa"/>
          </w:tcPr>
          <w:p>
            <w:pPr>
              <w:pStyle w:val="13"/>
              <w:spacing w:before="174"/>
              <w:ind w:left="17"/>
              <w:jc w:val="center"/>
              <w:rPr>
                <w:sz w:val="21"/>
              </w:rPr>
            </w:pPr>
            <w:r>
              <w:rPr>
                <w:w w:val="99"/>
                <w:sz w:val="21"/>
              </w:rPr>
              <w:t>—</w:t>
            </w:r>
          </w:p>
        </w:tc>
        <w:tc>
          <w:tcPr>
            <w:tcW w:w="502" w:type="dxa"/>
          </w:tcPr>
          <w:p>
            <w:pPr>
              <w:pStyle w:val="13"/>
              <w:spacing w:before="174"/>
              <w:ind w:left="149"/>
              <w:rPr>
                <w:sz w:val="21"/>
              </w:rPr>
            </w:pPr>
            <w:r>
              <w:rPr>
                <w:w w:val="99"/>
                <w:sz w:val="21"/>
              </w:rPr>
              <w:t>—</w:t>
            </w:r>
          </w:p>
        </w:tc>
        <w:tc>
          <w:tcPr>
            <w:tcW w:w="502" w:type="dxa"/>
          </w:tcPr>
          <w:p>
            <w:pPr>
              <w:pStyle w:val="13"/>
              <w:spacing w:before="174"/>
              <w:ind w:left="15"/>
              <w:jc w:val="center"/>
              <w:rPr>
                <w:sz w:val="21"/>
              </w:rPr>
            </w:pPr>
            <w:r>
              <w:rPr>
                <w:w w:val="99"/>
                <w:sz w:val="21"/>
              </w:rPr>
              <w:t>—</w:t>
            </w:r>
          </w:p>
        </w:tc>
        <w:tc>
          <w:tcPr>
            <w:tcW w:w="502" w:type="dxa"/>
          </w:tcPr>
          <w:p>
            <w:pPr>
              <w:pStyle w:val="13"/>
              <w:spacing w:before="174"/>
              <w:ind w:right="129"/>
              <w:jc w:val="right"/>
              <w:rPr>
                <w:sz w:val="21"/>
              </w:rPr>
            </w:pPr>
            <w:r>
              <w:rPr>
                <w:w w:val="99"/>
                <w:sz w:val="21"/>
              </w:rPr>
              <w:t>—</w:t>
            </w:r>
          </w:p>
        </w:tc>
        <w:tc>
          <w:tcPr>
            <w:tcW w:w="502" w:type="dxa"/>
          </w:tcPr>
          <w:p>
            <w:pPr>
              <w:pStyle w:val="13"/>
              <w:spacing w:before="174"/>
              <w:ind w:left="18"/>
              <w:jc w:val="center"/>
              <w:rPr>
                <w:sz w:val="21"/>
              </w:rPr>
            </w:pPr>
            <w:r>
              <w:rPr>
                <w:w w:val="99"/>
                <w:sz w:val="21"/>
              </w:rPr>
              <w:t>—</w:t>
            </w:r>
          </w:p>
        </w:tc>
        <w:tc>
          <w:tcPr>
            <w:tcW w:w="502" w:type="dxa"/>
          </w:tcPr>
          <w:p>
            <w:pPr>
              <w:pStyle w:val="13"/>
              <w:spacing w:before="174"/>
              <w:ind w:left="18"/>
              <w:jc w:val="center"/>
              <w:rPr>
                <w:sz w:val="21"/>
              </w:rPr>
            </w:pPr>
            <w:r>
              <w:rPr>
                <w:w w:val="99"/>
                <w:sz w:val="21"/>
              </w:rPr>
              <w:t>—</w:t>
            </w:r>
          </w:p>
        </w:tc>
        <w:tc>
          <w:tcPr>
            <w:tcW w:w="502" w:type="dxa"/>
          </w:tcPr>
          <w:p>
            <w:pPr>
              <w:pStyle w:val="13"/>
              <w:spacing w:before="174"/>
              <w:ind w:left="17"/>
              <w:jc w:val="center"/>
              <w:rPr>
                <w:sz w:val="21"/>
              </w:rPr>
            </w:pPr>
            <w:r>
              <w:rPr>
                <w:w w:val="99"/>
                <w:sz w:val="21"/>
              </w:rPr>
              <w:t>—</w:t>
            </w:r>
          </w:p>
        </w:tc>
        <w:tc>
          <w:tcPr>
            <w:tcW w:w="502" w:type="dxa"/>
          </w:tcPr>
          <w:p>
            <w:pPr>
              <w:pStyle w:val="13"/>
              <w:spacing w:before="174"/>
              <w:ind w:left="16"/>
              <w:jc w:val="center"/>
              <w:rPr>
                <w:sz w:val="21"/>
              </w:rPr>
            </w:pPr>
            <w:r>
              <w:rPr>
                <w:w w:val="99"/>
                <w:sz w:val="21"/>
              </w:rPr>
              <w:t>—</w:t>
            </w:r>
          </w:p>
        </w:tc>
        <w:tc>
          <w:tcPr>
            <w:tcW w:w="502" w:type="dxa"/>
          </w:tcPr>
          <w:p>
            <w:pPr>
              <w:pStyle w:val="13"/>
              <w:spacing w:before="174"/>
              <w:ind w:left="149"/>
              <w:rPr>
                <w:sz w:val="21"/>
              </w:rPr>
            </w:pPr>
            <w:r>
              <w:rPr>
                <w:w w:val="99"/>
                <w:sz w:val="21"/>
              </w:rPr>
              <w:t>—</w:t>
            </w:r>
          </w:p>
        </w:tc>
        <w:tc>
          <w:tcPr>
            <w:tcW w:w="502" w:type="dxa"/>
          </w:tcPr>
          <w:p>
            <w:pPr>
              <w:pStyle w:val="13"/>
              <w:spacing w:before="174"/>
              <w:ind w:left="19"/>
              <w:jc w:val="center"/>
              <w:rPr>
                <w:sz w:val="21"/>
              </w:rPr>
            </w:pPr>
            <w:r>
              <w:rPr>
                <w:w w:val="99"/>
                <w:sz w:val="21"/>
              </w:rPr>
              <w:t>—</w:t>
            </w:r>
          </w:p>
        </w:tc>
        <w:tc>
          <w:tcPr>
            <w:tcW w:w="502" w:type="dxa"/>
          </w:tcPr>
          <w:p>
            <w:pPr>
              <w:pStyle w:val="13"/>
              <w:spacing w:before="174"/>
              <w:ind w:left="18"/>
              <w:jc w:val="center"/>
              <w:rPr>
                <w:sz w:val="21"/>
              </w:rPr>
            </w:pPr>
            <w:r>
              <w:rPr>
                <w:w w:val="99"/>
                <w:sz w:val="21"/>
              </w:rPr>
              <w:t>—</w:t>
            </w:r>
          </w:p>
        </w:tc>
        <w:tc>
          <w:tcPr>
            <w:tcW w:w="502" w:type="dxa"/>
          </w:tcPr>
          <w:p>
            <w:pPr>
              <w:pStyle w:val="13"/>
              <w:spacing w:before="174"/>
              <w:ind w:left="18"/>
              <w:jc w:val="center"/>
              <w:rPr>
                <w:sz w:val="21"/>
              </w:rPr>
            </w:pPr>
            <w:r>
              <w:rPr>
                <w:w w:val="99"/>
                <w:sz w:val="21"/>
              </w:rPr>
              <w:t>—</w:t>
            </w:r>
          </w:p>
        </w:tc>
        <w:tc>
          <w:tcPr>
            <w:tcW w:w="502" w:type="dxa"/>
          </w:tcPr>
          <w:p>
            <w:pPr>
              <w:pStyle w:val="13"/>
              <w:spacing w:before="174"/>
              <w:ind w:left="150"/>
              <w:rPr>
                <w:sz w:val="21"/>
              </w:rPr>
            </w:pPr>
            <w:r>
              <w:rPr>
                <w:w w:val="99"/>
                <w:sz w:val="21"/>
              </w:rPr>
              <w:t>—</w:t>
            </w:r>
          </w:p>
        </w:tc>
        <w:tc>
          <w:tcPr>
            <w:tcW w:w="502" w:type="dxa"/>
          </w:tcPr>
          <w:p>
            <w:pPr>
              <w:pStyle w:val="13"/>
              <w:spacing w:before="174"/>
              <w:ind w:left="16"/>
              <w:jc w:val="center"/>
              <w:rPr>
                <w:sz w:val="21"/>
              </w:rPr>
            </w:pPr>
            <w:r>
              <w:rPr>
                <w:w w:val="99"/>
                <w:sz w:val="21"/>
              </w:rPr>
              <w:t>—</w:t>
            </w:r>
          </w:p>
        </w:tc>
        <w:tc>
          <w:tcPr>
            <w:tcW w:w="502" w:type="dxa"/>
          </w:tcPr>
          <w:p>
            <w:pPr>
              <w:pStyle w:val="13"/>
              <w:spacing w:before="174"/>
              <w:ind w:right="131"/>
              <w:jc w:val="right"/>
              <w:rPr>
                <w:sz w:val="21"/>
              </w:rPr>
            </w:pPr>
            <w:r>
              <w:rPr>
                <w:w w:val="99"/>
                <w:sz w:val="21"/>
              </w:rPr>
              <w:t>○</w:t>
            </w:r>
          </w:p>
        </w:tc>
        <w:tc>
          <w:tcPr>
            <w:tcW w:w="502" w:type="dxa"/>
          </w:tcPr>
          <w:p>
            <w:pPr>
              <w:pStyle w:val="13"/>
              <w:spacing w:before="174"/>
              <w:ind w:left="19"/>
              <w:jc w:val="center"/>
              <w:rPr>
                <w:sz w:val="21"/>
              </w:rPr>
            </w:pPr>
            <w:r>
              <w:rPr>
                <w:w w:val="99"/>
                <w:sz w:val="21"/>
              </w:rPr>
              <w:t>—</w:t>
            </w:r>
          </w:p>
        </w:tc>
        <w:tc>
          <w:tcPr>
            <w:tcW w:w="502" w:type="dxa"/>
          </w:tcPr>
          <w:p>
            <w:pPr>
              <w:pStyle w:val="13"/>
              <w:spacing w:before="174"/>
              <w:ind w:left="19"/>
              <w:jc w:val="center"/>
              <w:rPr>
                <w:sz w:val="21"/>
              </w:rPr>
            </w:pPr>
            <w:r>
              <w:rPr>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14" w:type="dxa"/>
            <w:vMerge w:val="continue"/>
            <w:tcBorders>
              <w:top w:val="nil"/>
              <w:left w:val="single" w:color="000000" w:sz="8" w:space="0"/>
              <w:right w:val="single" w:color="000000" w:sz="8" w:space="0"/>
            </w:tcBorders>
            <w:textDirection w:val="tbRl"/>
          </w:tcPr>
          <w:p>
            <w:pPr>
              <w:rPr>
                <w:sz w:val="2"/>
                <w:szCs w:val="2"/>
              </w:rPr>
            </w:pPr>
          </w:p>
        </w:tc>
        <w:tc>
          <w:tcPr>
            <w:tcW w:w="1106" w:type="dxa"/>
            <w:tcBorders>
              <w:left w:val="single" w:color="000000" w:sz="8" w:space="0"/>
            </w:tcBorders>
          </w:tcPr>
          <w:p>
            <w:pPr>
              <w:pStyle w:val="13"/>
              <w:spacing w:before="20" w:line="278" w:lineRule="auto"/>
              <w:ind w:left="131" w:right="119"/>
              <w:jc w:val="center"/>
              <w:rPr>
                <w:sz w:val="21"/>
              </w:rPr>
            </w:pPr>
            <w:r>
              <w:rPr>
                <w:spacing w:val="-4"/>
                <w:sz w:val="21"/>
              </w:rPr>
              <w:t>汽车加油</w:t>
            </w:r>
            <w:r>
              <w:rPr>
                <w:spacing w:val="-4"/>
                <w:w w:val="95"/>
                <w:sz w:val="21"/>
              </w:rPr>
              <w:t>加气站、</w:t>
            </w:r>
          </w:p>
          <w:p>
            <w:pPr>
              <w:pStyle w:val="13"/>
              <w:spacing w:line="269" w:lineRule="exact"/>
              <w:ind w:left="110" w:right="98"/>
              <w:jc w:val="center"/>
              <w:rPr>
                <w:sz w:val="21"/>
              </w:rPr>
            </w:pPr>
            <w:r>
              <w:rPr>
                <w:w w:val="95"/>
                <w:sz w:val="21"/>
              </w:rPr>
              <w:t>充电站</w:t>
            </w:r>
          </w:p>
        </w:tc>
        <w:tc>
          <w:tcPr>
            <w:tcW w:w="502" w:type="dxa"/>
          </w:tcPr>
          <w:p>
            <w:pPr>
              <w:pStyle w:val="13"/>
              <w:spacing w:before="9"/>
              <w:rPr>
                <w:rFonts w:ascii="黑体"/>
                <w:sz w:val="25"/>
              </w:rPr>
            </w:pPr>
          </w:p>
          <w:p>
            <w:pPr>
              <w:pStyle w:val="13"/>
              <w:ind w:left="19"/>
              <w:jc w:val="center"/>
              <w:rPr>
                <w:sz w:val="21"/>
              </w:rPr>
            </w:pPr>
            <w:r>
              <w:rPr>
                <w:w w:val="99"/>
                <w:sz w:val="21"/>
              </w:rPr>
              <w:t>—</w:t>
            </w:r>
          </w:p>
        </w:tc>
        <w:tc>
          <w:tcPr>
            <w:tcW w:w="502" w:type="dxa"/>
          </w:tcPr>
          <w:p>
            <w:pPr>
              <w:pStyle w:val="13"/>
              <w:spacing w:before="9"/>
              <w:rPr>
                <w:rFonts w:ascii="黑体"/>
                <w:sz w:val="25"/>
              </w:rPr>
            </w:pPr>
          </w:p>
          <w:p>
            <w:pPr>
              <w:pStyle w:val="13"/>
              <w:ind w:right="131"/>
              <w:jc w:val="right"/>
              <w:rPr>
                <w:sz w:val="21"/>
              </w:rPr>
            </w:pPr>
            <w:r>
              <w:rPr>
                <w:w w:val="99"/>
                <w:sz w:val="21"/>
              </w:rPr>
              <w:t>—</w:t>
            </w:r>
          </w:p>
        </w:tc>
        <w:tc>
          <w:tcPr>
            <w:tcW w:w="502" w:type="dxa"/>
          </w:tcPr>
          <w:p>
            <w:pPr>
              <w:pStyle w:val="13"/>
              <w:spacing w:before="9"/>
              <w:rPr>
                <w:rFonts w:ascii="黑体"/>
                <w:sz w:val="25"/>
              </w:rPr>
            </w:pPr>
          </w:p>
          <w:p>
            <w:pPr>
              <w:pStyle w:val="13"/>
              <w:ind w:left="18"/>
              <w:jc w:val="center"/>
              <w:rPr>
                <w:sz w:val="21"/>
              </w:rPr>
            </w:pPr>
            <w:r>
              <w:rPr>
                <w:w w:val="99"/>
                <w:sz w:val="21"/>
              </w:rPr>
              <w:t>—</w:t>
            </w:r>
          </w:p>
        </w:tc>
        <w:tc>
          <w:tcPr>
            <w:tcW w:w="502" w:type="dxa"/>
          </w:tcPr>
          <w:p>
            <w:pPr>
              <w:pStyle w:val="13"/>
              <w:spacing w:before="9"/>
              <w:rPr>
                <w:rFonts w:ascii="黑体"/>
                <w:sz w:val="25"/>
              </w:rPr>
            </w:pPr>
          </w:p>
          <w:p>
            <w:pPr>
              <w:pStyle w:val="13"/>
              <w:ind w:left="150"/>
              <w:rPr>
                <w:sz w:val="21"/>
              </w:rPr>
            </w:pPr>
            <w:r>
              <w:rPr>
                <w:w w:val="99"/>
                <w:sz w:val="21"/>
              </w:rPr>
              <w:t>—</w:t>
            </w:r>
          </w:p>
        </w:tc>
        <w:tc>
          <w:tcPr>
            <w:tcW w:w="502" w:type="dxa"/>
          </w:tcPr>
          <w:p>
            <w:pPr>
              <w:pStyle w:val="13"/>
              <w:spacing w:before="9"/>
              <w:rPr>
                <w:rFonts w:ascii="黑体"/>
                <w:sz w:val="25"/>
              </w:rPr>
            </w:pPr>
          </w:p>
          <w:p>
            <w:pPr>
              <w:pStyle w:val="13"/>
              <w:ind w:left="16"/>
              <w:jc w:val="center"/>
              <w:rPr>
                <w:sz w:val="21"/>
              </w:rPr>
            </w:pPr>
            <w:r>
              <w:rPr>
                <w:w w:val="99"/>
                <w:sz w:val="21"/>
              </w:rPr>
              <w:t>—</w:t>
            </w:r>
          </w:p>
        </w:tc>
        <w:tc>
          <w:tcPr>
            <w:tcW w:w="502" w:type="dxa"/>
          </w:tcPr>
          <w:p>
            <w:pPr>
              <w:pStyle w:val="13"/>
              <w:spacing w:before="9"/>
              <w:rPr>
                <w:rFonts w:ascii="黑体"/>
                <w:sz w:val="25"/>
              </w:rPr>
            </w:pPr>
          </w:p>
          <w:p>
            <w:pPr>
              <w:pStyle w:val="13"/>
              <w:ind w:right="131"/>
              <w:jc w:val="right"/>
              <w:rPr>
                <w:sz w:val="21"/>
              </w:rPr>
            </w:pPr>
            <w:r>
              <w:rPr>
                <w:w w:val="99"/>
                <w:sz w:val="21"/>
              </w:rPr>
              <w:t>—</w:t>
            </w:r>
          </w:p>
        </w:tc>
        <w:tc>
          <w:tcPr>
            <w:tcW w:w="502" w:type="dxa"/>
          </w:tcPr>
          <w:p>
            <w:pPr>
              <w:pStyle w:val="13"/>
              <w:spacing w:before="9"/>
              <w:rPr>
                <w:rFonts w:ascii="黑体"/>
                <w:sz w:val="25"/>
              </w:rPr>
            </w:pPr>
          </w:p>
          <w:p>
            <w:pPr>
              <w:pStyle w:val="13"/>
              <w:ind w:left="19"/>
              <w:jc w:val="center"/>
              <w:rPr>
                <w:sz w:val="21"/>
              </w:rPr>
            </w:pPr>
            <w:r>
              <w:rPr>
                <w:w w:val="99"/>
                <w:sz w:val="21"/>
              </w:rPr>
              <w:t>○</w:t>
            </w:r>
          </w:p>
        </w:tc>
        <w:tc>
          <w:tcPr>
            <w:tcW w:w="502" w:type="dxa"/>
          </w:tcPr>
          <w:p>
            <w:pPr>
              <w:pStyle w:val="13"/>
              <w:spacing w:before="9"/>
              <w:rPr>
                <w:rFonts w:ascii="黑体"/>
                <w:sz w:val="25"/>
              </w:rPr>
            </w:pPr>
          </w:p>
          <w:p>
            <w:pPr>
              <w:pStyle w:val="13"/>
              <w:ind w:left="19"/>
              <w:jc w:val="center"/>
              <w:rPr>
                <w:sz w:val="21"/>
              </w:rPr>
            </w:pPr>
            <w:r>
              <w:rPr>
                <w:w w:val="99"/>
                <w:sz w:val="21"/>
              </w:rPr>
              <w:t>—</w:t>
            </w:r>
          </w:p>
        </w:tc>
        <w:tc>
          <w:tcPr>
            <w:tcW w:w="502" w:type="dxa"/>
          </w:tcPr>
          <w:p>
            <w:pPr>
              <w:pStyle w:val="13"/>
              <w:spacing w:before="9"/>
              <w:rPr>
                <w:rFonts w:ascii="黑体"/>
                <w:sz w:val="25"/>
              </w:rPr>
            </w:pPr>
          </w:p>
          <w:p>
            <w:pPr>
              <w:pStyle w:val="13"/>
              <w:ind w:left="18"/>
              <w:jc w:val="center"/>
              <w:rPr>
                <w:sz w:val="21"/>
              </w:rPr>
            </w:pPr>
            <w:r>
              <w:rPr>
                <w:w w:val="99"/>
                <w:sz w:val="21"/>
              </w:rPr>
              <w:t>—</w:t>
            </w:r>
          </w:p>
        </w:tc>
        <w:tc>
          <w:tcPr>
            <w:tcW w:w="502" w:type="dxa"/>
          </w:tcPr>
          <w:p>
            <w:pPr>
              <w:pStyle w:val="13"/>
              <w:spacing w:before="9"/>
              <w:rPr>
                <w:rFonts w:ascii="黑体"/>
                <w:sz w:val="25"/>
              </w:rPr>
            </w:pPr>
          </w:p>
          <w:p>
            <w:pPr>
              <w:pStyle w:val="13"/>
              <w:ind w:left="17"/>
              <w:jc w:val="center"/>
              <w:rPr>
                <w:sz w:val="21"/>
              </w:rPr>
            </w:pPr>
            <w:r>
              <w:rPr>
                <w:w w:val="99"/>
                <w:sz w:val="21"/>
              </w:rPr>
              <w:t>—</w:t>
            </w:r>
          </w:p>
        </w:tc>
        <w:tc>
          <w:tcPr>
            <w:tcW w:w="502" w:type="dxa"/>
          </w:tcPr>
          <w:p>
            <w:pPr>
              <w:pStyle w:val="13"/>
              <w:spacing w:before="9"/>
              <w:rPr>
                <w:rFonts w:ascii="黑体"/>
                <w:sz w:val="25"/>
              </w:rPr>
            </w:pPr>
          </w:p>
          <w:p>
            <w:pPr>
              <w:pStyle w:val="13"/>
              <w:ind w:left="149"/>
              <w:rPr>
                <w:sz w:val="21"/>
              </w:rPr>
            </w:pPr>
            <w:r>
              <w:rPr>
                <w:w w:val="99"/>
                <w:sz w:val="21"/>
              </w:rPr>
              <w:t>—</w:t>
            </w:r>
          </w:p>
        </w:tc>
        <w:tc>
          <w:tcPr>
            <w:tcW w:w="502" w:type="dxa"/>
          </w:tcPr>
          <w:p>
            <w:pPr>
              <w:pStyle w:val="13"/>
              <w:spacing w:before="9"/>
              <w:rPr>
                <w:rFonts w:ascii="黑体"/>
                <w:sz w:val="25"/>
              </w:rPr>
            </w:pPr>
          </w:p>
          <w:p>
            <w:pPr>
              <w:pStyle w:val="13"/>
              <w:ind w:left="15"/>
              <w:jc w:val="center"/>
              <w:rPr>
                <w:sz w:val="21"/>
              </w:rPr>
            </w:pPr>
            <w:r>
              <w:rPr>
                <w:w w:val="99"/>
                <w:sz w:val="21"/>
              </w:rPr>
              <w:t>—</w:t>
            </w:r>
          </w:p>
        </w:tc>
        <w:tc>
          <w:tcPr>
            <w:tcW w:w="502" w:type="dxa"/>
          </w:tcPr>
          <w:p>
            <w:pPr>
              <w:pStyle w:val="13"/>
              <w:spacing w:before="9"/>
              <w:rPr>
                <w:rFonts w:ascii="黑体"/>
                <w:sz w:val="25"/>
              </w:rPr>
            </w:pPr>
          </w:p>
          <w:p>
            <w:pPr>
              <w:pStyle w:val="13"/>
              <w:ind w:right="129"/>
              <w:jc w:val="right"/>
              <w:rPr>
                <w:sz w:val="21"/>
              </w:rPr>
            </w:pPr>
            <w:r>
              <w:rPr>
                <w:w w:val="99"/>
                <w:sz w:val="21"/>
              </w:rPr>
              <w:t>—</w:t>
            </w:r>
          </w:p>
        </w:tc>
        <w:tc>
          <w:tcPr>
            <w:tcW w:w="502" w:type="dxa"/>
          </w:tcPr>
          <w:p>
            <w:pPr>
              <w:pStyle w:val="13"/>
              <w:spacing w:before="9"/>
              <w:rPr>
                <w:rFonts w:ascii="黑体"/>
                <w:sz w:val="25"/>
              </w:rPr>
            </w:pPr>
          </w:p>
          <w:p>
            <w:pPr>
              <w:pStyle w:val="13"/>
              <w:ind w:left="18"/>
              <w:jc w:val="center"/>
              <w:rPr>
                <w:sz w:val="21"/>
              </w:rPr>
            </w:pPr>
            <w:r>
              <w:rPr>
                <w:w w:val="99"/>
                <w:sz w:val="21"/>
              </w:rPr>
              <w:t>—</w:t>
            </w:r>
          </w:p>
        </w:tc>
        <w:tc>
          <w:tcPr>
            <w:tcW w:w="502" w:type="dxa"/>
          </w:tcPr>
          <w:p>
            <w:pPr>
              <w:pStyle w:val="13"/>
              <w:spacing w:before="9"/>
              <w:rPr>
                <w:rFonts w:ascii="黑体"/>
                <w:sz w:val="25"/>
              </w:rPr>
            </w:pPr>
          </w:p>
          <w:p>
            <w:pPr>
              <w:pStyle w:val="13"/>
              <w:ind w:left="18"/>
              <w:jc w:val="center"/>
              <w:rPr>
                <w:sz w:val="21"/>
              </w:rPr>
            </w:pPr>
            <w:r>
              <w:rPr>
                <w:w w:val="99"/>
                <w:sz w:val="21"/>
              </w:rPr>
              <w:t>—</w:t>
            </w:r>
          </w:p>
        </w:tc>
        <w:tc>
          <w:tcPr>
            <w:tcW w:w="502" w:type="dxa"/>
          </w:tcPr>
          <w:p>
            <w:pPr>
              <w:pStyle w:val="13"/>
              <w:spacing w:before="9"/>
              <w:rPr>
                <w:rFonts w:ascii="黑体"/>
                <w:sz w:val="25"/>
              </w:rPr>
            </w:pPr>
          </w:p>
          <w:p>
            <w:pPr>
              <w:pStyle w:val="13"/>
              <w:ind w:left="17"/>
              <w:jc w:val="center"/>
              <w:rPr>
                <w:sz w:val="21"/>
              </w:rPr>
            </w:pPr>
            <w:r>
              <w:rPr>
                <w:w w:val="99"/>
                <w:sz w:val="21"/>
              </w:rPr>
              <w:t>—</w:t>
            </w:r>
          </w:p>
        </w:tc>
        <w:tc>
          <w:tcPr>
            <w:tcW w:w="502" w:type="dxa"/>
          </w:tcPr>
          <w:p>
            <w:pPr>
              <w:pStyle w:val="13"/>
              <w:spacing w:before="9"/>
              <w:rPr>
                <w:rFonts w:ascii="黑体"/>
                <w:sz w:val="25"/>
              </w:rPr>
            </w:pPr>
          </w:p>
          <w:p>
            <w:pPr>
              <w:pStyle w:val="13"/>
              <w:ind w:left="16"/>
              <w:jc w:val="center"/>
              <w:rPr>
                <w:sz w:val="21"/>
              </w:rPr>
            </w:pPr>
            <w:r>
              <w:rPr>
                <w:w w:val="99"/>
                <w:sz w:val="21"/>
              </w:rPr>
              <w:t>—</w:t>
            </w:r>
          </w:p>
        </w:tc>
        <w:tc>
          <w:tcPr>
            <w:tcW w:w="502" w:type="dxa"/>
          </w:tcPr>
          <w:p>
            <w:pPr>
              <w:pStyle w:val="13"/>
              <w:spacing w:before="9"/>
              <w:rPr>
                <w:rFonts w:ascii="黑体"/>
                <w:sz w:val="25"/>
              </w:rPr>
            </w:pPr>
          </w:p>
          <w:p>
            <w:pPr>
              <w:pStyle w:val="13"/>
              <w:ind w:left="149"/>
              <w:rPr>
                <w:sz w:val="21"/>
              </w:rPr>
            </w:pPr>
            <w:r>
              <w:rPr>
                <w:w w:val="99"/>
                <w:sz w:val="21"/>
              </w:rPr>
              <w:t>○</w:t>
            </w:r>
          </w:p>
        </w:tc>
        <w:tc>
          <w:tcPr>
            <w:tcW w:w="502" w:type="dxa"/>
          </w:tcPr>
          <w:p>
            <w:pPr>
              <w:pStyle w:val="13"/>
              <w:spacing w:before="9"/>
              <w:rPr>
                <w:rFonts w:ascii="黑体"/>
                <w:sz w:val="25"/>
              </w:rPr>
            </w:pPr>
          </w:p>
          <w:p>
            <w:pPr>
              <w:pStyle w:val="13"/>
              <w:ind w:left="19"/>
              <w:jc w:val="center"/>
              <w:rPr>
                <w:sz w:val="21"/>
              </w:rPr>
            </w:pPr>
            <w:r>
              <w:rPr>
                <w:w w:val="99"/>
                <w:sz w:val="21"/>
              </w:rPr>
              <w:t>—</w:t>
            </w:r>
          </w:p>
        </w:tc>
        <w:tc>
          <w:tcPr>
            <w:tcW w:w="502" w:type="dxa"/>
          </w:tcPr>
          <w:p>
            <w:pPr>
              <w:pStyle w:val="13"/>
              <w:spacing w:before="9"/>
              <w:rPr>
                <w:rFonts w:ascii="黑体"/>
                <w:sz w:val="25"/>
              </w:rPr>
            </w:pPr>
          </w:p>
          <w:p>
            <w:pPr>
              <w:pStyle w:val="13"/>
              <w:ind w:left="18"/>
              <w:jc w:val="center"/>
              <w:rPr>
                <w:sz w:val="21"/>
              </w:rPr>
            </w:pPr>
            <w:r>
              <w:rPr>
                <w:w w:val="99"/>
                <w:sz w:val="21"/>
              </w:rPr>
              <w:t>—</w:t>
            </w:r>
          </w:p>
        </w:tc>
        <w:tc>
          <w:tcPr>
            <w:tcW w:w="502" w:type="dxa"/>
          </w:tcPr>
          <w:p>
            <w:pPr>
              <w:pStyle w:val="13"/>
              <w:spacing w:before="9"/>
              <w:rPr>
                <w:rFonts w:ascii="黑体"/>
                <w:sz w:val="25"/>
              </w:rPr>
            </w:pPr>
          </w:p>
          <w:p>
            <w:pPr>
              <w:pStyle w:val="13"/>
              <w:ind w:left="18"/>
              <w:jc w:val="center"/>
              <w:rPr>
                <w:sz w:val="21"/>
              </w:rPr>
            </w:pPr>
            <w:r>
              <w:rPr>
                <w:w w:val="99"/>
                <w:sz w:val="21"/>
              </w:rPr>
              <w:t>—</w:t>
            </w:r>
          </w:p>
        </w:tc>
        <w:tc>
          <w:tcPr>
            <w:tcW w:w="502" w:type="dxa"/>
          </w:tcPr>
          <w:p>
            <w:pPr>
              <w:pStyle w:val="13"/>
              <w:spacing w:before="9"/>
              <w:rPr>
                <w:rFonts w:ascii="黑体"/>
                <w:sz w:val="25"/>
              </w:rPr>
            </w:pPr>
          </w:p>
          <w:p>
            <w:pPr>
              <w:pStyle w:val="13"/>
              <w:ind w:left="150"/>
              <w:rPr>
                <w:sz w:val="21"/>
              </w:rPr>
            </w:pPr>
            <w:r>
              <w:rPr>
                <w:w w:val="99"/>
                <w:sz w:val="21"/>
              </w:rPr>
              <w:t>—</w:t>
            </w:r>
          </w:p>
        </w:tc>
        <w:tc>
          <w:tcPr>
            <w:tcW w:w="502" w:type="dxa"/>
          </w:tcPr>
          <w:p>
            <w:pPr>
              <w:pStyle w:val="13"/>
              <w:spacing w:before="9"/>
              <w:rPr>
                <w:rFonts w:ascii="黑体"/>
                <w:sz w:val="25"/>
              </w:rPr>
            </w:pPr>
          </w:p>
          <w:p>
            <w:pPr>
              <w:pStyle w:val="13"/>
              <w:ind w:left="16"/>
              <w:jc w:val="center"/>
              <w:rPr>
                <w:sz w:val="21"/>
              </w:rPr>
            </w:pPr>
            <w:r>
              <w:rPr>
                <w:w w:val="99"/>
                <w:sz w:val="21"/>
              </w:rPr>
              <w:t>○</w:t>
            </w:r>
          </w:p>
        </w:tc>
        <w:tc>
          <w:tcPr>
            <w:tcW w:w="502" w:type="dxa"/>
          </w:tcPr>
          <w:p>
            <w:pPr>
              <w:pStyle w:val="13"/>
              <w:spacing w:before="9"/>
              <w:rPr>
                <w:rFonts w:ascii="黑体"/>
                <w:sz w:val="25"/>
              </w:rPr>
            </w:pPr>
          </w:p>
          <w:p>
            <w:pPr>
              <w:pStyle w:val="13"/>
              <w:ind w:right="131"/>
              <w:jc w:val="right"/>
              <w:rPr>
                <w:sz w:val="21"/>
              </w:rPr>
            </w:pPr>
            <w:r>
              <w:rPr>
                <w:w w:val="99"/>
                <w:sz w:val="21"/>
              </w:rPr>
              <w:t>○</w:t>
            </w:r>
          </w:p>
        </w:tc>
        <w:tc>
          <w:tcPr>
            <w:tcW w:w="502" w:type="dxa"/>
          </w:tcPr>
          <w:p>
            <w:pPr>
              <w:pStyle w:val="13"/>
              <w:spacing w:before="9"/>
              <w:rPr>
                <w:rFonts w:ascii="黑体"/>
                <w:sz w:val="25"/>
              </w:rPr>
            </w:pPr>
          </w:p>
          <w:p>
            <w:pPr>
              <w:pStyle w:val="13"/>
              <w:ind w:left="19"/>
              <w:jc w:val="center"/>
              <w:rPr>
                <w:sz w:val="21"/>
              </w:rPr>
            </w:pPr>
            <w:r>
              <w:rPr>
                <w:w w:val="99"/>
                <w:sz w:val="21"/>
              </w:rPr>
              <w:t>—</w:t>
            </w:r>
          </w:p>
        </w:tc>
        <w:tc>
          <w:tcPr>
            <w:tcW w:w="502" w:type="dxa"/>
          </w:tcPr>
          <w:p>
            <w:pPr>
              <w:pStyle w:val="13"/>
              <w:spacing w:before="9"/>
              <w:rPr>
                <w:rFonts w:ascii="黑体"/>
                <w:sz w:val="25"/>
              </w:rPr>
            </w:pPr>
          </w:p>
          <w:p>
            <w:pPr>
              <w:pStyle w:val="13"/>
              <w:ind w:left="19"/>
              <w:jc w:val="center"/>
              <w:rPr>
                <w:sz w:val="21"/>
              </w:rPr>
            </w:pPr>
            <w:r>
              <w:rPr>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14" w:type="dxa"/>
            <w:vMerge w:val="continue"/>
            <w:tcBorders>
              <w:top w:val="nil"/>
              <w:left w:val="single" w:color="000000" w:sz="8" w:space="0"/>
              <w:right w:val="single" w:color="000000" w:sz="8" w:space="0"/>
            </w:tcBorders>
            <w:textDirection w:val="tbRl"/>
          </w:tcPr>
          <w:p>
            <w:pPr>
              <w:rPr>
                <w:sz w:val="2"/>
                <w:szCs w:val="2"/>
              </w:rPr>
            </w:pPr>
          </w:p>
        </w:tc>
        <w:tc>
          <w:tcPr>
            <w:tcW w:w="1106" w:type="dxa"/>
            <w:tcBorders>
              <w:left w:val="single" w:color="000000" w:sz="8" w:space="0"/>
            </w:tcBorders>
          </w:tcPr>
          <w:p>
            <w:pPr>
              <w:pStyle w:val="13"/>
              <w:spacing w:before="22"/>
              <w:ind w:left="108" w:right="99"/>
              <w:jc w:val="center"/>
              <w:rPr>
                <w:sz w:val="21"/>
              </w:rPr>
            </w:pPr>
            <w:r>
              <w:rPr>
                <w:sz w:val="21"/>
              </w:rPr>
              <w:t>城市公共</w:t>
            </w:r>
          </w:p>
          <w:p>
            <w:pPr>
              <w:pStyle w:val="13"/>
              <w:spacing w:before="43"/>
              <w:ind w:left="110" w:right="98"/>
              <w:jc w:val="center"/>
              <w:rPr>
                <w:sz w:val="21"/>
              </w:rPr>
            </w:pPr>
            <w:r>
              <w:rPr>
                <w:sz w:val="21"/>
              </w:rPr>
              <w:t>卫生间</w:t>
            </w:r>
          </w:p>
        </w:tc>
        <w:tc>
          <w:tcPr>
            <w:tcW w:w="502" w:type="dxa"/>
          </w:tcPr>
          <w:p>
            <w:pPr>
              <w:pStyle w:val="13"/>
              <w:spacing w:before="173"/>
              <w:ind w:left="19"/>
              <w:jc w:val="center"/>
              <w:rPr>
                <w:sz w:val="21"/>
              </w:rPr>
            </w:pPr>
            <w:r>
              <w:rPr>
                <w:w w:val="99"/>
                <w:sz w:val="21"/>
              </w:rPr>
              <w:t>—</w:t>
            </w:r>
          </w:p>
        </w:tc>
        <w:tc>
          <w:tcPr>
            <w:tcW w:w="502" w:type="dxa"/>
          </w:tcPr>
          <w:p>
            <w:pPr>
              <w:pStyle w:val="13"/>
              <w:spacing w:before="173"/>
              <w:ind w:right="131"/>
              <w:jc w:val="right"/>
              <w:rPr>
                <w:sz w:val="21"/>
              </w:rPr>
            </w:pPr>
            <w:r>
              <w:rPr>
                <w:w w:val="99"/>
                <w:sz w:val="21"/>
              </w:rPr>
              <w:t>—</w:t>
            </w:r>
          </w:p>
        </w:tc>
        <w:tc>
          <w:tcPr>
            <w:tcW w:w="502" w:type="dxa"/>
          </w:tcPr>
          <w:p>
            <w:pPr>
              <w:pStyle w:val="13"/>
              <w:spacing w:before="173"/>
              <w:ind w:left="18"/>
              <w:jc w:val="center"/>
              <w:rPr>
                <w:sz w:val="21"/>
              </w:rPr>
            </w:pPr>
            <w:r>
              <w:rPr>
                <w:w w:val="99"/>
                <w:sz w:val="21"/>
              </w:rPr>
              <w:t>—</w:t>
            </w:r>
          </w:p>
        </w:tc>
        <w:tc>
          <w:tcPr>
            <w:tcW w:w="502" w:type="dxa"/>
          </w:tcPr>
          <w:p>
            <w:pPr>
              <w:pStyle w:val="13"/>
              <w:spacing w:before="173"/>
              <w:ind w:left="150"/>
              <w:rPr>
                <w:sz w:val="21"/>
              </w:rPr>
            </w:pPr>
            <w:r>
              <w:rPr>
                <w:w w:val="99"/>
                <w:sz w:val="21"/>
              </w:rPr>
              <w:t>—</w:t>
            </w:r>
          </w:p>
        </w:tc>
        <w:tc>
          <w:tcPr>
            <w:tcW w:w="502" w:type="dxa"/>
          </w:tcPr>
          <w:p>
            <w:pPr>
              <w:pStyle w:val="13"/>
              <w:spacing w:before="173"/>
              <w:ind w:left="16"/>
              <w:jc w:val="center"/>
              <w:rPr>
                <w:sz w:val="21"/>
              </w:rPr>
            </w:pPr>
            <w:r>
              <w:rPr>
                <w:w w:val="99"/>
                <w:sz w:val="21"/>
              </w:rPr>
              <w:t>—</w:t>
            </w:r>
          </w:p>
        </w:tc>
        <w:tc>
          <w:tcPr>
            <w:tcW w:w="502" w:type="dxa"/>
          </w:tcPr>
          <w:p>
            <w:pPr>
              <w:pStyle w:val="13"/>
              <w:spacing w:before="173"/>
              <w:ind w:right="131"/>
              <w:jc w:val="right"/>
              <w:rPr>
                <w:sz w:val="21"/>
              </w:rPr>
            </w:pPr>
            <w:r>
              <w:rPr>
                <w:w w:val="99"/>
                <w:sz w:val="21"/>
              </w:rPr>
              <w:t>—</w:t>
            </w:r>
          </w:p>
        </w:tc>
        <w:tc>
          <w:tcPr>
            <w:tcW w:w="502" w:type="dxa"/>
          </w:tcPr>
          <w:p>
            <w:pPr>
              <w:pStyle w:val="13"/>
              <w:spacing w:before="173"/>
              <w:ind w:left="19"/>
              <w:jc w:val="center"/>
              <w:rPr>
                <w:sz w:val="21"/>
              </w:rPr>
            </w:pPr>
            <w:r>
              <w:rPr>
                <w:w w:val="99"/>
                <w:sz w:val="21"/>
              </w:rPr>
              <w:t>○</w:t>
            </w:r>
          </w:p>
        </w:tc>
        <w:tc>
          <w:tcPr>
            <w:tcW w:w="502" w:type="dxa"/>
          </w:tcPr>
          <w:p>
            <w:pPr>
              <w:pStyle w:val="13"/>
              <w:spacing w:before="173"/>
              <w:ind w:left="19"/>
              <w:jc w:val="center"/>
              <w:rPr>
                <w:sz w:val="21"/>
              </w:rPr>
            </w:pPr>
            <w:r>
              <w:rPr>
                <w:w w:val="99"/>
                <w:sz w:val="21"/>
              </w:rPr>
              <w:t>○</w:t>
            </w:r>
          </w:p>
        </w:tc>
        <w:tc>
          <w:tcPr>
            <w:tcW w:w="502" w:type="dxa"/>
          </w:tcPr>
          <w:p>
            <w:pPr>
              <w:pStyle w:val="13"/>
              <w:spacing w:before="173"/>
              <w:ind w:left="18"/>
              <w:jc w:val="center"/>
              <w:rPr>
                <w:sz w:val="21"/>
              </w:rPr>
            </w:pPr>
            <w:r>
              <w:rPr>
                <w:w w:val="99"/>
                <w:sz w:val="21"/>
              </w:rPr>
              <w:t>—</w:t>
            </w:r>
          </w:p>
        </w:tc>
        <w:tc>
          <w:tcPr>
            <w:tcW w:w="502" w:type="dxa"/>
          </w:tcPr>
          <w:p>
            <w:pPr>
              <w:pStyle w:val="13"/>
              <w:spacing w:before="173"/>
              <w:ind w:left="17"/>
              <w:jc w:val="center"/>
              <w:rPr>
                <w:sz w:val="21"/>
              </w:rPr>
            </w:pPr>
            <w:r>
              <w:rPr>
                <w:w w:val="99"/>
                <w:sz w:val="21"/>
              </w:rPr>
              <w:t>—</w:t>
            </w:r>
          </w:p>
        </w:tc>
        <w:tc>
          <w:tcPr>
            <w:tcW w:w="502" w:type="dxa"/>
          </w:tcPr>
          <w:p>
            <w:pPr>
              <w:pStyle w:val="13"/>
              <w:spacing w:before="173"/>
              <w:ind w:left="149"/>
              <w:rPr>
                <w:sz w:val="21"/>
              </w:rPr>
            </w:pPr>
            <w:r>
              <w:rPr>
                <w:w w:val="99"/>
                <w:sz w:val="21"/>
              </w:rPr>
              <w:t>—</w:t>
            </w:r>
          </w:p>
        </w:tc>
        <w:tc>
          <w:tcPr>
            <w:tcW w:w="502" w:type="dxa"/>
          </w:tcPr>
          <w:p>
            <w:pPr>
              <w:pStyle w:val="13"/>
              <w:spacing w:before="173"/>
              <w:ind w:left="15"/>
              <w:jc w:val="center"/>
              <w:rPr>
                <w:sz w:val="21"/>
              </w:rPr>
            </w:pPr>
            <w:r>
              <w:rPr>
                <w:w w:val="99"/>
                <w:sz w:val="21"/>
              </w:rPr>
              <w:t>—</w:t>
            </w:r>
          </w:p>
        </w:tc>
        <w:tc>
          <w:tcPr>
            <w:tcW w:w="502" w:type="dxa"/>
          </w:tcPr>
          <w:p>
            <w:pPr>
              <w:pStyle w:val="13"/>
              <w:spacing w:before="173"/>
              <w:ind w:right="129"/>
              <w:jc w:val="right"/>
              <w:rPr>
                <w:sz w:val="21"/>
              </w:rPr>
            </w:pPr>
            <w:r>
              <w:rPr>
                <w:w w:val="99"/>
                <w:sz w:val="21"/>
              </w:rPr>
              <w:t>—</w:t>
            </w:r>
          </w:p>
        </w:tc>
        <w:tc>
          <w:tcPr>
            <w:tcW w:w="502" w:type="dxa"/>
          </w:tcPr>
          <w:p>
            <w:pPr>
              <w:pStyle w:val="13"/>
              <w:spacing w:before="173"/>
              <w:ind w:left="18"/>
              <w:jc w:val="center"/>
              <w:rPr>
                <w:sz w:val="21"/>
              </w:rPr>
            </w:pPr>
            <w:r>
              <w:rPr>
                <w:w w:val="99"/>
                <w:sz w:val="21"/>
              </w:rPr>
              <w:t>—</w:t>
            </w:r>
          </w:p>
        </w:tc>
        <w:tc>
          <w:tcPr>
            <w:tcW w:w="502" w:type="dxa"/>
          </w:tcPr>
          <w:p>
            <w:pPr>
              <w:pStyle w:val="13"/>
              <w:spacing w:before="173"/>
              <w:ind w:left="18"/>
              <w:jc w:val="center"/>
              <w:rPr>
                <w:sz w:val="21"/>
              </w:rPr>
            </w:pPr>
            <w:r>
              <w:rPr>
                <w:w w:val="99"/>
                <w:sz w:val="21"/>
              </w:rPr>
              <w:t>—</w:t>
            </w:r>
          </w:p>
        </w:tc>
        <w:tc>
          <w:tcPr>
            <w:tcW w:w="502" w:type="dxa"/>
          </w:tcPr>
          <w:p>
            <w:pPr>
              <w:pStyle w:val="13"/>
              <w:spacing w:before="173"/>
              <w:ind w:left="17"/>
              <w:jc w:val="center"/>
              <w:rPr>
                <w:sz w:val="21"/>
              </w:rPr>
            </w:pPr>
            <w:r>
              <w:rPr>
                <w:w w:val="99"/>
                <w:sz w:val="21"/>
              </w:rPr>
              <w:t>—</w:t>
            </w:r>
          </w:p>
        </w:tc>
        <w:tc>
          <w:tcPr>
            <w:tcW w:w="502" w:type="dxa"/>
          </w:tcPr>
          <w:p>
            <w:pPr>
              <w:pStyle w:val="13"/>
              <w:spacing w:before="173"/>
              <w:ind w:left="16"/>
              <w:jc w:val="center"/>
              <w:rPr>
                <w:sz w:val="21"/>
              </w:rPr>
            </w:pPr>
            <w:r>
              <w:rPr>
                <w:w w:val="99"/>
                <w:sz w:val="21"/>
              </w:rPr>
              <w:t>—</w:t>
            </w:r>
          </w:p>
        </w:tc>
        <w:tc>
          <w:tcPr>
            <w:tcW w:w="502" w:type="dxa"/>
          </w:tcPr>
          <w:p>
            <w:pPr>
              <w:pStyle w:val="13"/>
              <w:spacing w:before="173"/>
              <w:ind w:left="149"/>
              <w:rPr>
                <w:sz w:val="21"/>
              </w:rPr>
            </w:pPr>
            <w:r>
              <w:rPr>
                <w:w w:val="99"/>
                <w:sz w:val="21"/>
              </w:rPr>
              <w:t>—</w:t>
            </w:r>
          </w:p>
        </w:tc>
        <w:tc>
          <w:tcPr>
            <w:tcW w:w="502" w:type="dxa"/>
          </w:tcPr>
          <w:p>
            <w:pPr>
              <w:pStyle w:val="13"/>
              <w:spacing w:before="173"/>
              <w:ind w:left="19"/>
              <w:jc w:val="center"/>
              <w:rPr>
                <w:sz w:val="21"/>
              </w:rPr>
            </w:pPr>
            <w:r>
              <w:rPr>
                <w:w w:val="99"/>
                <w:sz w:val="21"/>
              </w:rPr>
              <w:t>—</w:t>
            </w:r>
          </w:p>
        </w:tc>
        <w:tc>
          <w:tcPr>
            <w:tcW w:w="502" w:type="dxa"/>
          </w:tcPr>
          <w:p>
            <w:pPr>
              <w:pStyle w:val="13"/>
              <w:spacing w:before="173"/>
              <w:ind w:left="18"/>
              <w:jc w:val="center"/>
              <w:rPr>
                <w:sz w:val="21"/>
              </w:rPr>
            </w:pPr>
            <w:r>
              <w:rPr>
                <w:w w:val="99"/>
                <w:sz w:val="21"/>
              </w:rPr>
              <w:t>—</w:t>
            </w:r>
          </w:p>
        </w:tc>
        <w:tc>
          <w:tcPr>
            <w:tcW w:w="502" w:type="dxa"/>
          </w:tcPr>
          <w:p>
            <w:pPr>
              <w:pStyle w:val="13"/>
              <w:spacing w:before="173"/>
              <w:ind w:left="18"/>
              <w:jc w:val="center"/>
              <w:rPr>
                <w:sz w:val="21"/>
              </w:rPr>
            </w:pPr>
            <w:r>
              <w:rPr>
                <w:w w:val="99"/>
                <w:sz w:val="21"/>
              </w:rPr>
              <w:t>—</w:t>
            </w:r>
          </w:p>
        </w:tc>
        <w:tc>
          <w:tcPr>
            <w:tcW w:w="502" w:type="dxa"/>
          </w:tcPr>
          <w:p>
            <w:pPr>
              <w:pStyle w:val="13"/>
              <w:spacing w:before="173"/>
              <w:ind w:left="150"/>
              <w:rPr>
                <w:sz w:val="21"/>
              </w:rPr>
            </w:pPr>
            <w:r>
              <w:rPr>
                <w:w w:val="99"/>
                <w:sz w:val="21"/>
              </w:rPr>
              <w:t>—</w:t>
            </w:r>
          </w:p>
        </w:tc>
        <w:tc>
          <w:tcPr>
            <w:tcW w:w="502" w:type="dxa"/>
          </w:tcPr>
          <w:p>
            <w:pPr>
              <w:pStyle w:val="13"/>
              <w:spacing w:before="173"/>
              <w:ind w:left="16"/>
              <w:jc w:val="center"/>
              <w:rPr>
                <w:sz w:val="21"/>
              </w:rPr>
            </w:pPr>
            <w:r>
              <w:rPr>
                <w:w w:val="99"/>
                <w:sz w:val="21"/>
              </w:rPr>
              <w:t>—</w:t>
            </w:r>
          </w:p>
        </w:tc>
        <w:tc>
          <w:tcPr>
            <w:tcW w:w="502" w:type="dxa"/>
          </w:tcPr>
          <w:p>
            <w:pPr>
              <w:pStyle w:val="13"/>
              <w:spacing w:before="173"/>
              <w:ind w:right="131"/>
              <w:jc w:val="right"/>
              <w:rPr>
                <w:sz w:val="21"/>
              </w:rPr>
            </w:pPr>
            <w:r>
              <w:rPr>
                <w:w w:val="99"/>
                <w:sz w:val="21"/>
              </w:rPr>
              <w:t>○</w:t>
            </w:r>
          </w:p>
        </w:tc>
        <w:tc>
          <w:tcPr>
            <w:tcW w:w="502" w:type="dxa"/>
          </w:tcPr>
          <w:p>
            <w:pPr>
              <w:pStyle w:val="13"/>
              <w:spacing w:before="173"/>
              <w:ind w:left="19"/>
              <w:jc w:val="center"/>
              <w:rPr>
                <w:sz w:val="21"/>
              </w:rPr>
            </w:pPr>
            <w:r>
              <w:rPr>
                <w:w w:val="99"/>
                <w:sz w:val="21"/>
              </w:rPr>
              <w:t>—</w:t>
            </w:r>
          </w:p>
        </w:tc>
        <w:tc>
          <w:tcPr>
            <w:tcW w:w="502" w:type="dxa"/>
          </w:tcPr>
          <w:p>
            <w:pPr>
              <w:pStyle w:val="13"/>
              <w:spacing w:before="173"/>
              <w:ind w:left="19"/>
              <w:jc w:val="center"/>
              <w:rPr>
                <w:sz w:val="21"/>
              </w:rPr>
            </w:pPr>
            <w:r>
              <w:rPr>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4572" w:type="dxa"/>
            <w:gridSpan w:val="28"/>
            <w:tcBorders>
              <w:left w:val="single" w:color="000000" w:sz="8" w:space="0"/>
            </w:tcBorders>
          </w:tcPr>
          <w:p>
            <w:pPr>
              <w:pStyle w:val="13"/>
              <w:spacing w:before="43"/>
              <w:ind w:left="106"/>
              <w:rPr>
                <w:sz w:val="21"/>
              </w:rPr>
            </w:pPr>
            <w:r>
              <w:rPr>
                <w:sz w:val="21"/>
              </w:rPr>
              <w:t>备注：“○”表示一般情况下此工程建设范围均应配备的无障碍设施，“—”表示在情况需要时此工程建设范围可选择配备的无障碍设施</w:t>
            </w:r>
          </w:p>
        </w:tc>
      </w:tr>
    </w:tbl>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rPr>
          <w:rFonts w:ascii="黑体"/>
          <w:sz w:val="20"/>
        </w:rPr>
      </w:pPr>
    </w:p>
    <w:p>
      <w:pPr>
        <w:pStyle w:val="5"/>
        <w:spacing w:before="4"/>
        <w:rPr>
          <w:rFonts w:ascii="黑体"/>
          <w:sz w:val="22"/>
        </w:rPr>
      </w:pPr>
    </w:p>
    <w:p>
      <w:pPr>
        <w:spacing w:before="64"/>
        <w:ind w:left="5764" w:right="5544" w:firstLine="0"/>
        <w:jc w:val="center"/>
        <w:rPr>
          <w:rFonts w:ascii="Calibri"/>
          <w:sz w:val="18"/>
        </w:rPr>
      </w:pPr>
      <w:r>
        <w:rPr>
          <w:rFonts w:ascii="Calibri"/>
          <w:sz w:val="18"/>
        </w:rPr>
        <w:t>98</w:t>
      </w:r>
    </w:p>
    <w:p>
      <w:pPr>
        <w:spacing w:after="0"/>
        <w:jc w:val="center"/>
        <w:rPr>
          <w:rFonts w:ascii="Calibri"/>
          <w:sz w:val="18"/>
        </w:rPr>
        <w:sectPr>
          <w:footerReference r:id="rId22" w:type="default"/>
          <w:pgSz w:w="16840" w:h="11910" w:orient="landscape"/>
          <w:pgMar w:top="1100" w:right="1120" w:bottom="280" w:left="900" w:header="0" w:footer="0" w:gutter="0"/>
          <w:cols w:space="720" w:num="1"/>
        </w:sectPr>
      </w:pPr>
    </w:p>
    <w:p>
      <w:pPr>
        <w:pStyle w:val="12"/>
        <w:numPr>
          <w:ilvl w:val="2"/>
          <w:numId w:val="188"/>
        </w:numPr>
        <w:tabs>
          <w:tab w:val="left" w:pos="4724"/>
        </w:tabs>
        <w:spacing w:before="60" w:after="0" w:line="240" w:lineRule="auto"/>
        <w:ind w:left="4723" w:right="0" w:hanging="421"/>
        <w:jc w:val="left"/>
        <w:rPr>
          <w:rFonts w:hint="eastAsia" w:ascii="黑体" w:eastAsia="黑体"/>
          <w:sz w:val="21"/>
        </w:rPr>
      </w:pPr>
      <w:bookmarkStart w:id="918" w:name="8.2居住建筑"/>
      <w:bookmarkEnd w:id="918"/>
      <w:bookmarkStart w:id="919" w:name="_bookmark51"/>
      <w:bookmarkEnd w:id="919"/>
      <w:bookmarkStart w:id="920" w:name="_bookmark51"/>
      <w:bookmarkEnd w:id="920"/>
      <w:r>
        <w:rPr>
          <w:rFonts w:hint="eastAsia" w:ascii="黑体" w:eastAsia="黑体"/>
          <w:sz w:val="21"/>
        </w:rPr>
        <w:t>居住建筑</w:t>
      </w:r>
    </w:p>
    <w:p>
      <w:pPr>
        <w:pStyle w:val="5"/>
        <w:spacing w:before="6"/>
        <w:rPr>
          <w:rFonts w:ascii="黑体"/>
          <w:sz w:val="15"/>
        </w:rPr>
      </w:pPr>
    </w:p>
    <w:p>
      <w:pPr>
        <w:pStyle w:val="12"/>
        <w:numPr>
          <w:ilvl w:val="2"/>
          <w:numId w:val="191"/>
        </w:numPr>
        <w:tabs>
          <w:tab w:val="left" w:pos="953"/>
        </w:tabs>
        <w:spacing w:before="1" w:after="0" w:line="417" w:lineRule="auto"/>
        <w:ind w:left="112" w:right="310" w:firstLine="0"/>
        <w:jc w:val="both"/>
        <w:rPr>
          <w:sz w:val="21"/>
        </w:rPr>
      </w:pPr>
      <w:bookmarkStart w:id="921" w:name="8.2.2根据《城市居住区规划设计标准》GB 50180-2018第6.0.3条"/>
      <w:bookmarkEnd w:id="921"/>
      <w:bookmarkStart w:id="922" w:name="8.2.2根据《城市居住区规划设计标准》GB 50180-2018第6.0.3条"/>
      <w:bookmarkEnd w:id="922"/>
      <w:r>
        <w:rPr>
          <w:sz w:val="21"/>
        </w:rPr>
        <w:t>根据《城市居住区规划设计标准》</w:t>
      </w:r>
      <w:r>
        <w:rPr>
          <w:rFonts w:hint="eastAsia" w:ascii="仿宋" w:eastAsia="仿宋"/>
          <w:sz w:val="21"/>
        </w:rPr>
        <w:t>GB</w:t>
      </w:r>
      <w:r>
        <w:rPr>
          <w:rFonts w:hint="eastAsia" w:ascii="仿宋" w:eastAsia="仿宋"/>
          <w:spacing w:val="-1"/>
          <w:sz w:val="21"/>
        </w:rPr>
        <w:t xml:space="preserve"> </w:t>
      </w:r>
      <w:r>
        <w:rPr>
          <w:sz w:val="21"/>
        </w:rPr>
        <w:t>50180-2018</w:t>
      </w:r>
      <w:r>
        <w:rPr>
          <w:spacing w:val="-36"/>
          <w:sz w:val="21"/>
        </w:rPr>
        <w:t xml:space="preserve"> 第 </w:t>
      </w:r>
      <w:r>
        <w:rPr>
          <w:sz w:val="21"/>
        </w:rPr>
        <w:t>6.0.3</w:t>
      </w:r>
      <w:r>
        <w:rPr>
          <w:spacing w:val="-16"/>
          <w:sz w:val="21"/>
        </w:rPr>
        <w:t xml:space="preserve"> 条、</w:t>
      </w:r>
      <w:r>
        <w:rPr>
          <w:sz w:val="21"/>
        </w:rPr>
        <w:t>6.0.4</w:t>
      </w:r>
      <w:r>
        <w:rPr>
          <w:spacing w:val="-4"/>
          <w:sz w:val="21"/>
        </w:rPr>
        <w:t xml:space="preserve"> 条规定，居住区道路无障</w:t>
      </w:r>
      <w:r>
        <w:rPr>
          <w:spacing w:val="-6"/>
          <w:w w:val="95"/>
          <w:sz w:val="21"/>
        </w:rPr>
        <w:t xml:space="preserve">碍设计的范围包括居住区内各级城市道路、居住街坊内附属道路中的人行道。实际建设的居住建筑内附属   </w:t>
      </w:r>
      <w:r>
        <w:rPr>
          <w:spacing w:val="-8"/>
          <w:sz w:val="21"/>
        </w:rPr>
        <w:t xml:space="preserve">道路的人行道上一般不设置行进盲道，人行道上其他无障碍设计要求应符合本标准第 </w:t>
      </w:r>
      <w:r>
        <w:rPr>
          <w:sz w:val="21"/>
        </w:rPr>
        <w:t>5.2</w:t>
      </w:r>
      <w:r>
        <w:rPr>
          <w:spacing w:val="-9"/>
          <w:sz w:val="21"/>
        </w:rPr>
        <w:t xml:space="preserve"> 节有关规定。</w:t>
      </w:r>
    </w:p>
    <w:p>
      <w:pPr>
        <w:pStyle w:val="12"/>
        <w:numPr>
          <w:ilvl w:val="2"/>
          <w:numId w:val="191"/>
        </w:numPr>
        <w:tabs>
          <w:tab w:val="left" w:pos="953"/>
        </w:tabs>
        <w:spacing w:before="0" w:after="0" w:line="269" w:lineRule="exact"/>
        <w:ind w:left="952" w:right="0" w:hanging="841"/>
        <w:jc w:val="both"/>
        <w:rPr>
          <w:sz w:val="21"/>
        </w:rPr>
      </w:pPr>
      <w:bookmarkStart w:id="923" w:name="8.2.3本条规定了居住建筑基地内绿地的无障碍设计要求。"/>
      <w:bookmarkEnd w:id="923"/>
      <w:bookmarkStart w:id="924" w:name="8.2.3本条规定了居住建筑基地内绿地的无障碍设计要求。"/>
      <w:bookmarkEnd w:id="924"/>
      <w:r>
        <w:rPr>
          <w:sz w:val="21"/>
        </w:rPr>
        <w:t>本条规定了居住建筑基地内绿地的无障碍设计要求。</w:t>
      </w:r>
    </w:p>
    <w:p>
      <w:pPr>
        <w:pStyle w:val="5"/>
        <w:spacing w:before="6"/>
        <w:rPr>
          <w:sz w:val="15"/>
        </w:rPr>
      </w:pPr>
    </w:p>
    <w:p>
      <w:pPr>
        <w:pStyle w:val="12"/>
        <w:numPr>
          <w:ilvl w:val="0"/>
          <w:numId w:val="188"/>
        </w:numPr>
        <w:tabs>
          <w:tab w:val="left" w:pos="957"/>
          <w:tab w:val="left" w:pos="958"/>
        </w:tabs>
        <w:spacing w:before="0" w:after="0" w:line="417" w:lineRule="auto"/>
        <w:ind w:left="112" w:right="315" w:firstLine="424"/>
        <w:jc w:val="left"/>
        <w:rPr>
          <w:sz w:val="21"/>
        </w:rPr>
      </w:pPr>
      <w:r>
        <w:rPr>
          <w:spacing w:val="-2"/>
          <w:w w:val="95"/>
          <w:sz w:val="21"/>
        </w:rPr>
        <w:t xml:space="preserve">本款仅使用于存在明显出入口位置的绿地。无障碍出入口的设置位置应方便人们使用，当条件允   </w:t>
      </w:r>
      <w:r>
        <w:rPr>
          <w:spacing w:val="-2"/>
          <w:sz w:val="21"/>
        </w:rPr>
        <w:t>许时，所有出入口最好均符合无障碍设计要求。</w:t>
      </w:r>
    </w:p>
    <w:p>
      <w:pPr>
        <w:pStyle w:val="12"/>
        <w:numPr>
          <w:ilvl w:val="0"/>
          <w:numId w:val="188"/>
        </w:numPr>
        <w:tabs>
          <w:tab w:val="left" w:pos="957"/>
          <w:tab w:val="left" w:pos="958"/>
        </w:tabs>
        <w:spacing w:before="0" w:after="0" w:line="417" w:lineRule="auto"/>
        <w:ind w:left="112" w:right="312" w:firstLine="424"/>
        <w:jc w:val="left"/>
        <w:rPr>
          <w:sz w:val="21"/>
        </w:rPr>
      </w:pPr>
      <w:r>
        <w:rPr>
          <w:spacing w:val="-3"/>
          <w:sz w:val="21"/>
        </w:rPr>
        <w:t xml:space="preserve">绿地内主要活动场地与相接的地面或路面高差小于 </w:t>
      </w:r>
      <w:r>
        <w:rPr>
          <w:sz w:val="21"/>
        </w:rPr>
        <w:t>300</w:t>
      </w:r>
      <w:r>
        <w:rPr>
          <w:rFonts w:hint="eastAsia" w:ascii="仿宋" w:eastAsia="仿宋"/>
          <w:sz w:val="21"/>
        </w:rPr>
        <w:t>mm</w:t>
      </w:r>
      <w:r>
        <w:rPr>
          <w:rFonts w:hint="eastAsia" w:ascii="仿宋" w:eastAsia="仿宋"/>
          <w:spacing w:val="-60"/>
          <w:sz w:val="21"/>
        </w:rPr>
        <w:t xml:space="preserve"> </w:t>
      </w:r>
      <w:r>
        <w:rPr>
          <w:spacing w:val="-5"/>
          <w:sz w:val="21"/>
        </w:rPr>
        <w:t>时，应采用坡道处理高差，不宜设计台</w:t>
      </w:r>
      <w:r>
        <w:rPr>
          <w:spacing w:val="-12"/>
          <w:sz w:val="21"/>
        </w:rPr>
        <w:t xml:space="preserve">阶；高差大于 </w:t>
      </w:r>
      <w:r>
        <w:rPr>
          <w:sz w:val="21"/>
        </w:rPr>
        <w:t>300</w:t>
      </w:r>
      <w:r>
        <w:rPr>
          <w:rFonts w:hint="eastAsia" w:ascii="仿宋" w:eastAsia="仿宋"/>
          <w:sz w:val="21"/>
        </w:rPr>
        <w:t>mm</w:t>
      </w:r>
      <w:r>
        <w:rPr>
          <w:rFonts w:hint="eastAsia" w:ascii="仿宋" w:eastAsia="仿宋"/>
          <w:spacing w:val="-52"/>
          <w:sz w:val="21"/>
        </w:rPr>
        <w:t xml:space="preserve"> </w:t>
      </w:r>
      <w:r>
        <w:rPr>
          <w:spacing w:val="-6"/>
          <w:sz w:val="21"/>
        </w:rPr>
        <w:t xml:space="preserve">时，必须至少设置 </w:t>
      </w:r>
      <w:r>
        <w:rPr>
          <w:sz w:val="21"/>
        </w:rPr>
        <w:t>1</w:t>
      </w:r>
      <w:r>
        <w:rPr>
          <w:spacing w:val="-8"/>
          <w:sz w:val="21"/>
        </w:rPr>
        <w:t xml:space="preserve"> 处轮椅坡道，以便乘轮椅者通行。</w:t>
      </w:r>
    </w:p>
    <w:p>
      <w:pPr>
        <w:pStyle w:val="5"/>
        <w:tabs>
          <w:tab w:val="left" w:pos="959"/>
        </w:tabs>
        <w:spacing w:line="269" w:lineRule="exact"/>
        <w:ind w:left="540"/>
      </w:pPr>
      <w:r>
        <w:t>6</w:t>
      </w:r>
      <w:r>
        <w:tab/>
      </w:r>
      <w:r>
        <w:t>考虑到老年人、乘轮椅者及携婴儿车者等群体的使用，游步道应为无障碍通道。</w:t>
      </w:r>
    </w:p>
    <w:p>
      <w:pPr>
        <w:pStyle w:val="5"/>
        <w:spacing w:before="7"/>
        <w:rPr>
          <w:sz w:val="15"/>
        </w:rPr>
      </w:pPr>
    </w:p>
    <w:p>
      <w:pPr>
        <w:pStyle w:val="5"/>
        <w:tabs>
          <w:tab w:val="left" w:pos="957"/>
        </w:tabs>
        <w:spacing w:line="417" w:lineRule="auto"/>
        <w:ind w:left="112" w:right="310" w:firstLine="424"/>
      </w:pPr>
      <w:r>
        <w:t>9</w:t>
      </w:r>
      <w:r>
        <w:tab/>
      </w:r>
      <w:r>
        <w:rPr>
          <w:spacing w:val="-5"/>
        </w:rPr>
        <w:t>为保障安全，防止儿童攀爬，结合遮阳需求，林下活动场地应以高大荫浓的乔木为主，当枝干有</w:t>
      </w:r>
      <w:r>
        <w:rPr>
          <w:spacing w:val="-9"/>
        </w:rPr>
        <w:t xml:space="preserve">分支点时，分支点不应低于 </w:t>
      </w:r>
      <w:r>
        <w:t>2.20</w:t>
      </w:r>
      <w:r>
        <w:rPr>
          <w:rFonts w:hint="eastAsia" w:ascii="仿宋" w:eastAsia="仿宋"/>
        </w:rPr>
        <w:t>m</w:t>
      </w:r>
      <w:r>
        <w:t>。</w:t>
      </w:r>
    </w:p>
    <w:p>
      <w:pPr>
        <w:pStyle w:val="12"/>
        <w:numPr>
          <w:ilvl w:val="2"/>
          <w:numId w:val="191"/>
        </w:numPr>
        <w:tabs>
          <w:tab w:val="left" w:pos="952"/>
          <w:tab w:val="left" w:pos="953"/>
        </w:tabs>
        <w:spacing w:before="0" w:after="0" w:line="269" w:lineRule="exact"/>
        <w:ind w:left="952" w:right="0" w:hanging="841"/>
        <w:jc w:val="left"/>
        <w:rPr>
          <w:sz w:val="21"/>
        </w:rPr>
      </w:pPr>
      <w:bookmarkStart w:id="925" w:name="8.2.4本条规定了配套公共设施的无障碍设计要求。"/>
      <w:bookmarkEnd w:id="925"/>
      <w:bookmarkStart w:id="926" w:name="8.2.4本条规定了配套公共设施的无障碍设计要求。"/>
      <w:bookmarkEnd w:id="926"/>
      <w:r>
        <w:rPr>
          <w:sz w:val="21"/>
        </w:rPr>
        <w:t>本条规定了配套公共设施的无障碍设计要求。</w:t>
      </w:r>
    </w:p>
    <w:p>
      <w:pPr>
        <w:pStyle w:val="5"/>
        <w:spacing w:before="6"/>
        <w:rPr>
          <w:sz w:val="15"/>
        </w:rPr>
      </w:pPr>
    </w:p>
    <w:p>
      <w:pPr>
        <w:pStyle w:val="5"/>
        <w:spacing w:before="1" w:line="417" w:lineRule="auto"/>
        <w:ind w:left="112" w:right="310" w:firstLine="427"/>
        <w:jc w:val="both"/>
      </w:pPr>
      <w:r>
        <w:t>4</w:t>
      </w:r>
      <w:r>
        <w:rPr>
          <w:spacing w:val="-4"/>
        </w:rPr>
        <w:t xml:space="preserve"> 根据《深圳市城市规划标准与准则》第 </w:t>
      </w:r>
      <w:r>
        <w:t>6.4.2.4</w:t>
      </w:r>
      <w:r>
        <w:rPr>
          <w:spacing w:val="-8"/>
        </w:rPr>
        <w:t xml:space="preserve"> 条规定“所有停车场库均应在停车场最方便的位</w:t>
      </w:r>
      <w:r>
        <w:rPr>
          <w:spacing w:val="-10"/>
        </w:rPr>
        <w:t xml:space="preserve">置，为残疾人提供不小于停车位总数 </w:t>
      </w:r>
      <w:r>
        <w:t>2</w:t>
      </w:r>
      <w:r>
        <w:rPr>
          <w:spacing w:val="-9"/>
        </w:rPr>
        <w:t xml:space="preserve">%的无障碍停车位，比例不足 </w:t>
      </w:r>
      <w:r>
        <w:t>1</w:t>
      </w:r>
      <w:r>
        <w:rPr>
          <w:spacing w:val="-12"/>
        </w:rPr>
        <w:t xml:space="preserve"> 个无障碍车位至少设置 </w:t>
      </w:r>
      <w:r>
        <w:t>1</w:t>
      </w:r>
      <w:r>
        <w:rPr>
          <w:spacing w:val="-10"/>
        </w:rPr>
        <w:t xml:space="preserve"> 个无障碍车</w:t>
      </w:r>
      <w:r>
        <w:t>位。” 本款规定无障碍机动车停车位数量比例的要求。若地面无障碍停车场设置的无障碍机动车停车位数量已满足配置比例的要求，则停车库可不设置无障碍机动车停车位。</w:t>
      </w:r>
    </w:p>
    <w:p>
      <w:pPr>
        <w:pStyle w:val="12"/>
        <w:numPr>
          <w:ilvl w:val="2"/>
          <w:numId w:val="191"/>
        </w:numPr>
        <w:tabs>
          <w:tab w:val="left" w:pos="953"/>
        </w:tabs>
        <w:spacing w:before="0" w:after="0" w:line="417" w:lineRule="auto"/>
        <w:ind w:left="112" w:right="312" w:firstLine="0"/>
        <w:jc w:val="both"/>
        <w:rPr>
          <w:sz w:val="21"/>
        </w:rPr>
      </w:pPr>
      <w:bookmarkStart w:id="927" w:name="8.2.5本条规定了居住建筑单体的无障碍设计要求。商住楼的住宅部分执行本条规定。"/>
      <w:bookmarkEnd w:id="927"/>
      <w:bookmarkStart w:id="928" w:name="8.2.5本条规定了居住建筑单体的无障碍设计要求。商住楼的住宅部分执行本条规定。"/>
      <w:bookmarkEnd w:id="928"/>
      <w:r>
        <w:rPr>
          <w:spacing w:val="-3"/>
          <w:w w:val="95"/>
          <w:sz w:val="21"/>
        </w:rPr>
        <w:t xml:space="preserve">本条规定了居住建筑单体的无障碍设计要求。商住楼的住宅部分执行本条规定。在独栋、双拼和   </w:t>
      </w:r>
      <w:r>
        <w:rPr>
          <w:spacing w:val="-3"/>
          <w:sz w:val="21"/>
        </w:rPr>
        <w:t>联排别墅中作为首层单户进出的居住建筑，可根据需要选择使用。</w:t>
      </w:r>
    </w:p>
    <w:p>
      <w:pPr>
        <w:pStyle w:val="5"/>
        <w:tabs>
          <w:tab w:val="left" w:pos="959"/>
        </w:tabs>
        <w:spacing w:line="417" w:lineRule="auto"/>
        <w:ind w:left="112" w:right="312" w:firstLine="427"/>
      </w:pPr>
      <w:r>
        <w:t>1</w:t>
      </w:r>
      <w:r>
        <w:tab/>
      </w:r>
      <w:r>
        <w:rPr>
          <w:spacing w:val="-4"/>
          <w:w w:val="95"/>
        </w:rPr>
        <w:t xml:space="preserve">首层设置多个出入口的建筑，有条件时，尽可能多的设置无障碍出入口，便于使用人群出行，减   </w:t>
      </w:r>
      <w:r>
        <w:rPr>
          <w:spacing w:val="-4"/>
        </w:rPr>
        <w:t>少绕行路线。</w:t>
      </w:r>
    </w:p>
    <w:p>
      <w:pPr>
        <w:pStyle w:val="12"/>
        <w:numPr>
          <w:ilvl w:val="0"/>
          <w:numId w:val="192"/>
        </w:numPr>
        <w:tabs>
          <w:tab w:val="left" w:pos="959"/>
          <w:tab w:val="left" w:pos="960"/>
        </w:tabs>
        <w:spacing w:before="0" w:after="0" w:line="417" w:lineRule="auto"/>
        <w:ind w:left="112" w:right="310" w:firstLine="427"/>
        <w:jc w:val="left"/>
        <w:rPr>
          <w:sz w:val="21"/>
        </w:rPr>
      </w:pPr>
      <w:r>
        <w:rPr>
          <w:spacing w:val="-4"/>
          <w:sz w:val="21"/>
        </w:rPr>
        <w:t xml:space="preserve">明确没有残障人士工作的单位，也应设置至少不少于男女各 </w:t>
      </w:r>
      <w:r>
        <w:rPr>
          <w:sz w:val="21"/>
        </w:rPr>
        <w:t>1</w:t>
      </w:r>
      <w:r>
        <w:rPr>
          <w:spacing w:val="-9"/>
          <w:sz w:val="21"/>
        </w:rPr>
        <w:t xml:space="preserve"> 套无障碍宿舍，以备临时和短期需要，并可根据需要增加设置的套数。</w:t>
      </w:r>
    </w:p>
    <w:p>
      <w:pPr>
        <w:pStyle w:val="12"/>
        <w:numPr>
          <w:ilvl w:val="0"/>
          <w:numId w:val="192"/>
        </w:numPr>
        <w:tabs>
          <w:tab w:val="left" w:pos="959"/>
          <w:tab w:val="left" w:pos="960"/>
        </w:tabs>
        <w:spacing w:before="0" w:after="0" w:line="269" w:lineRule="exact"/>
        <w:ind w:left="960" w:right="0" w:hanging="420"/>
        <w:jc w:val="left"/>
        <w:rPr>
          <w:sz w:val="21"/>
        </w:rPr>
      </w:pPr>
      <w:r>
        <w:rPr>
          <w:sz w:val="21"/>
        </w:rPr>
        <w:t>进行无障碍住房与宿舍设计时，尽量建于首层，方便使用者出入。</w:t>
      </w:r>
    </w:p>
    <w:p>
      <w:pPr>
        <w:pStyle w:val="5"/>
        <w:spacing w:before="5"/>
        <w:rPr>
          <w:sz w:val="15"/>
        </w:rPr>
      </w:pPr>
    </w:p>
    <w:p>
      <w:pPr>
        <w:pStyle w:val="12"/>
        <w:numPr>
          <w:ilvl w:val="0"/>
          <w:numId w:val="192"/>
        </w:numPr>
        <w:tabs>
          <w:tab w:val="left" w:pos="959"/>
          <w:tab w:val="left" w:pos="960"/>
        </w:tabs>
        <w:spacing w:before="0" w:after="0" w:line="240" w:lineRule="auto"/>
        <w:ind w:left="960" w:right="0" w:hanging="420"/>
        <w:jc w:val="left"/>
        <w:rPr>
          <w:sz w:val="21"/>
        </w:rPr>
      </w:pPr>
      <w:r>
        <w:rPr>
          <w:sz w:val="21"/>
        </w:rPr>
        <w:t>未设无障碍宿舍的楼层也应通过无障碍通道直达电梯厅，方便老年人、儿童等使用。</w:t>
      </w:r>
    </w:p>
    <w:p>
      <w:pPr>
        <w:pStyle w:val="5"/>
        <w:spacing w:before="7"/>
        <w:rPr>
          <w:sz w:val="15"/>
        </w:rPr>
      </w:pPr>
    </w:p>
    <w:p>
      <w:pPr>
        <w:pStyle w:val="12"/>
        <w:numPr>
          <w:ilvl w:val="2"/>
          <w:numId w:val="188"/>
        </w:numPr>
        <w:tabs>
          <w:tab w:val="left" w:pos="4724"/>
        </w:tabs>
        <w:spacing w:before="0" w:after="0" w:line="240" w:lineRule="auto"/>
        <w:ind w:left="4723" w:right="0" w:hanging="421"/>
        <w:jc w:val="left"/>
        <w:rPr>
          <w:rFonts w:hint="eastAsia" w:ascii="黑体" w:eastAsia="黑体"/>
          <w:sz w:val="21"/>
        </w:rPr>
      </w:pPr>
      <w:bookmarkStart w:id="929" w:name="8.3公共建筑"/>
      <w:bookmarkEnd w:id="929"/>
      <w:bookmarkStart w:id="930" w:name="_bookmark52"/>
      <w:bookmarkEnd w:id="930"/>
      <w:bookmarkStart w:id="931" w:name="_bookmark52"/>
      <w:bookmarkEnd w:id="931"/>
      <w:r>
        <w:rPr>
          <w:rFonts w:hint="eastAsia" w:ascii="黑体" w:eastAsia="黑体"/>
          <w:sz w:val="21"/>
        </w:rPr>
        <w:t>公共建筑</w:t>
      </w:r>
    </w:p>
    <w:p>
      <w:pPr>
        <w:pStyle w:val="5"/>
        <w:spacing w:before="6"/>
        <w:rPr>
          <w:rFonts w:ascii="黑体"/>
          <w:sz w:val="15"/>
        </w:rPr>
      </w:pPr>
    </w:p>
    <w:p>
      <w:pPr>
        <w:pStyle w:val="12"/>
        <w:numPr>
          <w:ilvl w:val="2"/>
          <w:numId w:val="193"/>
        </w:numPr>
        <w:tabs>
          <w:tab w:val="left" w:pos="952"/>
          <w:tab w:val="left" w:pos="953"/>
        </w:tabs>
        <w:spacing w:before="0" w:after="0" w:line="240" w:lineRule="auto"/>
        <w:ind w:left="952" w:right="0" w:hanging="841"/>
        <w:jc w:val="left"/>
        <w:rPr>
          <w:sz w:val="21"/>
        </w:rPr>
      </w:pPr>
      <w:bookmarkStart w:id="932" w:name="8.3.2本条规定了公共建筑基地的无障碍设计要求。"/>
      <w:bookmarkEnd w:id="932"/>
      <w:bookmarkStart w:id="933" w:name="8.3.2本条规定了公共建筑基地的无障碍设计要求。"/>
      <w:bookmarkEnd w:id="933"/>
      <w:r>
        <w:rPr>
          <w:sz w:val="21"/>
        </w:rPr>
        <w:t>本条规定了公共建筑基地的无障碍设计要求。</w:t>
      </w:r>
    </w:p>
    <w:p>
      <w:pPr>
        <w:pStyle w:val="5"/>
        <w:spacing w:before="7"/>
        <w:rPr>
          <w:sz w:val="15"/>
        </w:rPr>
      </w:pPr>
    </w:p>
    <w:p>
      <w:pPr>
        <w:pStyle w:val="12"/>
        <w:numPr>
          <w:ilvl w:val="0"/>
          <w:numId w:val="194"/>
        </w:numPr>
        <w:tabs>
          <w:tab w:val="left" w:pos="957"/>
          <w:tab w:val="left" w:pos="958"/>
        </w:tabs>
        <w:spacing w:before="0" w:after="0" w:line="240" w:lineRule="auto"/>
        <w:ind w:left="957" w:right="0" w:hanging="421"/>
        <w:jc w:val="left"/>
        <w:rPr>
          <w:sz w:val="21"/>
        </w:rPr>
      </w:pPr>
      <w:r>
        <w:rPr>
          <w:sz w:val="21"/>
        </w:rPr>
        <w:t>建筑基地内的人行道应保证无障碍通道形成环线，并到达每个无障碍出入口。</w:t>
      </w:r>
    </w:p>
    <w:p>
      <w:pPr>
        <w:pStyle w:val="5"/>
        <w:spacing w:before="7"/>
        <w:rPr>
          <w:sz w:val="15"/>
        </w:rPr>
      </w:pPr>
    </w:p>
    <w:p>
      <w:pPr>
        <w:pStyle w:val="12"/>
        <w:numPr>
          <w:ilvl w:val="2"/>
          <w:numId w:val="193"/>
        </w:numPr>
        <w:tabs>
          <w:tab w:val="left" w:pos="952"/>
          <w:tab w:val="left" w:pos="953"/>
        </w:tabs>
        <w:spacing w:before="0" w:after="0" w:line="240" w:lineRule="auto"/>
        <w:ind w:left="952" w:right="0" w:hanging="841"/>
        <w:jc w:val="left"/>
        <w:rPr>
          <w:sz w:val="21"/>
        </w:rPr>
      </w:pPr>
      <w:bookmarkStart w:id="934" w:name="8.3.3本条规定了建筑基地内无障碍机动车停车位的配置要求。"/>
      <w:bookmarkEnd w:id="934"/>
      <w:bookmarkStart w:id="935" w:name="8.3.3本条规定了建筑基地内无障碍机动车停车位的配置要求。"/>
      <w:bookmarkEnd w:id="935"/>
      <w:r>
        <w:rPr>
          <w:sz w:val="21"/>
        </w:rPr>
        <w:t>本条规定了建筑基地内无障碍机动车停车位的配置要求。</w:t>
      </w:r>
    </w:p>
    <w:p>
      <w:pPr>
        <w:spacing w:after="0" w:line="240" w:lineRule="auto"/>
        <w:jc w:val="left"/>
        <w:rPr>
          <w:sz w:val="21"/>
        </w:rPr>
        <w:sectPr>
          <w:footerReference r:id="rId23" w:type="default"/>
          <w:pgSz w:w="11910" w:h="16840"/>
          <w:pgMar w:top="1580" w:right="820" w:bottom="280" w:left="1020" w:header="0" w:footer="0" w:gutter="0"/>
          <w:cols w:space="720" w:num="1"/>
        </w:sectPr>
      </w:pPr>
    </w:p>
    <w:p>
      <w:pPr>
        <w:pStyle w:val="12"/>
        <w:numPr>
          <w:ilvl w:val="3"/>
          <w:numId w:val="193"/>
        </w:numPr>
        <w:tabs>
          <w:tab w:val="left" w:pos="958"/>
        </w:tabs>
        <w:spacing w:before="60" w:after="0" w:line="417" w:lineRule="auto"/>
        <w:ind w:left="112" w:right="310" w:firstLine="424"/>
        <w:jc w:val="both"/>
        <w:rPr>
          <w:sz w:val="21"/>
        </w:rPr>
      </w:pPr>
      <w:r>
        <w:rPr>
          <w:spacing w:val="-8"/>
          <w:sz w:val="21"/>
        </w:rPr>
        <w:t xml:space="preserve">根据《深圳市城市规划标准与准则》第 </w:t>
      </w:r>
      <w:r>
        <w:rPr>
          <w:sz w:val="21"/>
        </w:rPr>
        <w:t>6.4.2.4</w:t>
      </w:r>
      <w:r>
        <w:rPr>
          <w:spacing w:val="-9"/>
          <w:sz w:val="21"/>
        </w:rPr>
        <w:t xml:space="preserve"> 条规定“所有停车场库均应在停车场最方便的位</w:t>
      </w:r>
      <w:r>
        <w:rPr>
          <w:spacing w:val="-10"/>
          <w:sz w:val="21"/>
        </w:rPr>
        <w:t xml:space="preserve">置，为残疾人提供不小于停车位总数 </w:t>
      </w:r>
      <w:r>
        <w:rPr>
          <w:sz w:val="21"/>
        </w:rPr>
        <w:t>2</w:t>
      </w:r>
      <w:r>
        <w:rPr>
          <w:spacing w:val="-9"/>
          <w:sz w:val="21"/>
        </w:rPr>
        <w:t xml:space="preserve">%的无障碍停车位，比例不足 </w:t>
      </w:r>
      <w:r>
        <w:rPr>
          <w:sz w:val="21"/>
        </w:rPr>
        <w:t>1</w:t>
      </w:r>
      <w:r>
        <w:rPr>
          <w:spacing w:val="-12"/>
          <w:sz w:val="21"/>
        </w:rPr>
        <w:t xml:space="preserve"> 个无障碍车位至少设置 </w:t>
      </w:r>
      <w:r>
        <w:rPr>
          <w:sz w:val="21"/>
        </w:rPr>
        <w:t>1</w:t>
      </w:r>
      <w:r>
        <w:rPr>
          <w:spacing w:val="-10"/>
          <w:sz w:val="21"/>
        </w:rPr>
        <w:t xml:space="preserve"> 个无障碍车</w:t>
      </w:r>
      <w:r>
        <w:rPr>
          <w:spacing w:val="-8"/>
          <w:sz w:val="21"/>
        </w:rPr>
        <w:t>位。”本款将《无障碍设计规范》</w:t>
      </w:r>
      <w:r>
        <w:rPr>
          <w:rFonts w:hint="eastAsia" w:ascii="仿宋" w:hAnsi="仿宋" w:eastAsia="仿宋"/>
          <w:sz w:val="21"/>
        </w:rPr>
        <w:t>GB</w:t>
      </w:r>
      <w:r>
        <w:rPr>
          <w:sz w:val="21"/>
        </w:rPr>
        <w:t>50763-2012</w:t>
      </w:r>
      <w:r>
        <w:rPr>
          <w:spacing w:val="-40"/>
          <w:sz w:val="21"/>
        </w:rPr>
        <w:t xml:space="preserve"> 第 </w:t>
      </w:r>
      <w:r>
        <w:rPr>
          <w:sz w:val="21"/>
        </w:rPr>
        <w:t>8.1.2</w:t>
      </w:r>
      <w:r>
        <w:rPr>
          <w:spacing w:val="-10"/>
          <w:sz w:val="21"/>
        </w:rPr>
        <w:t xml:space="preserve"> 条简化，并按《深圳市城市规划标准与准则》规定无障碍机动车停车位数量比例要求。</w:t>
      </w:r>
    </w:p>
    <w:p>
      <w:pPr>
        <w:pStyle w:val="12"/>
        <w:numPr>
          <w:ilvl w:val="3"/>
          <w:numId w:val="193"/>
        </w:numPr>
        <w:tabs>
          <w:tab w:val="left" w:pos="958"/>
        </w:tabs>
        <w:spacing w:before="0" w:after="0" w:line="268" w:lineRule="exact"/>
        <w:ind w:left="957" w:right="0" w:hanging="421"/>
        <w:jc w:val="both"/>
        <w:rPr>
          <w:sz w:val="21"/>
        </w:rPr>
      </w:pPr>
      <w:r>
        <w:rPr>
          <w:sz w:val="21"/>
        </w:rPr>
        <w:t>配建充电设施的无障碍机动车停车位与无障碍机动车停车位要求比例一致。</w:t>
      </w:r>
    </w:p>
    <w:p>
      <w:pPr>
        <w:pStyle w:val="5"/>
        <w:spacing w:before="6"/>
        <w:rPr>
          <w:sz w:val="15"/>
        </w:rPr>
      </w:pPr>
    </w:p>
    <w:p>
      <w:pPr>
        <w:pStyle w:val="12"/>
        <w:numPr>
          <w:ilvl w:val="2"/>
          <w:numId w:val="193"/>
        </w:numPr>
        <w:tabs>
          <w:tab w:val="left" w:pos="953"/>
        </w:tabs>
        <w:spacing w:before="1" w:after="0" w:line="240" w:lineRule="auto"/>
        <w:ind w:left="952" w:right="0" w:hanging="841"/>
        <w:jc w:val="both"/>
        <w:rPr>
          <w:sz w:val="21"/>
        </w:rPr>
      </w:pPr>
      <w:bookmarkStart w:id="936" w:name="8.3.4本条规定了公共建筑单体的无障碍设计要求。"/>
      <w:bookmarkEnd w:id="936"/>
      <w:bookmarkStart w:id="937" w:name="8.3.4本条规定了公共建筑单体的无障碍设计要求。"/>
      <w:bookmarkEnd w:id="937"/>
      <w:r>
        <w:rPr>
          <w:sz w:val="21"/>
        </w:rPr>
        <w:t>本条规定了公共建筑单体的无障碍设计要求。</w:t>
      </w:r>
    </w:p>
    <w:p>
      <w:pPr>
        <w:pStyle w:val="5"/>
        <w:spacing w:before="6"/>
        <w:rPr>
          <w:sz w:val="15"/>
        </w:rPr>
      </w:pPr>
    </w:p>
    <w:p>
      <w:pPr>
        <w:pStyle w:val="12"/>
        <w:numPr>
          <w:ilvl w:val="0"/>
          <w:numId w:val="194"/>
        </w:numPr>
        <w:tabs>
          <w:tab w:val="left" w:pos="960"/>
        </w:tabs>
        <w:spacing w:before="0" w:after="0" w:line="240" w:lineRule="auto"/>
        <w:ind w:left="960" w:right="0" w:hanging="420"/>
        <w:jc w:val="both"/>
        <w:rPr>
          <w:sz w:val="21"/>
        </w:rPr>
      </w:pPr>
      <w:r>
        <w:rPr>
          <w:sz w:val="21"/>
        </w:rPr>
        <w:t>无障碍电梯为客梯，不宜将货梯、后勤电梯作无障碍电梯使用。</w:t>
      </w:r>
    </w:p>
    <w:p>
      <w:pPr>
        <w:pStyle w:val="5"/>
        <w:spacing w:before="7"/>
        <w:rPr>
          <w:sz w:val="15"/>
        </w:rPr>
      </w:pPr>
    </w:p>
    <w:p>
      <w:pPr>
        <w:pStyle w:val="12"/>
        <w:numPr>
          <w:ilvl w:val="0"/>
          <w:numId w:val="194"/>
        </w:numPr>
        <w:tabs>
          <w:tab w:val="left" w:pos="960"/>
        </w:tabs>
        <w:spacing w:before="0" w:after="0" w:line="417" w:lineRule="auto"/>
        <w:ind w:left="112" w:right="307" w:firstLine="427"/>
        <w:jc w:val="both"/>
        <w:rPr>
          <w:sz w:val="21"/>
        </w:rPr>
      </w:pPr>
      <w:r>
        <w:rPr>
          <w:sz w:val="21"/>
        </w:rPr>
        <w:t>参照《深圳市公共场所母婴室设计规程》</w:t>
      </w:r>
      <w:r>
        <w:rPr>
          <w:rFonts w:hint="eastAsia" w:ascii="仿宋" w:hAnsi="仿宋" w:eastAsia="仿宋"/>
          <w:sz w:val="21"/>
        </w:rPr>
        <w:t>SJG</w:t>
      </w:r>
      <w:r>
        <w:rPr>
          <w:rFonts w:hint="eastAsia" w:ascii="仿宋" w:hAnsi="仿宋" w:eastAsia="仿宋"/>
          <w:spacing w:val="1"/>
          <w:sz w:val="21"/>
        </w:rPr>
        <w:t xml:space="preserve"> </w:t>
      </w:r>
      <w:r>
        <w:rPr>
          <w:sz w:val="21"/>
        </w:rPr>
        <w:t>54-2019</w:t>
      </w:r>
      <w:r>
        <w:rPr>
          <w:spacing w:val="-35"/>
          <w:sz w:val="21"/>
        </w:rPr>
        <w:t xml:space="preserve"> 第 </w:t>
      </w:r>
      <w:r>
        <w:rPr>
          <w:sz w:val="21"/>
        </w:rPr>
        <w:t>3.0.2</w:t>
      </w:r>
      <w:r>
        <w:rPr>
          <w:spacing w:val="-27"/>
          <w:sz w:val="21"/>
        </w:rPr>
        <w:t xml:space="preserve"> 条第 </w:t>
      </w:r>
      <w:r>
        <w:rPr>
          <w:sz w:val="21"/>
        </w:rPr>
        <w:t>4</w:t>
      </w:r>
      <w:r>
        <w:rPr>
          <w:spacing w:val="-7"/>
          <w:sz w:val="21"/>
        </w:rPr>
        <w:t xml:space="preserve"> 款“新建项目中，建筑面</w:t>
      </w:r>
      <w:r>
        <w:rPr>
          <w:spacing w:val="-17"/>
          <w:sz w:val="21"/>
        </w:rPr>
        <w:t xml:space="preserve">积每超过 </w:t>
      </w:r>
      <w:r>
        <w:rPr>
          <w:sz w:val="21"/>
        </w:rPr>
        <w:t>5000</w:t>
      </w:r>
      <w:r>
        <w:rPr>
          <w:spacing w:val="-13"/>
          <w:sz w:val="21"/>
        </w:rPr>
        <w:t xml:space="preserve"> ㎡，或日客流量每超过 </w:t>
      </w:r>
      <w:r>
        <w:rPr>
          <w:sz w:val="21"/>
        </w:rPr>
        <w:t>1</w:t>
      </w:r>
      <w:r>
        <w:rPr>
          <w:spacing w:val="-12"/>
          <w:sz w:val="21"/>
        </w:rPr>
        <w:t xml:space="preserve"> 万人次的公共场所，应设置至少 </w:t>
      </w:r>
      <w:r>
        <w:rPr>
          <w:sz w:val="21"/>
        </w:rPr>
        <w:t>1</w:t>
      </w:r>
      <w:r>
        <w:rPr>
          <w:spacing w:val="-13"/>
          <w:sz w:val="21"/>
        </w:rPr>
        <w:t xml:space="preserve"> 个使用面积不少于 </w:t>
      </w:r>
      <w:r>
        <w:rPr>
          <w:sz w:val="21"/>
        </w:rPr>
        <w:t>10</w:t>
      </w:r>
      <w:r>
        <w:rPr>
          <w:spacing w:val="-12"/>
          <w:sz w:val="21"/>
        </w:rPr>
        <w:t xml:space="preserve"> ㎡的独立母婴室，可根据人流量和使用情况，分批增设。”本款增加了公共建筑内母婴室的设置要求。</w:t>
      </w:r>
    </w:p>
    <w:p>
      <w:pPr>
        <w:pStyle w:val="12"/>
        <w:numPr>
          <w:ilvl w:val="1"/>
          <w:numId w:val="194"/>
        </w:numPr>
        <w:tabs>
          <w:tab w:val="left" w:pos="4592"/>
        </w:tabs>
        <w:spacing w:before="0" w:after="0" w:line="269" w:lineRule="exact"/>
        <w:ind w:left="4591" w:right="202" w:hanging="4592"/>
        <w:jc w:val="left"/>
        <w:rPr>
          <w:rFonts w:hint="eastAsia" w:ascii="黑体" w:eastAsia="黑体"/>
          <w:sz w:val="21"/>
        </w:rPr>
      </w:pPr>
      <w:bookmarkStart w:id="938" w:name="I办公建筑"/>
      <w:bookmarkEnd w:id="938"/>
      <w:bookmarkStart w:id="939" w:name="I办公建筑"/>
      <w:bookmarkEnd w:id="939"/>
      <w:r>
        <w:rPr>
          <w:rFonts w:hint="eastAsia" w:ascii="黑体" w:eastAsia="黑体"/>
          <w:sz w:val="21"/>
        </w:rPr>
        <w:t>办公建筑</w:t>
      </w:r>
    </w:p>
    <w:p>
      <w:pPr>
        <w:pStyle w:val="5"/>
        <w:spacing w:before="7"/>
        <w:rPr>
          <w:rFonts w:ascii="黑体"/>
          <w:sz w:val="15"/>
        </w:rPr>
      </w:pPr>
    </w:p>
    <w:p>
      <w:pPr>
        <w:pStyle w:val="12"/>
        <w:numPr>
          <w:ilvl w:val="2"/>
          <w:numId w:val="193"/>
        </w:numPr>
        <w:tabs>
          <w:tab w:val="left" w:pos="953"/>
        </w:tabs>
        <w:spacing w:before="0" w:after="0" w:line="417" w:lineRule="auto"/>
        <w:ind w:left="112" w:right="315" w:firstLine="0"/>
        <w:jc w:val="both"/>
        <w:rPr>
          <w:sz w:val="21"/>
        </w:rPr>
      </w:pPr>
      <w:bookmarkStart w:id="940" w:name="8.3.5本条规定了办公建筑实施无障碍设计的范围，其他未注明办公类的建筑类型可参"/>
      <w:bookmarkEnd w:id="940"/>
      <w:bookmarkStart w:id="941" w:name="8.3.5本条规定了办公建筑实施无障碍设计的范围，其他未注明办公类的建筑类型可参"/>
      <w:bookmarkEnd w:id="941"/>
      <w:r>
        <w:rPr>
          <w:spacing w:val="-2"/>
          <w:w w:val="95"/>
          <w:sz w:val="21"/>
        </w:rPr>
        <w:t xml:space="preserve">本条规定了办公建筑实施无障碍设计的范围，其他未注明办公类的建筑类型可参考本条内容进行   </w:t>
      </w:r>
      <w:r>
        <w:rPr>
          <w:spacing w:val="-2"/>
          <w:sz w:val="21"/>
        </w:rPr>
        <w:t>设计。</w:t>
      </w:r>
    </w:p>
    <w:p>
      <w:pPr>
        <w:pStyle w:val="12"/>
        <w:numPr>
          <w:ilvl w:val="2"/>
          <w:numId w:val="193"/>
        </w:numPr>
        <w:tabs>
          <w:tab w:val="left" w:pos="953"/>
        </w:tabs>
        <w:spacing w:before="0" w:after="0" w:line="269" w:lineRule="exact"/>
        <w:ind w:left="952" w:right="0" w:hanging="841"/>
        <w:jc w:val="both"/>
        <w:rPr>
          <w:sz w:val="21"/>
        </w:rPr>
      </w:pPr>
      <w:bookmarkStart w:id="942" w:name="8.3.6本条规定为公众办理业务与信访接待的办公建筑的无障碍设施要求。"/>
      <w:bookmarkEnd w:id="942"/>
      <w:bookmarkStart w:id="943" w:name="8.3.6本条规定为公众办理业务与信访接待的办公建筑的无障碍设施要求。"/>
      <w:bookmarkEnd w:id="943"/>
      <w:r>
        <w:rPr>
          <w:sz w:val="21"/>
        </w:rPr>
        <w:t>本条规定为公众办理业务与信访接待的办公建筑的无障碍设施要求。</w:t>
      </w:r>
    </w:p>
    <w:p>
      <w:pPr>
        <w:pStyle w:val="5"/>
        <w:spacing w:before="6"/>
        <w:rPr>
          <w:sz w:val="15"/>
        </w:rPr>
      </w:pPr>
    </w:p>
    <w:p>
      <w:pPr>
        <w:pStyle w:val="5"/>
        <w:spacing w:before="1" w:line="417" w:lineRule="auto"/>
        <w:ind w:left="112" w:right="307" w:firstLine="427"/>
        <w:jc w:val="both"/>
      </w:pPr>
      <w:r>
        <w:t>3</w:t>
      </w:r>
      <w:r>
        <w:rPr>
          <w:spacing w:val="6"/>
        </w:rPr>
        <w:t xml:space="preserve"> 《无障碍设计规范》</w:t>
      </w:r>
      <w:r>
        <w:rPr>
          <w:rFonts w:hint="eastAsia" w:ascii="仿宋" w:hAnsi="仿宋" w:eastAsia="仿宋"/>
        </w:rPr>
        <w:t>GB</w:t>
      </w:r>
      <w:r>
        <w:rPr>
          <w:rFonts w:hint="eastAsia" w:ascii="仿宋" w:hAnsi="仿宋" w:eastAsia="仿宋"/>
          <w:spacing w:val="-55"/>
        </w:rPr>
        <w:t xml:space="preserve"> </w:t>
      </w:r>
      <w:r>
        <w:t>50763-2012</w:t>
      </w:r>
      <w:r>
        <w:rPr>
          <w:spacing w:val="-36"/>
        </w:rPr>
        <w:t xml:space="preserve"> 第 </w:t>
      </w:r>
      <w:r>
        <w:t>8.2.2</w:t>
      </w:r>
      <w:r>
        <w:rPr>
          <w:spacing w:val="-28"/>
        </w:rPr>
        <w:t xml:space="preserve"> 条第 </w:t>
      </w:r>
      <w:r>
        <w:t>3</w:t>
      </w:r>
      <w:r>
        <w:rPr>
          <w:spacing w:val="-12"/>
        </w:rPr>
        <w:t xml:space="preserve"> 款“……走道长度大于 </w:t>
      </w:r>
      <w:r>
        <w:t>60.00</w:t>
      </w:r>
      <w:r>
        <w:rPr>
          <w:rFonts w:hint="eastAsia" w:ascii="仿宋" w:hAnsi="仿宋" w:eastAsia="仿宋"/>
        </w:rPr>
        <w:t>m</w:t>
      </w:r>
      <w:r>
        <w:rPr>
          <w:rFonts w:hint="eastAsia" w:ascii="仿宋" w:hAnsi="仿宋" w:eastAsia="仿宋"/>
          <w:spacing w:val="-53"/>
        </w:rPr>
        <w:t xml:space="preserve"> </w:t>
      </w:r>
      <w:r>
        <w:rPr>
          <w:spacing w:val="-2"/>
        </w:rPr>
        <w:t>时，宜设休息区……”参照爱尔兰通用设计标准《</w:t>
      </w:r>
      <w:r>
        <w:rPr>
          <w:rFonts w:hint="eastAsia" w:ascii="仿宋" w:hAnsi="仿宋" w:eastAsia="仿宋"/>
          <w:spacing w:val="-2"/>
        </w:rPr>
        <w:t xml:space="preserve">Building </w:t>
      </w:r>
      <w:r>
        <w:rPr>
          <w:rFonts w:hint="eastAsia" w:ascii="仿宋" w:hAnsi="仿宋" w:eastAsia="仿宋"/>
        </w:rPr>
        <w:t>for Everyone</w:t>
      </w:r>
      <w:r>
        <w:rPr>
          <w:spacing w:val="-2"/>
        </w:rPr>
        <w:t xml:space="preserve">: </w:t>
      </w:r>
      <w:r>
        <w:rPr>
          <w:rFonts w:hint="eastAsia" w:ascii="仿宋" w:hAnsi="仿宋" w:eastAsia="仿宋"/>
        </w:rPr>
        <w:t>A Universal Design Approach</w:t>
      </w:r>
      <w:r>
        <w:t>》中拐杖使</w:t>
      </w:r>
      <w:r>
        <w:rPr>
          <w:spacing w:val="-5"/>
        </w:rPr>
        <w:t xml:space="preserve">用者单次步行最大距离为 </w:t>
      </w:r>
      <w:r>
        <w:t>50.00</w:t>
      </w:r>
      <w:r>
        <w:rPr>
          <w:rFonts w:hint="eastAsia" w:ascii="仿宋" w:hAnsi="仿宋" w:eastAsia="仿宋"/>
        </w:rPr>
        <w:t>m</w:t>
      </w:r>
      <w:r>
        <w:rPr>
          <w:spacing w:val="-5"/>
        </w:rPr>
        <w:t xml:space="preserve">，本款规定通道长度大于 </w:t>
      </w:r>
      <w:r>
        <w:t>50.00</w:t>
      </w:r>
      <w:r>
        <w:rPr>
          <w:rFonts w:hint="eastAsia" w:ascii="仿宋" w:hAnsi="仿宋" w:eastAsia="仿宋"/>
        </w:rPr>
        <w:t>m</w:t>
      </w:r>
      <w:r>
        <w:rPr>
          <w:rFonts w:hint="eastAsia" w:ascii="仿宋" w:hAnsi="仿宋" w:eastAsia="仿宋"/>
          <w:spacing w:val="-53"/>
        </w:rPr>
        <w:t xml:space="preserve"> </w:t>
      </w:r>
      <w:r>
        <w:t>时宜设置无障碍休息区。</w:t>
      </w:r>
    </w:p>
    <w:p>
      <w:pPr>
        <w:pStyle w:val="12"/>
        <w:numPr>
          <w:ilvl w:val="0"/>
          <w:numId w:val="195"/>
        </w:numPr>
        <w:tabs>
          <w:tab w:val="left" w:pos="960"/>
        </w:tabs>
        <w:spacing w:before="0" w:after="0" w:line="417" w:lineRule="auto"/>
        <w:ind w:left="112" w:right="310" w:firstLine="427"/>
        <w:jc w:val="both"/>
        <w:rPr>
          <w:sz w:val="21"/>
        </w:rPr>
      </w:pPr>
      <w:r>
        <w:rPr>
          <w:sz w:val="21"/>
        </w:rPr>
        <w:t>《无障碍设计规范》</w:t>
      </w:r>
      <w:r>
        <w:rPr>
          <w:rFonts w:hint="eastAsia" w:ascii="仿宋" w:hAnsi="仿宋" w:eastAsia="仿宋"/>
          <w:sz w:val="21"/>
        </w:rPr>
        <w:t>GB</w:t>
      </w:r>
      <w:r>
        <w:rPr>
          <w:rFonts w:hint="eastAsia" w:ascii="仿宋" w:hAnsi="仿宋" w:eastAsia="仿宋"/>
          <w:spacing w:val="1"/>
          <w:sz w:val="21"/>
        </w:rPr>
        <w:t xml:space="preserve"> </w:t>
      </w:r>
      <w:r>
        <w:rPr>
          <w:sz w:val="21"/>
        </w:rPr>
        <w:t>50763-2012</w:t>
      </w:r>
      <w:r>
        <w:rPr>
          <w:spacing w:val="-34"/>
          <w:sz w:val="21"/>
        </w:rPr>
        <w:t xml:space="preserve"> 第 </w:t>
      </w:r>
      <w:r>
        <w:rPr>
          <w:sz w:val="21"/>
        </w:rPr>
        <w:t>8.2.2</w:t>
      </w:r>
      <w:r>
        <w:rPr>
          <w:spacing w:val="-26"/>
          <w:sz w:val="21"/>
        </w:rPr>
        <w:t xml:space="preserve"> 条第 </w:t>
      </w:r>
      <w:r>
        <w:rPr>
          <w:sz w:val="21"/>
        </w:rPr>
        <w:t>5</w:t>
      </w:r>
      <w:r>
        <w:rPr>
          <w:spacing w:val="-8"/>
          <w:sz w:val="21"/>
        </w:rPr>
        <w:t xml:space="preserve"> 款“供公众使用的男、女公共厕所均应满足</w:t>
      </w:r>
      <w:r>
        <w:rPr>
          <w:spacing w:val="-18"/>
          <w:sz w:val="21"/>
        </w:rPr>
        <w:t xml:space="preserve">本规范第 </w:t>
      </w:r>
      <w:r>
        <w:rPr>
          <w:sz w:val="21"/>
        </w:rPr>
        <w:t>3.9.1</w:t>
      </w:r>
      <w:r>
        <w:rPr>
          <w:spacing w:val="-12"/>
          <w:sz w:val="21"/>
        </w:rPr>
        <w:t xml:space="preserve"> 条的有关规定或在男、女公共厕所附近设置 </w:t>
      </w:r>
      <w:r>
        <w:rPr>
          <w:sz w:val="21"/>
        </w:rPr>
        <w:t>1</w:t>
      </w:r>
      <w:r>
        <w:rPr>
          <w:spacing w:val="-9"/>
          <w:sz w:val="21"/>
        </w:rPr>
        <w:t xml:space="preserve"> 个无障碍厕所……”据调查表明无障碍卫生间更便于乘轮椅者使用。因此，本款规定条件允许时，尽可能设计无障碍卫生间。</w:t>
      </w:r>
    </w:p>
    <w:p>
      <w:pPr>
        <w:pStyle w:val="12"/>
        <w:numPr>
          <w:ilvl w:val="0"/>
          <w:numId w:val="195"/>
        </w:numPr>
        <w:tabs>
          <w:tab w:val="left" w:pos="960"/>
        </w:tabs>
        <w:spacing w:before="0" w:after="0" w:line="269" w:lineRule="exact"/>
        <w:ind w:left="960" w:right="0" w:hanging="420"/>
        <w:jc w:val="both"/>
        <w:rPr>
          <w:sz w:val="21"/>
        </w:rPr>
      </w:pPr>
      <w:r>
        <w:rPr>
          <w:sz w:val="21"/>
        </w:rPr>
        <w:t>提供公共服务的办公建筑大厅应考虑哺乳期妇女和婴儿的使用需求，应设置独立母婴室。</w:t>
      </w:r>
    </w:p>
    <w:p>
      <w:pPr>
        <w:pStyle w:val="5"/>
        <w:spacing w:before="6"/>
        <w:rPr>
          <w:sz w:val="15"/>
        </w:rPr>
      </w:pPr>
    </w:p>
    <w:p>
      <w:pPr>
        <w:pStyle w:val="12"/>
        <w:numPr>
          <w:ilvl w:val="2"/>
          <w:numId w:val="193"/>
        </w:numPr>
        <w:tabs>
          <w:tab w:val="left" w:pos="953"/>
        </w:tabs>
        <w:spacing w:before="0" w:after="0" w:line="417" w:lineRule="auto"/>
        <w:ind w:left="112" w:right="312" w:firstLine="0"/>
        <w:jc w:val="both"/>
        <w:rPr>
          <w:sz w:val="21"/>
        </w:rPr>
      </w:pPr>
      <w:bookmarkStart w:id="944" w:name="8.3.7创新创业无障碍服务中心、残疾人联合会办公楼等行动障碍者使用频率较高的办"/>
      <w:bookmarkEnd w:id="944"/>
      <w:bookmarkStart w:id="945" w:name="8.3.7创新创业无障碍服务中心、残疾人联合会办公楼等行动障碍者使用频率较高的办"/>
      <w:bookmarkEnd w:id="945"/>
      <w:r>
        <w:rPr>
          <w:spacing w:val="-2"/>
          <w:w w:val="95"/>
          <w:sz w:val="21"/>
        </w:rPr>
        <w:t xml:space="preserve">创新创业无障碍服务中心、残疾人联合会办公楼等行动障碍者使用频率较高的办公建筑，其无障   </w:t>
      </w:r>
      <w:r>
        <w:rPr>
          <w:spacing w:val="-2"/>
          <w:sz w:val="21"/>
        </w:rPr>
        <w:t>碍设计要求比普通办公建筑更加严格。</w:t>
      </w:r>
    </w:p>
    <w:p>
      <w:pPr>
        <w:pStyle w:val="12"/>
        <w:numPr>
          <w:ilvl w:val="2"/>
          <w:numId w:val="193"/>
        </w:numPr>
        <w:tabs>
          <w:tab w:val="left" w:pos="953"/>
        </w:tabs>
        <w:spacing w:before="0" w:after="0" w:line="269" w:lineRule="exact"/>
        <w:ind w:left="952" w:right="0" w:hanging="841"/>
        <w:jc w:val="both"/>
        <w:rPr>
          <w:sz w:val="21"/>
        </w:rPr>
      </w:pPr>
      <w:bookmarkStart w:id="946" w:name="8.3.8本条规定了其他办公建筑的无障碍设施要求。"/>
      <w:bookmarkEnd w:id="946"/>
      <w:bookmarkStart w:id="947" w:name="8.3.8本条规定了其他办公建筑的无障碍设施要求。"/>
      <w:bookmarkEnd w:id="947"/>
      <w:r>
        <w:rPr>
          <w:sz w:val="21"/>
        </w:rPr>
        <w:t>本条规定了其他办公建筑的无障碍设施要求。</w:t>
      </w:r>
    </w:p>
    <w:p>
      <w:pPr>
        <w:pStyle w:val="5"/>
        <w:spacing w:before="6"/>
        <w:rPr>
          <w:sz w:val="15"/>
        </w:rPr>
      </w:pPr>
    </w:p>
    <w:p>
      <w:pPr>
        <w:pStyle w:val="5"/>
        <w:spacing w:before="1" w:line="417" w:lineRule="auto"/>
        <w:ind w:left="112" w:right="315" w:firstLine="420"/>
        <w:jc w:val="both"/>
      </w:pPr>
      <w:r>
        <w:t>1</w:t>
      </w:r>
      <w:r>
        <w:rPr>
          <w:spacing w:val="-1"/>
        </w:rPr>
        <w:t xml:space="preserve"> 尽可能将建筑的主要出入口设置为无障碍出入口，条件有限时也可将其他出入口设置为无障碍出入口，但其位置应明显，并有明显的指示标识。</w:t>
      </w:r>
    </w:p>
    <w:p>
      <w:pPr>
        <w:pStyle w:val="12"/>
        <w:numPr>
          <w:ilvl w:val="1"/>
          <w:numId w:val="194"/>
        </w:numPr>
        <w:tabs>
          <w:tab w:val="left" w:pos="4644"/>
        </w:tabs>
        <w:spacing w:before="0" w:after="0" w:line="269" w:lineRule="exact"/>
        <w:ind w:left="4644" w:right="199" w:hanging="4644"/>
        <w:jc w:val="left"/>
        <w:rPr>
          <w:rFonts w:hint="eastAsia" w:ascii="黑体" w:eastAsia="黑体"/>
          <w:sz w:val="21"/>
        </w:rPr>
      </w:pPr>
      <w:bookmarkStart w:id="948" w:name="II教育建筑"/>
      <w:bookmarkEnd w:id="948"/>
      <w:bookmarkStart w:id="949" w:name="II教育建筑"/>
      <w:bookmarkEnd w:id="949"/>
      <w:r>
        <w:rPr>
          <w:rFonts w:hint="eastAsia" w:ascii="黑体" w:eastAsia="黑体"/>
          <w:sz w:val="21"/>
        </w:rPr>
        <w:t>教育建筑</w:t>
      </w:r>
    </w:p>
    <w:p>
      <w:pPr>
        <w:pStyle w:val="5"/>
        <w:spacing w:before="6"/>
        <w:rPr>
          <w:rFonts w:ascii="黑体"/>
          <w:sz w:val="15"/>
        </w:rPr>
      </w:pPr>
    </w:p>
    <w:p>
      <w:pPr>
        <w:spacing w:before="0"/>
        <w:ind w:left="112" w:right="0" w:firstLine="0"/>
        <w:jc w:val="both"/>
        <w:rPr>
          <w:sz w:val="21"/>
        </w:rPr>
      </w:pPr>
      <w:r>
        <w:rPr>
          <w:b/>
          <w:sz w:val="21"/>
        </w:rPr>
        <w:t>8.3.11</w:t>
      </w:r>
      <w:bookmarkStart w:id="950" w:name="8.3.11本条规定了接收残障生源的教育建筑的无障碍设施要求。"/>
      <w:bookmarkEnd w:id="950"/>
      <w:r>
        <w:rPr>
          <w:b/>
          <w:spacing w:val="98"/>
          <w:sz w:val="21"/>
        </w:rPr>
        <w:t xml:space="preserve"> </w:t>
      </w:r>
      <w:r>
        <w:rPr>
          <w:sz w:val="21"/>
        </w:rPr>
        <w:t>本条规定了接收残障生源的教育建筑的无障碍设施要求。</w:t>
      </w:r>
    </w:p>
    <w:p>
      <w:pPr>
        <w:pStyle w:val="5"/>
        <w:spacing w:before="7"/>
        <w:rPr>
          <w:sz w:val="15"/>
        </w:rPr>
      </w:pPr>
    </w:p>
    <w:p>
      <w:pPr>
        <w:pStyle w:val="5"/>
        <w:ind w:left="532"/>
        <w:jc w:val="both"/>
      </w:pPr>
      <w:r>
        <w:t>1 室内无障碍通道两侧墙面设置的扶手可帮助视觉障碍学生安全行走。</w:t>
      </w:r>
    </w:p>
    <w:p>
      <w:pPr>
        <w:spacing w:after="0"/>
        <w:jc w:val="both"/>
        <w:sectPr>
          <w:footerReference r:id="rId24" w:type="default"/>
          <w:pgSz w:w="11910" w:h="16840"/>
          <w:pgMar w:top="1580" w:right="820" w:bottom="1420" w:left="1020" w:header="0" w:footer="1232" w:gutter="0"/>
          <w:pgNumType w:start="100"/>
          <w:cols w:space="720" w:num="1"/>
        </w:sectPr>
      </w:pPr>
    </w:p>
    <w:p>
      <w:pPr>
        <w:pStyle w:val="12"/>
        <w:numPr>
          <w:ilvl w:val="0"/>
          <w:numId w:val="196"/>
        </w:numPr>
        <w:tabs>
          <w:tab w:val="left" w:pos="948"/>
        </w:tabs>
        <w:spacing w:before="60" w:after="0" w:line="417" w:lineRule="auto"/>
        <w:ind w:left="112" w:right="310" w:firstLine="420"/>
        <w:jc w:val="both"/>
        <w:rPr>
          <w:sz w:val="21"/>
        </w:rPr>
      </w:pPr>
      <w:r>
        <w:rPr>
          <w:spacing w:val="-1"/>
          <w:sz w:val="21"/>
        </w:rPr>
        <w:t>《无障碍设计规范》</w:t>
      </w:r>
      <w:r>
        <w:rPr>
          <w:rFonts w:hint="eastAsia" w:ascii="仿宋" w:hAnsi="仿宋" w:eastAsia="仿宋"/>
          <w:sz w:val="21"/>
        </w:rPr>
        <w:t>GB</w:t>
      </w:r>
      <w:r>
        <w:rPr>
          <w:rFonts w:hint="eastAsia" w:ascii="仿宋" w:hAnsi="仿宋" w:eastAsia="仿宋"/>
          <w:spacing w:val="-54"/>
          <w:sz w:val="21"/>
        </w:rPr>
        <w:t xml:space="preserve"> </w:t>
      </w:r>
      <w:r>
        <w:rPr>
          <w:sz w:val="21"/>
        </w:rPr>
        <w:t>50763-2012</w:t>
      </w:r>
      <w:r>
        <w:rPr>
          <w:spacing w:val="-37"/>
          <w:sz w:val="21"/>
        </w:rPr>
        <w:t xml:space="preserve"> 第 </w:t>
      </w:r>
      <w:r>
        <w:rPr>
          <w:sz w:val="21"/>
        </w:rPr>
        <w:t>8.3.3</w:t>
      </w:r>
      <w:r>
        <w:rPr>
          <w:spacing w:val="-28"/>
          <w:sz w:val="21"/>
        </w:rPr>
        <w:t xml:space="preserve"> 条第 </w:t>
      </w:r>
      <w:r>
        <w:rPr>
          <w:sz w:val="21"/>
        </w:rPr>
        <w:t>1</w:t>
      </w:r>
      <w:r>
        <w:rPr>
          <w:spacing w:val="-8"/>
          <w:sz w:val="21"/>
        </w:rPr>
        <w:t xml:space="preserve"> 款“主要教学用房每层至少有 </w:t>
      </w:r>
      <w:r>
        <w:rPr>
          <w:sz w:val="21"/>
        </w:rPr>
        <w:t>1</w:t>
      </w:r>
      <w:r>
        <w:rPr>
          <w:spacing w:val="-2"/>
          <w:sz w:val="21"/>
        </w:rPr>
        <w:t xml:space="preserve"> 处公共厕所</w:t>
      </w:r>
      <w:r>
        <w:rPr>
          <w:spacing w:val="-6"/>
          <w:sz w:val="21"/>
        </w:rPr>
        <w:t xml:space="preserve">应满足本规范第 </w:t>
      </w:r>
      <w:r>
        <w:rPr>
          <w:sz w:val="21"/>
        </w:rPr>
        <w:t>3.9.1</w:t>
      </w:r>
      <w:r>
        <w:rPr>
          <w:spacing w:val="-6"/>
          <w:sz w:val="21"/>
        </w:rPr>
        <w:t xml:space="preserve"> 条的有关规定。” 据调查表明无障碍卫生间更便于乘轮椅者使用。因此，本款规</w:t>
      </w:r>
      <w:r>
        <w:rPr>
          <w:spacing w:val="-8"/>
          <w:sz w:val="21"/>
        </w:rPr>
        <w:t xml:space="preserve">定条件允许时，尽可能在主要教学用房每层公共卫生间附近设置 </w:t>
      </w:r>
      <w:r>
        <w:rPr>
          <w:sz w:val="21"/>
        </w:rPr>
        <w:t>1</w:t>
      </w:r>
      <w:r>
        <w:rPr>
          <w:spacing w:val="-8"/>
          <w:sz w:val="21"/>
        </w:rPr>
        <w:t xml:space="preserve"> 个无障碍卫生间。</w:t>
      </w:r>
    </w:p>
    <w:p>
      <w:pPr>
        <w:pStyle w:val="12"/>
        <w:numPr>
          <w:ilvl w:val="0"/>
          <w:numId w:val="196"/>
        </w:numPr>
        <w:tabs>
          <w:tab w:val="left" w:pos="960"/>
        </w:tabs>
        <w:spacing w:before="0" w:after="0" w:line="269" w:lineRule="exact"/>
        <w:ind w:left="960" w:right="0" w:hanging="420"/>
        <w:jc w:val="both"/>
        <w:rPr>
          <w:sz w:val="21"/>
        </w:rPr>
      </w:pPr>
      <w:r>
        <w:rPr>
          <w:color w:val="383636"/>
          <w:w w:val="105"/>
          <w:sz w:val="21"/>
        </w:rPr>
        <w:t>报告厅要考虑就近设置卫生间，并满足无障碍设计要求。</w:t>
      </w:r>
    </w:p>
    <w:p>
      <w:pPr>
        <w:pStyle w:val="5"/>
        <w:spacing w:before="6"/>
        <w:rPr>
          <w:sz w:val="15"/>
        </w:rPr>
      </w:pPr>
    </w:p>
    <w:p>
      <w:pPr>
        <w:pStyle w:val="5"/>
        <w:spacing w:before="1" w:line="417" w:lineRule="auto"/>
        <w:ind w:left="112" w:right="282" w:firstLine="427"/>
        <w:jc w:val="both"/>
      </w:pPr>
      <w:r>
        <w:rPr>
          <w:w w:val="105"/>
        </w:rPr>
        <w:t>7</w:t>
      </w:r>
      <w:r>
        <w:rPr>
          <w:spacing w:val="89"/>
          <w:w w:val="105"/>
        </w:rPr>
        <w:t xml:space="preserve"> </w:t>
      </w:r>
      <w:r>
        <w:rPr>
          <w:color w:val="383636"/>
          <w:w w:val="105"/>
        </w:rPr>
        <w:t>有固定座位的教室、阅览室、实验教室等教学用房，室内预留的轮椅回转空间，可作为临时的轮椅停放空间。</w:t>
      </w:r>
    </w:p>
    <w:p>
      <w:pPr>
        <w:pStyle w:val="12"/>
        <w:numPr>
          <w:ilvl w:val="1"/>
          <w:numId w:val="194"/>
        </w:numPr>
        <w:tabs>
          <w:tab w:val="left" w:pos="4697"/>
        </w:tabs>
        <w:spacing w:before="0" w:after="0" w:line="269" w:lineRule="exact"/>
        <w:ind w:left="4696" w:right="199" w:hanging="4697"/>
        <w:jc w:val="left"/>
        <w:rPr>
          <w:rFonts w:hint="eastAsia" w:ascii="黑体" w:eastAsia="黑体"/>
          <w:sz w:val="21"/>
        </w:rPr>
      </w:pPr>
      <w:bookmarkStart w:id="951" w:name="III医疗建筑"/>
      <w:bookmarkEnd w:id="951"/>
      <w:bookmarkStart w:id="952" w:name="III医疗建筑"/>
      <w:bookmarkEnd w:id="952"/>
      <w:r>
        <w:rPr>
          <w:rFonts w:hint="eastAsia" w:ascii="黑体" w:eastAsia="黑体"/>
          <w:sz w:val="21"/>
        </w:rPr>
        <w:t>医疗建筑</w:t>
      </w:r>
    </w:p>
    <w:p>
      <w:pPr>
        <w:pStyle w:val="5"/>
        <w:spacing w:before="6"/>
        <w:rPr>
          <w:rFonts w:ascii="黑体"/>
          <w:sz w:val="15"/>
        </w:rPr>
      </w:pPr>
    </w:p>
    <w:p>
      <w:pPr>
        <w:pStyle w:val="5"/>
        <w:tabs>
          <w:tab w:val="left" w:pos="952"/>
        </w:tabs>
        <w:ind w:left="112"/>
      </w:pPr>
      <w:r>
        <w:rPr>
          <w:b/>
        </w:rPr>
        <w:t>8.3.14</w:t>
      </w:r>
      <w:r>
        <w:rPr>
          <w:b/>
        </w:rPr>
        <w:tab/>
      </w:r>
      <w:bookmarkStart w:id="953" w:name="8.3.14本条规定了病人、康复人员使用的医疗建筑的无障碍设施要求。"/>
      <w:bookmarkEnd w:id="953"/>
      <w:r>
        <w:t>本条规定了病人、康复人员使用的医疗建筑的无障碍设施要求。</w:t>
      </w:r>
    </w:p>
    <w:p>
      <w:pPr>
        <w:pStyle w:val="5"/>
        <w:spacing w:before="7"/>
        <w:rPr>
          <w:sz w:val="15"/>
        </w:rPr>
      </w:pPr>
    </w:p>
    <w:p>
      <w:pPr>
        <w:pStyle w:val="5"/>
        <w:tabs>
          <w:tab w:val="left" w:pos="959"/>
        </w:tabs>
        <w:spacing w:line="417" w:lineRule="auto"/>
        <w:ind w:left="112" w:right="312" w:firstLine="427"/>
      </w:pPr>
      <w:r>
        <w:t>5</w:t>
      </w:r>
      <w:r>
        <w:tab/>
      </w:r>
      <w:r>
        <w:rPr>
          <w:spacing w:val="-2"/>
        </w:rPr>
        <w:t xml:space="preserve">医疗建筑的室内通道应保证两辆轮椅并行交错的行走需求，最小净宽为 </w:t>
      </w:r>
      <w:r>
        <w:t>1.80</w:t>
      </w:r>
      <w:r>
        <w:rPr>
          <w:rFonts w:hint="eastAsia" w:ascii="仿宋" w:eastAsia="仿宋"/>
        </w:rPr>
        <w:t>m</w:t>
      </w:r>
      <w:r>
        <w:t>。有通行推床的要求时，应符合现行国家标准《综合医院建筑设计规范》</w:t>
      </w:r>
      <w:r>
        <w:rPr>
          <w:rFonts w:hint="eastAsia" w:ascii="仿宋" w:eastAsia="仿宋"/>
        </w:rPr>
        <w:t xml:space="preserve">GB </w:t>
      </w:r>
      <w:r>
        <w:t>51039</w:t>
      </w:r>
      <w:r>
        <w:rPr>
          <w:spacing w:val="-10"/>
        </w:rPr>
        <w:t xml:space="preserve"> 有关规定。</w:t>
      </w:r>
    </w:p>
    <w:p>
      <w:pPr>
        <w:pStyle w:val="12"/>
        <w:numPr>
          <w:ilvl w:val="0"/>
          <w:numId w:val="197"/>
        </w:numPr>
        <w:tabs>
          <w:tab w:val="left" w:pos="950"/>
          <w:tab w:val="left" w:pos="951"/>
        </w:tabs>
        <w:spacing w:before="0" w:after="0" w:line="417" w:lineRule="auto"/>
        <w:ind w:left="112" w:right="208" w:firstLine="427"/>
        <w:jc w:val="left"/>
        <w:rPr>
          <w:sz w:val="21"/>
        </w:rPr>
      </w:pPr>
      <w:r>
        <w:rPr>
          <w:spacing w:val="-1"/>
          <w:sz w:val="21"/>
        </w:rPr>
        <w:t>《无障碍设计规范》</w:t>
      </w:r>
      <w:r>
        <w:rPr>
          <w:sz w:val="21"/>
        </w:rPr>
        <w:t>GB</w:t>
      </w:r>
      <w:r>
        <w:rPr>
          <w:spacing w:val="-56"/>
          <w:sz w:val="21"/>
        </w:rPr>
        <w:t xml:space="preserve"> </w:t>
      </w:r>
      <w:r>
        <w:rPr>
          <w:sz w:val="21"/>
        </w:rPr>
        <w:t>50763-2012</w:t>
      </w:r>
      <w:r>
        <w:rPr>
          <w:spacing w:val="-36"/>
          <w:sz w:val="21"/>
        </w:rPr>
        <w:t xml:space="preserve"> 第 </w:t>
      </w:r>
      <w:r>
        <w:rPr>
          <w:sz w:val="21"/>
        </w:rPr>
        <w:t>8.4.2</w:t>
      </w:r>
      <w:r>
        <w:rPr>
          <w:spacing w:val="-27"/>
          <w:sz w:val="21"/>
        </w:rPr>
        <w:t xml:space="preserve"> 条第 </w:t>
      </w:r>
      <w:r>
        <w:rPr>
          <w:sz w:val="21"/>
        </w:rPr>
        <w:t>8</w:t>
      </w:r>
      <w:r>
        <w:rPr>
          <w:spacing w:val="-13"/>
          <w:sz w:val="21"/>
        </w:rPr>
        <w:t xml:space="preserve"> 款 “……各楼层至少有 </w:t>
      </w:r>
      <w:r>
        <w:rPr>
          <w:sz w:val="21"/>
        </w:rPr>
        <w:t>1</w:t>
      </w:r>
      <w:r>
        <w:rPr>
          <w:spacing w:val="-8"/>
          <w:sz w:val="21"/>
        </w:rPr>
        <w:t xml:space="preserve"> 处公共厕所应满足</w:t>
      </w:r>
      <w:r>
        <w:rPr>
          <w:spacing w:val="-19"/>
          <w:sz w:val="21"/>
        </w:rPr>
        <w:t xml:space="preserve">本规范第 </w:t>
      </w:r>
      <w:r>
        <w:rPr>
          <w:sz w:val="21"/>
        </w:rPr>
        <w:t>3.9.1</w:t>
      </w:r>
      <w:r>
        <w:rPr>
          <w:spacing w:val="-13"/>
          <w:sz w:val="21"/>
        </w:rPr>
        <w:t xml:space="preserve"> 条的有关规定或设置无障碍厕所……”调查表明无障碍卫生间更便于乘轮椅者使用。因此， </w:t>
      </w:r>
      <w:r>
        <w:rPr>
          <w:spacing w:val="-15"/>
          <w:sz w:val="21"/>
        </w:rPr>
        <w:t xml:space="preserve">本款规定条件允许时，每层尽可能设置至少 </w:t>
      </w:r>
      <w:r>
        <w:rPr>
          <w:sz w:val="21"/>
        </w:rPr>
        <w:t>1</w:t>
      </w:r>
      <w:r>
        <w:rPr>
          <w:spacing w:val="-8"/>
          <w:sz w:val="21"/>
        </w:rPr>
        <w:t xml:space="preserve"> 处无障碍卫生间。</w:t>
      </w:r>
    </w:p>
    <w:p>
      <w:pPr>
        <w:pStyle w:val="12"/>
        <w:numPr>
          <w:ilvl w:val="0"/>
          <w:numId w:val="197"/>
        </w:numPr>
        <w:tabs>
          <w:tab w:val="left" w:pos="960"/>
        </w:tabs>
        <w:spacing w:before="0" w:after="0" w:line="417" w:lineRule="auto"/>
        <w:ind w:left="112" w:right="312" w:firstLine="427"/>
        <w:jc w:val="both"/>
        <w:rPr>
          <w:sz w:val="21"/>
        </w:rPr>
      </w:pPr>
      <w:r>
        <w:rPr>
          <w:sz w:val="21"/>
        </w:rPr>
        <w:t>参照《深圳市公共场所母婴室设计规程》</w:t>
      </w:r>
      <w:r>
        <w:rPr>
          <w:rFonts w:hint="eastAsia" w:ascii="仿宋" w:hAnsi="仿宋" w:eastAsia="仿宋"/>
          <w:sz w:val="21"/>
        </w:rPr>
        <w:t>SJG</w:t>
      </w:r>
      <w:r>
        <w:rPr>
          <w:rFonts w:hint="eastAsia" w:ascii="仿宋" w:hAnsi="仿宋" w:eastAsia="仿宋"/>
          <w:spacing w:val="1"/>
          <w:sz w:val="21"/>
        </w:rPr>
        <w:t xml:space="preserve"> </w:t>
      </w:r>
      <w:r>
        <w:rPr>
          <w:sz w:val="21"/>
        </w:rPr>
        <w:t>54-2019</w:t>
      </w:r>
      <w:r>
        <w:rPr>
          <w:spacing w:val="-35"/>
          <w:sz w:val="21"/>
        </w:rPr>
        <w:t xml:space="preserve"> 第 </w:t>
      </w:r>
      <w:r>
        <w:rPr>
          <w:sz w:val="21"/>
        </w:rPr>
        <w:t>3.0.2</w:t>
      </w:r>
      <w:r>
        <w:rPr>
          <w:spacing w:val="-27"/>
          <w:sz w:val="21"/>
        </w:rPr>
        <w:t xml:space="preserve"> 条第 </w:t>
      </w:r>
      <w:r>
        <w:rPr>
          <w:sz w:val="21"/>
        </w:rPr>
        <w:t>2</w:t>
      </w:r>
      <w:r>
        <w:rPr>
          <w:spacing w:val="-7"/>
          <w:sz w:val="21"/>
        </w:rPr>
        <w:t xml:space="preserve"> 款“门诊部、一类社康中</w:t>
      </w:r>
      <w:r>
        <w:rPr>
          <w:spacing w:val="-13"/>
          <w:sz w:val="21"/>
        </w:rPr>
        <w:t xml:space="preserve">心等基础医疗卫生场所，应设置 </w:t>
      </w:r>
      <w:r>
        <w:rPr>
          <w:sz w:val="21"/>
        </w:rPr>
        <w:t>1</w:t>
      </w:r>
      <w:r>
        <w:rPr>
          <w:spacing w:val="-9"/>
          <w:sz w:val="21"/>
        </w:rPr>
        <w:t xml:space="preserve"> 处使用面积不小于 </w:t>
      </w:r>
      <w:r>
        <w:rPr>
          <w:sz w:val="21"/>
        </w:rPr>
        <w:t>6</w:t>
      </w:r>
      <w:r>
        <w:rPr>
          <w:spacing w:val="-11"/>
          <w:sz w:val="21"/>
        </w:rPr>
        <w:t xml:space="preserve"> ㎡的母婴室。”本款增加了医疗建筑内母婴室的设置要求。</w:t>
      </w:r>
    </w:p>
    <w:p>
      <w:pPr>
        <w:pStyle w:val="5"/>
        <w:spacing w:line="269" w:lineRule="exact"/>
        <w:ind w:left="540"/>
        <w:jc w:val="both"/>
      </w:pPr>
      <w:r>
        <w:t>11 导医系统可供视觉障碍者使用，并可以提供听觉障碍者需要的手语及文字提示服务。</w:t>
      </w:r>
    </w:p>
    <w:p>
      <w:pPr>
        <w:pStyle w:val="5"/>
        <w:spacing w:before="6"/>
        <w:rPr>
          <w:sz w:val="15"/>
        </w:rPr>
      </w:pPr>
    </w:p>
    <w:p>
      <w:pPr>
        <w:pStyle w:val="5"/>
        <w:tabs>
          <w:tab w:val="left" w:pos="952"/>
        </w:tabs>
        <w:ind w:left="112"/>
      </w:pPr>
      <w:r>
        <w:rPr>
          <w:b/>
        </w:rPr>
        <w:t>8.3.19</w:t>
      </w:r>
      <w:r>
        <w:rPr>
          <w:b/>
        </w:rPr>
        <w:tab/>
      </w:r>
      <w:bookmarkStart w:id="954" w:name="8.3.19内部工作人员使用的办公、科研、餐厅、食堂、太平间等用房亦应注重无障碍"/>
      <w:bookmarkEnd w:id="954"/>
      <w:r>
        <w:t>内部工作人员使用的办公、科研、餐厅、食堂、太平间等用房亦应注重无障碍出入口的设置。</w:t>
      </w:r>
    </w:p>
    <w:p>
      <w:pPr>
        <w:pStyle w:val="5"/>
        <w:spacing w:before="7"/>
        <w:rPr>
          <w:sz w:val="15"/>
        </w:rPr>
      </w:pPr>
    </w:p>
    <w:p>
      <w:pPr>
        <w:pStyle w:val="12"/>
        <w:numPr>
          <w:ilvl w:val="1"/>
          <w:numId w:val="194"/>
        </w:numPr>
        <w:tabs>
          <w:tab w:val="left" w:pos="4119"/>
        </w:tabs>
        <w:spacing w:before="0" w:after="0" w:line="240" w:lineRule="auto"/>
        <w:ind w:left="4118" w:right="199" w:hanging="4119"/>
        <w:jc w:val="left"/>
        <w:rPr>
          <w:rFonts w:hint="eastAsia" w:ascii="黑体" w:eastAsia="黑体"/>
          <w:sz w:val="21"/>
        </w:rPr>
      </w:pPr>
      <w:bookmarkStart w:id="955" w:name="IV福利及特殊服务建筑"/>
      <w:bookmarkEnd w:id="955"/>
      <w:bookmarkStart w:id="956" w:name="IV福利及特殊服务建筑"/>
      <w:bookmarkEnd w:id="956"/>
      <w:r>
        <w:rPr>
          <w:rFonts w:hint="eastAsia" w:ascii="黑体" w:eastAsia="黑体"/>
          <w:sz w:val="21"/>
        </w:rPr>
        <w:t>福利及特殊服务建筑</w:t>
      </w:r>
    </w:p>
    <w:p>
      <w:pPr>
        <w:pStyle w:val="5"/>
        <w:spacing w:before="6"/>
        <w:rPr>
          <w:rFonts w:ascii="黑体"/>
          <w:sz w:val="15"/>
        </w:rPr>
      </w:pPr>
    </w:p>
    <w:p>
      <w:pPr>
        <w:pStyle w:val="12"/>
        <w:numPr>
          <w:ilvl w:val="2"/>
          <w:numId w:val="198"/>
        </w:numPr>
        <w:tabs>
          <w:tab w:val="left" w:pos="953"/>
        </w:tabs>
        <w:spacing w:before="1" w:after="0" w:line="240" w:lineRule="auto"/>
        <w:ind w:left="952" w:right="0" w:hanging="841"/>
        <w:jc w:val="both"/>
        <w:rPr>
          <w:sz w:val="21"/>
        </w:rPr>
      </w:pPr>
      <w:bookmarkStart w:id="957" w:name="8.3.21本条规定了福利及特殊服务建筑的无障碍设施要求。"/>
      <w:bookmarkEnd w:id="957"/>
      <w:bookmarkStart w:id="958" w:name="8.3.21本条规定了福利及特殊服务建筑的无障碍设施要求。"/>
      <w:bookmarkEnd w:id="958"/>
      <w:r>
        <w:rPr>
          <w:sz w:val="21"/>
        </w:rPr>
        <w:t>本条规定了福利及特殊服务建筑的无障碍设施要求。</w:t>
      </w:r>
    </w:p>
    <w:p>
      <w:pPr>
        <w:pStyle w:val="5"/>
        <w:spacing w:before="6"/>
        <w:rPr>
          <w:sz w:val="15"/>
        </w:rPr>
      </w:pPr>
    </w:p>
    <w:p>
      <w:pPr>
        <w:pStyle w:val="5"/>
        <w:spacing w:line="417" w:lineRule="auto"/>
        <w:ind w:left="112" w:right="310" w:firstLine="427"/>
        <w:jc w:val="both"/>
      </w:pPr>
      <w:r>
        <w:t>3  《无障碍设计规范》</w:t>
      </w:r>
      <w:r>
        <w:rPr>
          <w:rFonts w:hint="eastAsia" w:ascii="仿宋" w:hAnsi="仿宋" w:eastAsia="仿宋"/>
        </w:rPr>
        <w:t xml:space="preserve">GB </w:t>
      </w:r>
      <w:r>
        <w:t>50763-2012</w:t>
      </w:r>
      <w:r>
        <w:rPr>
          <w:spacing w:val="-34"/>
        </w:rPr>
        <w:t xml:space="preserve"> 第 </w:t>
      </w:r>
      <w:r>
        <w:t>8.5.2</w:t>
      </w:r>
      <w:r>
        <w:rPr>
          <w:spacing w:val="-26"/>
        </w:rPr>
        <w:t xml:space="preserve"> 条第 </w:t>
      </w:r>
      <w:r>
        <w:t>3</w:t>
      </w:r>
      <w:r>
        <w:rPr>
          <w:spacing w:val="-8"/>
        </w:rPr>
        <w:t xml:space="preserve"> 款“福利及特殊服务建筑首层主要出入口应</w:t>
      </w:r>
      <w:r>
        <w:rPr>
          <w:spacing w:val="-8"/>
          <w:w w:val="95"/>
        </w:rPr>
        <w:t xml:space="preserve">为无障碍出入口，宜设置为平坡出入口。”福利及特殊服务建筑服务对象多为孤残儿童、弃婴、无人照顾   </w:t>
      </w:r>
      <w:r>
        <w:rPr>
          <w:spacing w:val="-7"/>
          <w:w w:val="95"/>
        </w:rPr>
        <w:t xml:space="preserve">的未成年儿童、自理有困难或完全不能自理的孤残人员和老年人。采用平坡出入口，通行可更加便捷、安   </w:t>
      </w:r>
      <w:r>
        <w:rPr>
          <w:spacing w:val="-7"/>
        </w:rPr>
        <w:t>全。因此，本款规定福利及特殊服务建筑主要出入口应为平坡出入口，其他出入口宜为无障碍出入口。</w:t>
      </w:r>
    </w:p>
    <w:p>
      <w:pPr>
        <w:pStyle w:val="5"/>
        <w:spacing w:line="268" w:lineRule="exact"/>
        <w:ind w:left="540"/>
        <w:jc w:val="both"/>
      </w:pPr>
      <w:r>
        <w:t>5 福利及特殊服务建筑的室内通道应保证两辆轮椅并行交错的行走需求，最小净宽为 1.80</w:t>
      </w:r>
      <w:r>
        <w:rPr>
          <w:rFonts w:hint="eastAsia" w:ascii="仿宋" w:eastAsia="仿宋"/>
        </w:rPr>
        <w:t>m</w:t>
      </w:r>
      <w:r>
        <w:t>。</w:t>
      </w:r>
    </w:p>
    <w:p>
      <w:pPr>
        <w:pStyle w:val="5"/>
        <w:spacing w:before="7"/>
        <w:rPr>
          <w:sz w:val="15"/>
        </w:rPr>
      </w:pPr>
    </w:p>
    <w:p>
      <w:pPr>
        <w:pStyle w:val="5"/>
        <w:spacing w:line="417" w:lineRule="auto"/>
        <w:ind w:left="112" w:right="315" w:firstLine="427"/>
        <w:jc w:val="both"/>
      </w:pPr>
      <w:r>
        <w:t>8</w:t>
      </w:r>
      <w:r>
        <w:rPr>
          <w:spacing w:val="-2"/>
        </w:rPr>
        <w:t xml:space="preserve"> 居住内外门、走道的净宽要考虑轮椅和担架床的通行。根据相关规范与标准，养老建筑和儿童福</w:t>
      </w:r>
      <w:r>
        <w:rPr>
          <w:spacing w:val="-1"/>
          <w:w w:val="99"/>
        </w:rPr>
        <w:t>利院的生活用房的使用面积，宜大于</w:t>
      </w:r>
      <w:r>
        <w:rPr>
          <w:spacing w:val="-1"/>
        </w:rPr>
        <w:t xml:space="preserve"> </w:t>
      </w:r>
      <w:r>
        <w:rPr>
          <w:spacing w:val="1"/>
          <w:w w:val="99"/>
        </w:rPr>
        <w:t>1</w:t>
      </w:r>
      <w:r>
        <w:rPr>
          <w:w w:val="99"/>
        </w:rPr>
        <w:t>0</w:t>
      </w:r>
      <w:r>
        <w:t xml:space="preserve"> </w:t>
      </w:r>
      <w:r>
        <w:rPr>
          <w:rFonts w:hint="eastAsia" w:ascii="仿宋" w:eastAsia="仿宋"/>
          <w:spacing w:val="1"/>
          <w:w w:val="99"/>
        </w:rPr>
        <w:t>m</w:t>
      </w:r>
      <w:r>
        <w:rPr>
          <w:spacing w:val="-1"/>
          <w:w w:val="106"/>
          <w:position w:val="11"/>
          <w:sz w:val="10"/>
        </w:rPr>
        <w:t>2</w:t>
      </w:r>
      <w:r>
        <w:rPr>
          <w:spacing w:val="-1"/>
          <w:w w:val="99"/>
        </w:rPr>
        <w:t>，短边净尺寸宜大于</w:t>
      </w:r>
      <w:r>
        <w:rPr>
          <w:spacing w:val="-53"/>
        </w:rPr>
        <w:t xml:space="preserve"> </w:t>
      </w:r>
      <w:r>
        <w:rPr>
          <w:spacing w:val="1"/>
          <w:w w:val="99"/>
        </w:rPr>
        <w:t>3m</w:t>
      </w:r>
      <w:r>
        <w:rPr>
          <w:w w:val="99"/>
        </w:rPr>
        <w:t>。</w:t>
      </w:r>
    </w:p>
    <w:p>
      <w:pPr>
        <w:pStyle w:val="12"/>
        <w:numPr>
          <w:ilvl w:val="0"/>
          <w:numId w:val="199"/>
        </w:numPr>
        <w:tabs>
          <w:tab w:val="left" w:pos="1056"/>
        </w:tabs>
        <w:spacing w:before="0" w:after="0" w:line="417" w:lineRule="auto"/>
        <w:ind w:left="112" w:right="310" w:firstLine="427"/>
        <w:jc w:val="both"/>
        <w:rPr>
          <w:sz w:val="21"/>
        </w:rPr>
      </w:pPr>
      <w:r>
        <w:rPr>
          <w:spacing w:val="-2"/>
          <w:sz w:val="21"/>
        </w:rPr>
        <w:t>《无障碍设计规范》</w:t>
      </w:r>
      <w:r>
        <w:rPr>
          <w:sz w:val="21"/>
        </w:rPr>
        <w:t>GB</w:t>
      </w:r>
      <w:r>
        <w:rPr>
          <w:spacing w:val="-54"/>
          <w:sz w:val="21"/>
        </w:rPr>
        <w:t xml:space="preserve"> </w:t>
      </w:r>
      <w:r>
        <w:rPr>
          <w:sz w:val="21"/>
        </w:rPr>
        <w:t>50763-2012</w:t>
      </w:r>
      <w:r>
        <w:rPr>
          <w:spacing w:val="-37"/>
          <w:sz w:val="21"/>
        </w:rPr>
        <w:t xml:space="preserve"> 第 </w:t>
      </w:r>
      <w:r>
        <w:rPr>
          <w:sz w:val="21"/>
        </w:rPr>
        <w:t>8.5.2</w:t>
      </w:r>
      <w:r>
        <w:rPr>
          <w:spacing w:val="-28"/>
          <w:sz w:val="21"/>
        </w:rPr>
        <w:t xml:space="preserve"> 条第 </w:t>
      </w:r>
      <w:r>
        <w:rPr>
          <w:sz w:val="21"/>
        </w:rPr>
        <w:t>10</w:t>
      </w:r>
      <w:r>
        <w:rPr>
          <w:spacing w:val="-9"/>
          <w:sz w:val="21"/>
        </w:rPr>
        <w:t xml:space="preserve"> 款 “……居室外的公共厕所应满足本规范</w:t>
      </w:r>
      <w:r>
        <w:rPr>
          <w:spacing w:val="-34"/>
          <w:sz w:val="21"/>
        </w:rPr>
        <w:t xml:space="preserve">第 </w:t>
      </w:r>
      <w:r>
        <w:rPr>
          <w:sz w:val="21"/>
        </w:rPr>
        <w:t>3.9.1</w:t>
      </w:r>
      <w:r>
        <w:rPr>
          <w:spacing w:val="-8"/>
          <w:sz w:val="21"/>
        </w:rPr>
        <w:t xml:space="preserve"> 条的有关规定或设置无障碍厕所……”调查表明无障碍卫生间更便于乘轮椅者使用。因此，本款</w:t>
      </w:r>
    </w:p>
    <w:p>
      <w:pPr>
        <w:spacing w:after="0" w:line="417" w:lineRule="auto"/>
        <w:jc w:val="both"/>
        <w:rPr>
          <w:sz w:val="21"/>
        </w:rPr>
        <w:sectPr>
          <w:pgSz w:w="11910" w:h="16840"/>
          <w:pgMar w:top="1580" w:right="820" w:bottom="1420" w:left="1020" w:header="0" w:footer="1232" w:gutter="0"/>
          <w:cols w:space="720" w:num="1"/>
        </w:sectPr>
      </w:pPr>
    </w:p>
    <w:p>
      <w:pPr>
        <w:pStyle w:val="5"/>
        <w:spacing w:before="60"/>
        <w:ind w:left="112"/>
      </w:pPr>
      <w:r>
        <w:t>规定条件允许时，居室外尽可能设置无障碍卫生间。</w:t>
      </w:r>
    </w:p>
    <w:p>
      <w:pPr>
        <w:pStyle w:val="5"/>
        <w:spacing w:before="6"/>
        <w:rPr>
          <w:sz w:val="15"/>
        </w:rPr>
      </w:pPr>
    </w:p>
    <w:p>
      <w:pPr>
        <w:pStyle w:val="12"/>
        <w:numPr>
          <w:ilvl w:val="0"/>
          <w:numId w:val="199"/>
        </w:numPr>
        <w:tabs>
          <w:tab w:val="left" w:pos="1063"/>
          <w:tab w:val="left" w:pos="1064"/>
        </w:tabs>
        <w:spacing w:before="1" w:after="0" w:line="240" w:lineRule="auto"/>
        <w:ind w:left="1063" w:right="0" w:hanging="524"/>
        <w:jc w:val="left"/>
        <w:rPr>
          <w:sz w:val="21"/>
        </w:rPr>
      </w:pPr>
      <w:r>
        <w:rPr>
          <w:sz w:val="21"/>
        </w:rPr>
        <w:t>智能显示屏可提供视觉、听觉信息，便于听觉障碍者、视力障碍者的使用。</w:t>
      </w:r>
    </w:p>
    <w:p>
      <w:pPr>
        <w:pStyle w:val="5"/>
        <w:spacing w:before="6"/>
        <w:rPr>
          <w:sz w:val="15"/>
        </w:rPr>
      </w:pPr>
    </w:p>
    <w:p>
      <w:pPr>
        <w:pStyle w:val="12"/>
        <w:numPr>
          <w:ilvl w:val="2"/>
          <w:numId w:val="198"/>
        </w:numPr>
        <w:tabs>
          <w:tab w:val="left" w:pos="952"/>
          <w:tab w:val="left" w:pos="953"/>
        </w:tabs>
        <w:spacing w:before="0" w:after="0" w:line="417" w:lineRule="auto"/>
        <w:ind w:left="112" w:right="208" w:firstLine="0"/>
        <w:jc w:val="left"/>
        <w:rPr>
          <w:sz w:val="21"/>
        </w:rPr>
      </w:pPr>
      <w:bookmarkStart w:id="959" w:name="8.3.22不同建筑类别的特殊设计要求，应按各自实际情况，符合《老年人建筑设计规"/>
      <w:bookmarkEnd w:id="959"/>
      <w:bookmarkStart w:id="960" w:name="8.3.22不同建筑类别的特殊设计要求，应按各自实际情况，符合《老年人建筑设计规"/>
      <w:bookmarkEnd w:id="960"/>
      <w:r>
        <w:rPr>
          <w:spacing w:val="-4"/>
          <w:sz w:val="21"/>
        </w:rPr>
        <w:t>不同建筑类别的特殊设计要求，应按各自实际情况，符合《老年人建筑设计规范》</w:t>
      </w:r>
      <w:r>
        <w:rPr>
          <w:rFonts w:hint="eastAsia" w:ascii="仿宋" w:eastAsia="仿宋"/>
          <w:sz w:val="21"/>
        </w:rPr>
        <w:t>JGJ</w:t>
      </w:r>
      <w:r>
        <w:rPr>
          <w:rFonts w:hint="eastAsia" w:ascii="仿宋" w:eastAsia="仿宋"/>
          <w:spacing w:val="-62"/>
          <w:sz w:val="21"/>
        </w:rPr>
        <w:t xml:space="preserve"> </w:t>
      </w:r>
      <w:r>
        <w:rPr>
          <w:sz w:val="21"/>
        </w:rPr>
        <w:t>122</w:t>
      </w:r>
      <w:r>
        <w:rPr>
          <w:spacing w:val="-9"/>
          <w:sz w:val="21"/>
        </w:rPr>
        <w:t>、《老年人照料设施建筑设计标准》</w:t>
      </w:r>
      <w:r>
        <w:rPr>
          <w:rFonts w:hint="eastAsia" w:ascii="仿宋" w:eastAsia="仿宋"/>
          <w:spacing w:val="-9"/>
          <w:sz w:val="21"/>
        </w:rPr>
        <w:t>JGJ</w:t>
      </w:r>
      <w:r>
        <w:rPr>
          <w:rFonts w:hint="eastAsia" w:ascii="仿宋" w:eastAsia="仿宋"/>
          <w:spacing w:val="-30"/>
          <w:sz w:val="21"/>
        </w:rPr>
        <w:t xml:space="preserve"> </w:t>
      </w:r>
      <w:r>
        <w:rPr>
          <w:sz w:val="21"/>
        </w:rPr>
        <w:t>450</w:t>
      </w:r>
      <w:r>
        <w:rPr>
          <w:spacing w:val="-8"/>
          <w:sz w:val="21"/>
        </w:rPr>
        <w:t xml:space="preserve"> 和《儿童福利院建设标准》</w:t>
      </w:r>
      <w:r>
        <w:rPr>
          <w:sz w:val="21"/>
        </w:rPr>
        <w:t>（</w:t>
      </w:r>
      <w:r>
        <w:rPr>
          <w:spacing w:val="-20"/>
          <w:sz w:val="21"/>
        </w:rPr>
        <w:t xml:space="preserve">建标 </w:t>
      </w:r>
      <w:r>
        <w:rPr>
          <w:sz w:val="21"/>
        </w:rPr>
        <w:t>145）、《老年养护院建设标准》</w:t>
      </w:r>
    </w:p>
    <w:p>
      <w:pPr>
        <w:pStyle w:val="5"/>
        <w:spacing w:line="269" w:lineRule="exact"/>
        <w:ind w:left="112"/>
      </w:pPr>
      <w:r>
        <w:t>（建标 144）及《社区老年人日间照料中心建设标准》（建标 143）等有关规定。</w:t>
      </w:r>
    </w:p>
    <w:p>
      <w:pPr>
        <w:pStyle w:val="5"/>
        <w:spacing w:before="7"/>
        <w:rPr>
          <w:sz w:val="15"/>
        </w:rPr>
      </w:pPr>
    </w:p>
    <w:p>
      <w:pPr>
        <w:pStyle w:val="12"/>
        <w:numPr>
          <w:ilvl w:val="1"/>
          <w:numId w:val="194"/>
        </w:numPr>
        <w:tabs>
          <w:tab w:val="left" w:pos="4592"/>
        </w:tabs>
        <w:spacing w:before="0" w:after="0" w:line="240" w:lineRule="auto"/>
        <w:ind w:left="4591" w:right="202" w:hanging="4592"/>
        <w:jc w:val="left"/>
        <w:rPr>
          <w:rFonts w:hint="eastAsia" w:ascii="黑体" w:eastAsia="黑体"/>
          <w:sz w:val="21"/>
        </w:rPr>
      </w:pPr>
      <w:bookmarkStart w:id="961" w:name="V体育建筑"/>
      <w:bookmarkEnd w:id="961"/>
      <w:bookmarkStart w:id="962" w:name="V体育建筑"/>
      <w:bookmarkEnd w:id="962"/>
      <w:r>
        <w:rPr>
          <w:rFonts w:hint="eastAsia" w:ascii="黑体" w:eastAsia="黑体"/>
          <w:sz w:val="21"/>
        </w:rPr>
        <w:t>体育建筑</w:t>
      </w:r>
    </w:p>
    <w:p>
      <w:pPr>
        <w:pStyle w:val="5"/>
        <w:spacing w:before="7"/>
        <w:rPr>
          <w:rFonts w:ascii="黑体"/>
          <w:sz w:val="15"/>
        </w:rPr>
      </w:pPr>
    </w:p>
    <w:p>
      <w:pPr>
        <w:pStyle w:val="12"/>
        <w:numPr>
          <w:ilvl w:val="2"/>
          <w:numId w:val="200"/>
        </w:numPr>
        <w:tabs>
          <w:tab w:val="left" w:pos="953"/>
        </w:tabs>
        <w:spacing w:before="0" w:after="0" w:line="240" w:lineRule="auto"/>
        <w:ind w:left="952" w:right="0" w:hanging="841"/>
        <w:jc w:val="both"/>
        <w:rPr>
          <w:sz w:val="21"/>
        </w:rPr>
      </w:pPr>
      <w:bookmarkStart w:id="963" w:name="8.3.24本条规定了体育建筑的无障碍设施要求。"/>
      <w:bookmarkEnd w:id="963"/>
      <w:bookmarkStart w:id="964" w:name="8.3.24本条规定了体育建筑的无障碍设施要求。"/>
      <w:bookmarkEnd w:id="964"/>
      <w:r>
        <w:rPr>
          <w:sz w:val="21"/>
        </w:rPr>
        <w:t>本条规定了体育建筑的无障碍设施要求。</w:t>
      </w:r>
    </w:p>
    <w:p>
      <w:pPr>
        <w:pStyle w:val="5"/>
        <w:spacing w:before="6"/>
        <w:rPr>
          <w:sz w:val="15"/>
        </w:rPr>
      </w:pPr>
    </w:p>
    <w:p>
      <w:pPr>
        <w:pStyle w:val="5"/>
        <w:spacing w:before="1" w:line="417" w:lineRule="auto"/>
        <w:ind w:left="112" w:right="310" w:firstLine="427"/>
        <w:jc w:val="both"/>
      </w:pPr>
      <w:r>
        <w:rPr>
          <w:spacing w:val="-4"/>
          <w:w w:val="95"/>
        </w:rPr>
        <w:t xml:space="preserve">体育建筑根据使用要求分特级、甲级、乙级、丙级四个等级标准、根据规模大小分特大型、大型、中   </w:t>
      </w:r>
      <w:r>
        <w:rPr>
          <w:spacing w:val="9"/>
          <w:w w:val="95"/>
        </w:rPr>
        <w:t>型、小型四种规模类型，等级标准与规模分类之间有一定的对应关系，本条与《无障碍设计规范》</w:t>
      </w:r>
      <w:r>
        <w:rPr>
          <w:rFonts w:hint="eastAsia" w:ascii="仿宋" w:eastAsia="仿宋"/>
          <w:w w:val="95"/>
        </w:rPr>
        <w:t xml:space="preserve">GB </w:t>
      </w:r>
      <w:r>
        <w:t>50763-2012</w:t>
      </w:r>
      <w:r>
        <w:rPr>
          <w:spacing w:val="-8"/>
        </w:rPr>
        <w:t xml:space="preserve"> 一致，采用等级标准方法进行相关条款规定。</w:t>
      </w:r>
    </w:p>
    <w:p>
      <w:pPr>
        <w:pStyle w:val="5"/>
        <w:spacing w:line="417" w:lineRule="auto"/>
        <w:ind w:left="112" w:right="310" w:firstLine="427"/>
        <w:jc w:val="both"/>
      </w:pPr>
      <w:r>
        <w:rPr>
          <w:spacing w:val="-2"/>
          <w:w w:val="95"/>
        </w:rPr>
        <w:t xml:space="preserve">特级及甲级体育建筑主要举办世界级及全国性的体育比赛，对无障碍设施提出了更高的要求，因此在   </w:t>
      </w:r>
      <w:r>
        <w:rPr>
          <w:spacing w:val="-5"/>
          <w:w w:val="95"/>
        </w:rPr>
        <w:t xml:space="preserve">无障碍机动车停车位、电梯及卫生间等的要求上也更加严格。乙级及丙级体育建筑主要举办地方性、群众   </w:t>
      </w:r>
      <w:r>
        <w:rPr>
          <w:spacing w:val="-5"/>
        </w:rPr>
        <w:t>性的体育活动，也要满足最基本的无障碍设计要求。</w:t>
      </w:r>
    </w:p>
    <w:p>
      <w:pPr>
        <w:pStyle w:val="12"/>
        <w:numPr>
          <w:ilvl w:val="0"/>
          <w:numId w:val="201"/>
        </w:numPr>
        <w:tabs>
          <w:tab w:val="left" w:pos="952"/>
          <w:tab w:val="left" w:pos="953"/>
        </w:tabs>
        <w:spacing w:before="0" w:after="0" w:line="269" w:lineRule="exact"/>
        <w:ind w:left="952" w:right="0" w:hanging="421"/>
        <w:jc w:val="left"/>
        <w:rPr>
          <w:sz w:val="21"/>
        </w:rPr>
      </w:pPr>
      <w:r>
        <w:rPr>
          <w:sz w:val="21"/>
        </w:rPr>
        <w:t>竞赛管理区、新闻媒体区、场馆运营区等宜根据需要设置无障碍出入口。</w:t>
      </w:r>
    </w:p>
    <w:p>
      <w:pPr>
        <w:pStyle w:val="5"/>
        <w:spacing w:before="6"/>
        <w:rPr>
          <w:sz w:val="15"/>
        </w:rPr>
      </w:pPr>
    </w:p>
    <w:p>
      <w:pPr>
        <w:pStyle w:val="12"/>
        <w:numPr>
          <w:ilvl w:val="0"/>
          <w:numId w:val="201"/>
        </w:numPr>
        <w:tabs>
          <w:tab w:val="left" w:pos="849"/>
          <w:tab w:val="left" w:pos="850"/>
        </w:tabs>
        <w:spacing w:before="0" w:after="0" w:line="417" w:lineRule="auto"/>
        <w:ind w:left="112" w:right="103" w:firstLine="420"/>
        <w:jc w:val="left"/>
        <w:rPr>
          <w:sz w:val="21"/>
        </w:rPr>
      </w:pPr>
      <w:r>
        <w:rPr>
          <w:spacing w:val="-12"/>
          <w:sz w:val="21"/>
        </w:rPr>
        <w:t>《无障碍设计规范》</w:t>
      </w:r>
      <w:r>
        <w:rPr>
          <w:rFonts w:hint="eastAsia" w:ascii="仿宋" w:hAnsi="仿宋" w:eastAsia="仿宋"/>
          <w:sz w:val="21"/>
        </w:rPr>
        <w:t>GB</w:t>
      </w:r>
      <w:r>
        <w:rPr>
          <w:rFonts w:hint="eastAsia" w:ascii="仿宋" w:hAnsi="仿宋" w:eastAsia="仿宋"/>
          <w:spacing w:val="-58"/>
          <w:sz w:val="21"/>
        </w:rPr>
        <w:t xml:space="preserve"> </w:t>
      </w:r>
      <w:r>
        <w:rPr>
          <w:sz w:val="21"/>
        </w:rPr>
        <w:t>50763-2012</w:t>
      </w:r>
      <w:r>
        <w:rPr>
          <w:spacing w:val="-20"/>
          <w:sz w:val="21"/>
        </w:rPr>
        <w:t xml:space="preserve"> 第</w:t>
      </w:r>
      <w:r>
        <w:rPr>
          <w:sz w:val="21"/>
        </w:rPr>
        <w:t>8.6.2</w:t>
      </w:r>
      <w:r>
        <w:rPr>
          <w:spacing w:val="-15"/>
          <w:sz w:val="21"/>
        </w:rPr>
        <w:t xml:space="preserve"> 条第</w:t>
      </w:r>
      <w:r>
        <w:rPr>
          <w:sz w:val="21"/>
        </w:rPr>
        <w:t>3</w:t>
      </w:r>
      <w:r>
        <w:rPr>
          <w:spacing w:val="-15"/>
          <w:sz w:val="21"/>
        </w:rPr>
        <w:t xml:space="preserve"> 款“……通道长度大于</w:t>
      </w:r>
      <w:r>
        <w:rPr>
          <w:sz w:val="21"/>
        </w:rPr>
        <w:t>60.00</w:t>
      </w:r>
      <w:r>
        <w:rPr>
          <w:rFonts w:hint="eastAsia" w:ascii="仿宋" w:hAnsi="仿宋" w:eastAsia="仿宋"/>
          <w:sz w:val="21"/>
        </w:rPr>
        <w:t>m</w:t>
      </w:r>
      <w:r>
        <w:rPr>
          <w:rFonts w:hint="eastAsia" w:ascii="仿宋" w:hAnsi="仿宋" w:eastAsia="仿宋"/>
          <w:spacing w:val="-75"/>
          <w:sz w:val="21"/>
        </w:rPr>
        <w:t xml:space="preserve"> </w:t>
      </w:r>
      <w:r>
        <w:rPr>
          <w:sz w:val="21"/>
        </w:rPr>
        <w:t>时宜设休息区……” 参照爱尔兰通用设计标准《</w:t>
      </w:r>
      <w:r>
        <w:rPr>
          <w:rFonts w:hint="eastAsia" w:ascii="仿宋" w:hAnsi="仿宋" w:eastAsia="仿宋"/>
          <w:sz w:val="21"/>
        </w:rPr>
        <w:t>Building</w:t>
      </w:r>
      <w:r>
        <w:rPr>
          <w:rFonts w:hint="eastAsia" w:ascii="仿宋" w:hAnsi="仿宋" w:eastAsia="仿宋"/>
          <w:spacing w:val="-3"/>
          <w:sz w:val="21"/>
        </w:rPr>
        <w:t xml:space="preserve"> </w:t>
      </w:r>
      <w:r>
        <w:rPr>
          <w:rFonts w:hint="eastAsia" w:ascii="仿宋" w:hAnsi="仿宋" w:eastAsia="仿宋"/>
          <w:sz w:val="21"/>
        </w:rPr>
        <w:t>for</w:t>
      </w:r>
      <w:r>
        <w:rPr>
          <w:rFonts w:hint="eastAsia" w:ascii="仿宋" w:hAnsi="仿宋" w:eastAsia="仿宋"/>
          <w:spacing w:val="-4"/>
          <w:sz w:val="21"/>
        </w:rPr>
        <w:t xml:space="preserve"> </w:t>
      </w:r>
      <w:r>
        <w:rPr>
          <w:rFonts w:hint="eastAsia" w:ascii="仿宋" w:hAnsi="仿宋" w:eastAsia="仿宋"/>
          <w:sz w:val="21"/>
        </w:rPr>
        <w:t>Everyone</w:t>
      </w:r>
      <w:r>
        <w:rPr>
          <w:sz w:val="21"/>
        </w:rPr>
        <w:t xml:space="preserve">: </w:t>
      </w:r>
      <w:r>
        <w:rPr>
          <w:rFonts w:hint="eastAsia" w:ascii="仿宋" w:hAnsi="仿宋" w:eastAsia="仿宋"/>
          <w:sz w:val="21"/>
        </w:rPr>
        <w:t>A</w:t>
      </w:r>
      <w:r>
        <w:rPr>
          <w:rFonts w:hint="eastAsia" w:ascii="仿宋" w:hAnsi="仿宋" w:eastAsia="仿宋"/>
          <w:spacing w:val="-4"/>
          <w:sz w:val="21"/>
        </w:rPr>
        <w:t xml:space="preserve"> </w:t>
      </w:r>
      <w:r>
        <w:rPr>
          <w:rFonts w:hint="eastAsia" w:ascii="仿宋" w:hAnsi="仿宋" w:eastAsia="仿宋"/>
          <w:sz w:val="21"/>
        </w:rPr>
        <w:t>Universal</w:t>
      </w:r>
      <w:r>
        <w:rPr>
          <w:rFonts w:hint="eastAsia" w:ascii="仿宋" w:hAnsi="仿宋" w:eastAsia="仿宋"/>
          <w:spacing w:val="-2"/>
          <w:sz w:val="21"/>
        </w:rPr>
        <w:t xml:space="preserve"> </w:t>
      </w:r>
      <w:r>
        <w:rPr>
          <w:rFonts w:hint="eastAsia" w:ascii="仿宋" w:hAnsi="仿宋" w:eastAsia="仿宋"/>
          <w:sz w:val="21"/>
        </w:rPr>
        <w:t>Design</w:t>
      </w:r>
      <w:r>
        <w:rPr>
          <w:rFonts w:hint="eastAsia" w:ascii="仿宋" w:hAnsi="仿宋" w:eastAsia="仿宋"/>
          <w:spacing w:val="-2"/>
          <w:sz w:val="21"/>
        </w:rPr>
        <w:t xml:space="preserve"> </w:t>
      </w:r>
      <w:r>
        <w:rPr>
          <w:rFonts w:hint="eastAsia" w:ascii="仿宋" w:hAnsi="仿宋" w:eastAsia="仿宋"/>
          <w:sz w:val="21"/>
        </w:rPr>
        <w:t>Approach</w:t>
      </w:r>
      <w:r>
        <w:rPr>
          <w:sz w:val="21"/>
        </w:rPr>
        <w:t xml:space="preserve">》中拐杖使用者单次 </w:t>
      </w:r>
      <w:r>
        <w:rPr>
          <w:spacing w:val="-7"/>
          <w:sz w:val="21"/>
        </w:rPr>
        <w:t xml:space="preserve">步行最大距离为 </w:t>
      </w:r>
      <w:r>
        <w:rPr>
          <w:sz w:val="21"/>
        </w:rPr>
        <w:t>50.00</w:t>
      </w:r>
      <w:r>
        <w:rPr>
          <w:rFonts w:hint="eastAsia" w:ascii="仿宋" w:hAnsi="仿宋" w:eastAsia="仿宋"/>
          <w:sz w:val="21"/>
        </w:rPr>
        <w:t>m</w:t>
      </w:r>
      <w:r>
        <w:rPr>
          <w:spacing w:val="-5"/>
          <w:sz w:val="21"/>
        </w:rPr>
        <w:t xml:space="preserve">，本款规定通道长度大于 </w:t>
      </w:r>
      <w:r>
        <w:rPr>
          <w:sz w:val="21"/>
        </w:rPr>
        <w:t>50.00</w:t>
      </w:r>
      <w:r>
        <w:rPr>
          <w:rFonts w:hint="eastAsia" w:ascii="仿宋" w:hAnsi="仿宋" w:eastAsia="仿宋"/>
          <w:sz w:val="21"/>
        </w:rPr>
        <w:t>m</w:t>
      </w:r>
      <w:r>
        <w:rPr>
          <w:rFonts w:hint="eastAsia" w:ascii="仿宋" w:hAnsi="仿宋" w:eastAsia="仿宋"/>
          <w:spacing w:val="-52"/>
          <w:sz w:val="21"/>
        </w:rPr>
        <w:t xml:space="preserve"> </w:t>
      </w:r>
      <w:r>
        <w:rPr>
          <w:sz w:val="21"/>
        </w:rPr>
        <w:t>时宜设置无障碍休息区。</w:t>
      </w:r>
    </w:p>
    <w:p>
      <w:pPr>
        <w:pStyle w:val="5"/>
        <w:tabs>
          <w:tab w:val="left" w:pos="959"/>
        </w:tabs>
        <w:spacing w:line="417" w:lineRule="auto"/>
        <w:ind w:left="112" w:right="204" w:firstLine="427"/>
      </w:pPr>
      <w:r>
        <w:t>7</w:t>
      </w:r>
      <w:r>
        <w:tab/>
      </w:r>
      <w:r>
        <w:t>《无障碍设计规范》</w:t>
      </w:r>
      <w:r>
        <w:rPr>
          <w:rFonts w:hint="eastAsia" w:ascii="仿宋" w:hAnsi="仿宋" w:eastAsia="仿宋"/>
        </w:rPr>
        <w:t xml:space="preserve">GB </w:t>
      </w:r>
      <w:r>
        <w:t>50763-2012</w:t>
      </w:r>
      <w:r>
        <w:rPr>
          <w:spacing w:val="-34"/>
        </w:rPr>
        <w:t xml:space="preserve"> 第 </w:t>
      </w:r>
      <w:r>
        <w:t>8.6.2</w:t>
      </w:r>
      <w:r>
        <w:rPr>
          <w:spacing w:val="-26"/>
        </w:rPr>
        <w:t xml:space="preserve"> 条第 </w:t>
      </w:r>
      <w:r>
        <w:t>7</w:t>
      </w:r>
      <w:r>
        <w:rPr>
          <w:spacing w:val="-8"/>
        </w:rPr>
        <w:t xml:space="preserve"> 款“特级、甲级场馆每处观众区和运动员区</w:t>
      </w:r>
      <w:r>
        <w:rPr>
          <w:spacing w:val="-10"/>
        </w:rPr>
        <w:t xml:space="preserve">使用的男、女公共厕所均应满足本规范第 </w:t>
      </w:r>
      <w:r>
        <w:t>3.9.1</w:t>
      </w:r>
      <w:r>
        <w:rPr>
          <w:spacing w:val="-11"/>
        </w:rPr>
        <w:t xml:space="preserve"> 条的有关规定或在每处男、女公共厕所附近设置 </w:t>
      </w:r>
      <w:r>
        <w:t>1</w:t>
      </w:r>
      <w:r>
        <w:rPr>
          <w:spacing w:val="-15"/>
        </w:rPr>
        <w:t xml:space="preserve"> 个无障</w:t>
      </w:r>
      <w:r>
        <w:rPr>
          <w:spacing w:val="-13"/>
        </w:rPr>
        <w:t xml:space="preserve">碍厕所……乙级、丙级场馆的观众区和运动员区各至少有 </w:t>
      </w:r>
      <w:r>
        <w:t>1</w:t>
      </w:r>
      <w:r>
        <w:rPr>
          <w:spacing w:val="-12"/>
        </w:rPr>
        <w:t xml:space="preserve"> 处男、女公共厕所应满足本规范 </w:t>
      </w:r>
      <w:r>
        <w:t>3.9.1</w:t>
      </w:r>
      <w:r>
        <w:rPr>
          <w:spacing w:val="-15"/>
        </w:rPr>
        <w:t xml:space="preserve"> 条的有</w:t>
      </w:r>
      <w:r>
        <w:rPr>
          <w:spacing w:val="-16"/>
        </w:rPr>
        <w:t xml:space="preserve">关规定或各在男、女公共厕所附近设置 </w:t>
      </w:r>
      <w:r>
        <w:t>1</w:t>
      </w:r>
      <w:r>
        <w:rPr>
          <w:spacing w:val="-13"/>
        </w:rPr>
        <w:t xml:space="preserve"> 个无障碍厕所。”据调查表明无障碍卫生间更便于乘轮椅者使用。</w:t>
      </w:r>
      <w:r>
        <w:rPr>
          <w:spacing w:val="-8"/>
        </w:rPr>
        <w:t>因此，本款规定条件允许时，尽可能在特级、甲级场馆每处观众区和运动员区使用的公共卫生间附近设置 1</w:t>
      </w:r>
      <w:r>
        <w:rPr>
          <w:spacing w:val="-15"/>
        </w:rPr>
        <w:t xml:space="preserve"> 个无障碍卫生间，在乙级、丙级场馆的观众区和运动员区使用的公共卫生间附近设置 </w:t>
      </w:r>
      <w:r>
        <w:t>1</w:t>
      </w:r>
      <w:r>
        <w:rPr>
          <w:spacing w:val="-8"/>
        </w:rPr>
        <w:t xml:space="preserve"> 个无障碍卫生间。</w:t>
      </w:r>
    </w:p>
    <w:p>
      <w:pPr>
        <w:pStyle w:val="5"/>
        <w:tabs>
          <w:tab w:val="left" w:pos="1063"/>
        </w:tabs>
        <w:spacing w:line="268" w:lineRule="exact"/>
        <w:ind w:left="540"/>
      </w:pPr>
      <w:r>
        <w:t>10</w:t>
      </w:r>
      <w:r>
        <w:tab/>
      </w:r>
      <w:r>
        <w:t>轮椅席位可集中设置，也可分区设置，其数量可根据赛事需要适当增加。</w:t>
      </w:r>
    </w:p>
    <w:p>
      <w:pPr>
        <w:pStyle w:val="5"/>
        <w:spacing w:before="6"/>
        <w:rPr>
          <w:sz w:val="15"/>
        </w:rPr>
      </w:pPr>
    </w:p>
    <w:p>
      <w:pPr>
        <w:pStyle w:val="12"/>
        <w:numPr>
          <w:ilvl w:val="1"/>
          <w:numId w:val="194"/>
        </w:numPr>
        <w:tabs>
          <w:tab w:val="left" w:pos="4644"/>
        </w:tabs>
        <w:spacing w:before="0" w:after="0" w:line="240" w:lineRule="auto"/>
        <w:ind w:left="4644" w:right="199" w:hanging="4644"/>
        <w:jc w:val="left"/>
        <w:rPr>
          <w:rFonts w:hint="eastAsia" w:ascii="黑体" w:eastAsia="黑体"/>
          <w:sz w:val="21"/>
        </w:rPr>
      </w:pPr>
      <w:bookmarkStart w:id="965" w:name="VI文化建筑"/>
      <w:bookmarkEnd w:id="965"/>
      <w:bookmarkStart w:id="966" w:name="VI文化建筑"/>
      <w:bookmarkEnd w:id="966"/>
      <w:r>
        <w:rPr>
          <w:rFonts w:hint="eastAsia" w:ascii="黑体" w:eastAsia="黑体"/>
          <w:sz w:val="21"/>
        </w:rPr>
        <w:t>文化建筑</w:t>
      </w:r>
    </w:p>
    <w:p>
      <w:pPr>
        <w:pStyle w:val="5"/>
        <w:spacing w:before="7"/>
        <w:rPr>
          <w:rFonts w:ascii="黑体"/>
          <w:sz w:val="15"/>
        </w:rPr>
      </w:pPr>
    </w:p>
    <w:p>
      <w:pPr>
        <w:pStyle w:val="12"/>
        <w:numPr>
          <w:ilvl w:val="2"/>
          <w:numId w:val="200"/>
        </w:numPr>
        <w:tabs>
          <w:tab w:val="left" w:pos="952"/>
          <w:tab w:val="left" w:pos="953"/>
        </w:tabs>
        <w:spacing w:before="0" w:after="0" w:line="417" w:lineRule="auto"/>
        <w:ind w:left="112" w:right="312" w:firstLine="0"/>
        <w:jc w:val="left"/>
        <w:rPr>
          <w:sz w:val="21"/>
        </w:rPr>
      </w:pPr>
      <w:bookmarkStart w:id="967" w:name="8.3.25本条规定了文化建筑实施无障碍设计的范围。宗教建筑泛指新建宗教建筑物，"/>
      <w:bookmarkEnd w:id="967"/>
      <w:bookmarkStart w:id="968" w:name="8.3.25本条规定了文化建筑实施无障碍设计的范围。宗教建筑泛指新建宗教建筑物，"/>
      <w:bookmarkEnd w:id="968"/>
      <w:r>
        <w:rPr>
          <w:spacing w:val="-2"/>
          <w:w w:val="95"/>
          <w:sz w:val="21"/>
        </w:rPr>
        <w:t xml:space="preserve">本条规定了文化建筑实施无障碍设计的范围。宗教建筑泛指新建宗教建筑物，文物类宗教建筑可   </w:t>
      </w:r>
      <w:r>
        <w:rPr>
          <w:spacing w:val="-2"/>
          <w:sz w:val="21"/>
        </w:rPr>
        <w:t>参考执行。其他未注明的文化建筑类型，可以参考本节内容进行设计。</w:t>
      </w:r>
    </w:p>
    <w:p>
      <w:pPr>
        <w:pStyle w:val="12"/>
        <w:numPr>
          <w:ilvl w:val="2"/>
          <w:numId w:val="200"/>
        </w:numPr>
        <w:tabs>
          <w:tab w:val="left" w:pos="953"/>
        </w:tabs>
        <w:spacing w:before="0" w:after="0" w:line="269" w:lineRule="exact"/>
        <w:ind w:left="952" w:right="0" w:hanging="841"/>
        <w:jc w:val="both"/>
        <w:rPr>
          <w:sz w:val="21"/>
        </w:rPr>
      </w:pPr>
      <w:bookmarkStart w:id="969" w:name="8.3.26本条规定了文化建筑的无障碍设施要求。"/>
      <w:bookmarkEnd w:id="969"/>
      <w:bookmarkStart w:id="970" w:name="8.3.26本条规定了文化建筑的无障碍设施要求。"/>
      <w:bookmarkEnd w:id="970"/>
      <w:r>
        <w:rPr>
          <w:sz w:val="21"/>
        </w:rPr>
        <w:t>本条规定了文化建筑的无障碍设施要求。</w:t>
      </w:r>
    </w:p>
    <w:p>
      <w:pPr>
        <w:pStyle w:val="5"/>
        <w:spacing w:before="6"/>
        <w:rPr>
          <w:sz w:val="15"/>
        </w:rPr>
      </w:pPr>
    </w:p>
    <w:p>
      <w:pPr>
        <w:pStyle w:val="5"/>
        <w:tabs>
          <w:tab w:val="left" w:pos="959"/>
        </w:tabs>
        <w:spacing w:before="1"/>
        <w:ind w:left="540"/>
      </w:pPr>
      <w:r>
        <w:t>1</w:t>
      </w:r>
      <w:r>
        <w:tab/>
      </w:r>
      <w:r>
        <w:rPr>
          <w:spacing w:val="-3"/>
        </w:rPr>
        <w:t>建筑主要出入口无条件设置无障碍出入口时，也可在其他出入口设置，但其位置应明显，并有明</w:t>
      </w:r>
    </w:p>
    <w:p>
      <w:pPr>
        <w:spacing w:after="0"/>
        <w:sectPr>
          <w:pgSz w:w="11910" w:h="16840"/>
          <w:pgMar w:top="1580" w:right="820" w:bottom="1420" w:left="1020" w:header="0" w:footer="1232" w:gutter="0"/>
          <w:cols w:space="720" w:num="1"/>
        </w:sectPr>
      </w:pPr>
    </w:p>
    <w:p>
      <w:pPr>
        <w:pStyle w:val="5"/>
        <w:spacing w:before="60"/>
        <w:ind w:left="112"/>
      </w:pPr>
      <w:r>
        <w:t>确的指示标识。</w:t>
      </w:r>
    </w:p>
    <w:p>
      <w:pPr>
        <w:pStyle w:val="5"/>
        <w:spacing w:before="6"/>
        <w:rPr>
          <w:sz w:val="15"/>
        </w:rPr>
      </w:pPr>
    </w:p>
    <w:p>
      <w:pPr>
        <w:pStyle w:val="5"/>
        <w:spacing w:before="1" w:line="417" w:lineRule="auto"/>
        <w:ind w:left="112" w:right="307" w:firstLine="427"/>
        <w:jc w:val="both"/>
      </w:pPr>
      <w:r>
        <w:t>3</w:t>
      </w:r>
      <w:r>
        <w:rPr>
          <w:spacing w:val="6"/>
        </w:rPr>
        <w:t xml:space="preserve"> 《无障碍设计规范》</w:t>
      </w:r>
      <w:r>
        <w:rPr>
          <w:rFonts w:hint="eastAsia" w:ascii="仿宋" w:hAnsi="仿宋" w:eastAsia="仿宋"/>
        </w:rPr>
        <w:t>GB</w:t>
      </w:r>
      <w:r>
        <w:rPr>
          <w:rFonts w:hint="eastAsia" w:ascii="仿宋" w:hAnsi="仿宋" w:eastAsia="仿宋"/>
          <w:spacing w:val="-55"/>
        </w:rPr>
        <w:t xml:space="preserve"> </w:t>
      </w:r>
      <w:r>
        <w:t>50763-2012</w:t>
      </w:r>
      <w:r>
        <w:rPr>
          <w:spacing w:val="-36"/>
        </w:rPr>
        <w:t xml:space="preserve"> 第 </w:t>
      </w:r>
      <w:r>
        <w:t>8.7.2</w:t>
      </w:r>
      <w:r>
        <w:rPr>
          <w:spacing w:val="-28"/>
        </w:rPr>
        <w:t xml:space="preserve"> 条第 </w:t>
      </w:r>
      <w:r>
        <w:t>3</w:t>
      </w:r>
      <w:r>
        <w:rPr>
          <w:spacing w:val="-12"/>
        </w:rPr>
        <w:t xml:space="preserve"> 款“……走道长度大于 </w:t>
      </w:r>
      <w:r>
        <w:t>60.00</w:t>
      </w:r>
      <w:r>
        <w:rPr>
          <w:rFonts w:hint="eastAsia" w:ascii="仿宋" w:hAnsi="仿宋" w:eastAsia="仿宋"/>
        </w:rPr>
        <w:t>m</w:t>
      </w:r>
      <w:r>
        <w:rPr>
          <w:rFonts w:hint="eastAsia" w:ascii="仿宋" w:hAnsi="仿宋" w:eastAsia="仿宋"/>
          <w:spacing w:val="-53"/>
        </w:rPr>
        <w:t xml:space="preserve"> </w:t>
      </w:r>
      <w:r>
        <w:rPr>
          <w:spacing w:val="-2"/>
        </w:rPr>
        <w:t>时，宜设休息区……”参照爱尔兰通用设计标准《</w:t>
      </w:r>
      <w:r>
        <w:rPr>
          <w:rFonts w:hint="eastAsia" w:ascii="仿宋" w:hAnsi="仿宋" w:eastAsia="仿宋"/>
          <w:spacing w:val="-2"/>
        </w:rPr>
        <w:t xml:space="preserve">Building </w:t>
      </w:r>
      <w:r>
        <w:rPr>
          <w:rFonts w:hint="eastAsia" w:ascii="仿宋" w:hAnsi="仿宋" w:eastAsia="仿宋"/>
        </w:rPr>
        <w:t>for Everyone</w:t>
      </w:r>
      <w:r>
        <w:rPr>
          <w:spacing w:val="-2"/>
        </w:rPr>
        <w:t xml:space="preserve">: </w:t>
      </w:r>
      <w:r>
        <w:rPr>
          <w:rFonts w:hint="eastAsia" w:ascii="仿宋" w:hAnsi="仿宋" w:eastAsia="仿宋"/>
        </w:rPr>
        <w:t>A Universal Design Approach</w:t>
      </w:r>
      <w:r>
        <w:t>》中拐杖使</w:t>
      </w:r>
      <w:r>
        <w:rPr>
          <w:spacing w:val="-5"/>
        </w:rPr>
        <w:t xml:space="preserve">用者单次步行最大距离为 </w:t>
      </w:r>
      <w:r>
        <w:t>50.00</w:t>
      </w:r>
      <w:r>
        <w:rPr>
          <w:rFonts w:hint="eastAsia" w:ascii="仿宋" w:hAnsi="仿宋" w:eastAsia="仿宋"/>
        </w:rPr>
        <w:t>m</w:t>
      </w:r>
      <w:r>
        <w:rPr>
          <w:spacing w:val="-5"/>
        </w:rPr>
        <w:t xml:space="preserve">，本款规定通道长度大于 </w:t>
      </w:r>
      <w:r>
        <w:t>50.00</w:t>
      </w:r>
      <w:r>
        <w:rPr>
          <w:rFonts w:hint="eastAsia" w:ascii="仿宋" w:hAnsi="仿宋" w:eastAsia="仿宋"/>
        </w:rPr>
        <w:t>m</w:t>
      </w:r>
      <w:r>
        <w:rPr>
          <w:rFonts w:hint="eastAsia" w:ascii="仿宋" w:hAnsi="仿宋" w:eastAsia="仿宋"/>
          <w:spacing w:val="-53"/>
        </w:rPr>
        <w:t xml:space="preserve"> </w:t>
      </w:r>
      <w:r>
        <w:t>时宜设置无障碍休息区。</w:t>
      </w:r>
    </w:p>
    <w:p>
      <w:pPr>
        <w:pStyle w:val="5"/>
        <w:spacing w:line="417" w:lineRule="auto"/>
        <w:ind w:left="112" w:right="307" w:firstLine="427"/>
        <w:jc w:val="both"/>
      </w:pPr>
      <w:r>
        <w:t>5   《无障碍设计规范》</w:t>
      </w:r>
      <w:r>
        <w:rPr>
          <w:rFonts w:hint="eastAsia" w:ascii="仿宋" w:hAnsi="仿宋" w:eastAsia="仿宋"/>
        </w:rPr>
        <w:t xml:space="preserve">GB </w:t>
      </w:r>
      <w:r>
        <w:t>50763-2012</w:t>
      </w:r>
      <w:r>
        <w:rPr>
          <w:spacing w:val="-35"/>
        </w:rPr>
        <w:t xml:space="preserve"> 第 </w:t>
      </w:r>
      <w:r>
        <w:t>8.7.2</w:t>
      </w:r>
      <w:r>
        <w:rPr>
          <w:spacing w:val="-26"/>
        </w:rPr>
        <w:t xml:space="preserve"> 条第 </w:t>
      </w:r>
      <w:r>
        <w:t>5</w:t>
      </w:r>
      <w:r>
        <w:rPr>
          <w:spacing w:val="-8"/>
        </w:rPr>
        <w:t xml:space="preserve"> 款 “供公众使用的男、女公共厕所每层至</w:t>
      </w:r>
      <w:r>
        <w:rPr>
          <w:spacing w:val="-25"/>
        </w:rPr>
        <w:t xml:space="preserve">少有 </w:t>
      </w:r>
      <w:r>
        <w:t>1</w:t>
      </w:r>
      <w:r>
        <w:rPr>
          <w:spacing w:val="-13"/>
        </w:rPr>
        <w:t xml:space="preserve"> 处应满足本规范第 </w:t>
      </w:r>
      <w:r>
        <w:t>3.9.1</w:t>
      </w:r>
      <w:r>
        <w:rPr>
          <w:spacing w:val="-11"/>
        </w:rPr>
        <w:t xml:space="preserve"> 条的有关规定或在男、女公共厕所附近设置 </w:t>
      </w:r>
      <w:r>
        <w:t>1</w:t>
      </w:r>
      <w:r>
        <w:rPr>
          <w:spacing w:val="-9"/>
        </w:rPr>
        <w:t xml:space="preserve"> 个无障碍厕所。”据调查表</w:t>
      </w:r>
      <w:r>
        <w:rPr>
          <w:spacing w:val="-9"/>
          <w:w w:val="95"/>
        </w:rPr>
        <w:t xml:space="preserve">明无障碍卫生间更便于乘轮椅者使用。因此，本款规定条件允许时，尽可能在每层供公众使用的公共卫生   </w:t>
      </w:r>
      <w:r>
        <w:rPr>
          <w:spacing w:val="-16"/>
        </w:rPr>
        <w:t xml:space="preserve">间附近设置 </w:t>
      </w:r>
      <w:r>
        <w:t>1</w:t>
      </w:r>
      <w:r>
        <w:rPr>
          <w:spacing w:val="-8"/>
        </w:rPr>
        <w:t xml:space="preserve"> 个无障碍卫生间。</w:t>
      </w:r>
    </w:p>
    <w:p>
      <w:pPr>
        <w:pStyle w:val="5"/>
        <w:spacing w:line="268" w:lineRule="exact"/>
        <w:ind w:left="540"/>
        <w:jc w:val="both"/>
      </w:pPr>
      <w:r>
        <w:t>7 公共餐厅内提供的活动座椅主要是供乘轮椅者、婴儿使用。</w:t>
      </w:r>
    </w:p>
    <w:p>
      <w:pPr>
        <w:pStyle w:val="5"/>
        <w:spacing w:before="6"/>
        <w:rPr>
          <w:sz w:val="15"/>
        </w:rPr>
      </w:pPr>
    </w:p>
    <w:p>
      <w:pPr>
        <w:pStyle w:val="12"/>
        <w:numPr>
          <w:ilvl w:val="2"/>
          <w:numId w:val="200"/>
        </w:numPr>
        <w:tabs>
          <w:tab w:val="left" w:pos="953"/>
        </w:tabs>
        <w:spacing w:before="0" w:after="0" w:line="240" w:lineRule="auto"/>
        <w:ind w:left="952" w:right="0" w:hanging="841"/>
        <w:jc w:val="both"/>
        <w:rPr>
          <w:sz w:val="21"/>
        </w:rPr>
      </w:pPr>
      <w:bookmarkStart w:id="971" w:name="8.3.27专门的盲人图书馆内可配有视觉残障者可以使用的电脑、图书，盲文朗读室、"/>
      <w:bookmarkEnd w:id="971"/>
      <w:bookmarkStart w:id="972" w:name="8.3.27专门的盲人图书馆内可配有视觉残障者可以使用的电脑、图书，盲文朗读室、"/>
      <w:bookmarkEnd w:id="972"/>
      <w:r>
        <w:rPr>
          <w:sz w:val="21"/>
        </w:rPr>
        <w:t>专门的盲人图书馆内可配有视觉残障者可以使用的电脑、图书，盲文朗读室、盲文制作室等。</w:t>
      </w:r>
    </w:p>
    <w:p>
      <w:pPr>
        <w:pStyle w:val="5"/>
        <w:spacing w:before="6"/>
        <w:rPr>
          <w:sz w:val="15"/>
        </w:rPr>
      </w:pPr>
    </w:p>
    <w:p>
      <w:pPr>
        <w:pStyle w:val="12"/>
        <w:numPr>
          <w:ilvl w:val="2"/>
          <w:numId w:val="200"/>
        </w:numPr>
        <w:tabs>
          <w:tab w:val="left" w:pos="953"/>
        </w:tabs>
        <w:spacing w:before="1" w:after="0" w:line="417" w:lineRule="auto"/>
        <w:ind w:left="112" w:right="315" w:firstLine="0"/>
        <w:jc w:val="both"/>
        <w:rPr>
          <w:sz w:val="21"/>
        </w:rPr>
      </w:pPr>
      <w:bookmarkStart w:id="973" w:name="8.3.28考虑到携导盲犬出行者进入剧场、音乐厅、电影院等建筑的需求，建筑内宜提"/>
      <w:bookmarkEnd w:id="973"/>
      <w:bookmarkStart w:id="974" w:name="8.3.28考虑到携导盲犬出行者进入剧场、音乐厅、电影院等建筑的需求，建筑内宜提"/>
      <w:bookmarkEnd w:id="974"/>
      <w:r>
        <w:rPr>
          <w:spacing w:val="-3"/>
          <w:w w:val="95"/>
          <w:sz w:val="21"/>
        </w:rPr>
        <w:t xml:space="preserve">考虑到携导盲犬出行者进入剧场、音乐厅、电影院等建筑的需求，建筑内宜提供导盲犬休息的空   </w:t>
      </w:r>
      <w:r>
        <w:rPr>
          <w:spacing w:val="-3"/>
          <w:sz w:val="21"/>
        </w:rPr>
        <w:t>间与设施。</w:t>
      </w:r>
    </w:p>
    <w:p>
      <w:pPr>
        <w:pStyle w:val="12"/>
        <w:numPr>
          <w:ilvl w:val="1"/>
          <w:numId w:val="194"/>
        </w:numPr>
        <w:tabs>
          <w:tab w:val="left" w:pos="4486"/>
        </w:tabs>
        <w:spacing w:before="0" w:after="0" w:line="269" w:lineRule="exact"/>
        <w:ind w:left="4485" w:right="202" w:hanging="4486"/>
        <w:jc w:val="left"/>
        <w:rPr>
          <w:rFonts w:hint="eastAsia" w:ascii="黑体" w:eastAsia="黑体"/>
          <w:sz w:val="21"/>
        </w:rPr>
      </w:pPr>
      <w:bookmarkStart w:id="975" w:name="VII商业服务建筑"/>
      <w:bookmarkEnd w:id="975"/>
      <w:bookmarkStart w:id="976" w:name="VII商业服务建筑"/>
      <w:bookmarkEnd w:id="976"/>
      <w:r>
        <w:rPr>
          <w:rFonts w:hint="eastAsia" w:ascii="黑体" w:eastAsia="黑体"/>
          <w:sz w:val="21"/>
        </w:rPr>
        <w:t>商业服务建筑</w:t>
      </w:r>
    </w:p>
    <w:p>
      <w:pPr>
        <w:pStyle w:val="5"/>
        <w:spacing w:before="6"/>
        <w:rPr>
          <w:rFonts w:ascii="黑体"/>
          <w:sz w:val="15"/>
        </w:rPr>
      </w:pPr>
    </w:p>
    <w:p>
      <w:pPr>
        <w:pStyle w:val="12"/>
        <w:numPr>
          <w:ilvl w:val="2"/>
          <w:numId w:val="200"/>
        </w:numPr>
        <w:tabs>
          <w:tab w:val="left" w:pos="953"/>
        </w:tabs>
        <w:spacing w:before="0" w:after="0" w:line="417" w:lineRule="auto"/>
        <w:ind w:left="112" w:right="315" w:firstLine="0"/>
        <w:jc w:val="both"/>
        <w:rPr>
          <w:sz w:val="21"/>
        </w:rPr>
      </w:pPr>
      <w:bookmarkStart w:id="977" w:name="8.3.29本条规定了商业服务建筑实施无障碍设计的范围。其他未注明的商业服务建筑"/>
      <w:bookmarkEnd w:id="977"/>
      <w:bookmarkStart w:id="978" w:name="8.3.29本条规定了商业服务建筑实施无障碍设计的范围。其他未注明的商业服务建筑"/>
      <w:bookmarkEnd w:id="978"/>
      <w:r>
        <w:rPr>
          <w:spacing w:val="-1"/>
          <w:w w:val="95"/>
          <w:sz w:val="21"/>
        </w:rPr>
        <w:t xml:space="preserve">本条规定了商业服务建筑实施无障碍设计的范围。其他未注明的商业服务建筑类型可以参考本节   </w:t>
      </w:r>
      <w:r>
        <w:rPr>
          <w:spacing w:val="-1"/>
          <w:sz w:val="21"/>
        </w:rPr>
        <w:t>内容进行设计。</w:t>
      </w:r>
    </w:p>
    <w:p>
      <w:pPr>
        <w:pStyle w:val="12"/>
        <w:numPr>
          <w:ilvl w:val="2"/>
          <w:numId w:val="200"/>
        </w:numPr>
        <w:tabs>
          <w:tab w:val="left" w:pos="953"/>
        </w:tabs>
        <w:spacing w:before="0" w:after="0" w:line="269" w:lineRule="exact"/>
        <w:ind w:left="952" w:right="0" w:hanging="841"/>
        <w:jc w:val="both"/>
        <w:rPr>
          <w:sz w:val="21"/>
        </w:rPr>
      </w:pPr>
      <w:bookmarkStart w:id="979" w:name="8.3.30本条规定了商业服务建筑的无障碍设施要求。"/>
      <w:bookmarkEnd w:id="979"/>
      <w:bookmarkStart w:id="980" w:name="8.3.30本条规定了商业服务建筑的无障碍设施要求。"/>
      <w:bookmarkEnd w:id="980"/>
      <w:r>
        <w:rPr>
          <w:sz w:val="21"/>
        </w:rPr>
        <w:t>本条规定了商业服务建筑的无障碍设施要求。</w:t>
      </w:r>
    </w:p>
    <w:p>
      <w:pPr>
        <w:pStyle w:val="5"/>
        <w:spacing w:before="7"/>
        <w:rPr>
          <w:sz w:val="15"/>
        </w:rPr>
      </w:pPr>
    </w:p>
    <w:p>
      <w:pPr>
        <w:pStyle w:val="5"/>
        <w:spacing w:line="417" w:lineRule="auto"/>
        <w:ind w:left="112" w:right="310" w:firstLine="427"/>
        <w:jc w:val="both"/>
      </w:pPr>
      <w:r>
        <w:t>1  《无障碍设计规范》</w:t>
      </w:r>
      <w:r>
        <w:rPr>
          <w:rFonts w:hint="eastAsia" w:ascii="仿宋" w:hAnsi="仿宋" w:eastAsia="仿宋"/>
        </w:rPr>
        <w:t xml:space="preserve">GB </w:t>
      </w:r>
      <w:r>
        <w:t>50763-2012</w:t>
      </w:r>
      <w:r>
        <w:rPr>
          <w:spacing w:val="-34"/>
        </w:rPr>
        <w:t xml:space="preserve"> 第 </w:t>
      </w:r>
      <w:r>
        <w:t>8.8.2</w:t>
      </w:r>
      <w:r>
        <w:rPr>
          <w:spacing w:val="-27"/>
        </w:rPr>
        <w:t xml:space="preserve"> 条第 </w:t>
      </w:r>
      <w:r>
        <w:t>1</w:t>
      </w:r>
      <w:r>
        <w:rPr>
          <w:spacing w:val="-11"/>
        </w:rPr>
        <w:t xml:space="preserve"> 款“商业服务建筑至少应有 </w:t>
      </w:r>
      <w:r>
        <w:t>1</w:t>
      </w:r>
      <w:r>
        <w:rPr>
          <w:spacing w:val="-9"/>
        </w:rPr>
        <w:t xml:space="preserve"> 处为无障碍出</w:t>
      </w:r>
      <w:r>
        <w:rPr>
          <w:spacing w:val="-5"/>
          <w:w w:val="95"/>
        </w:rPr>
        <w:t xml:space="preserve">入口，且宜位于主要出入口处。”采用平坡出入口，通行可更加便捷、安全。沿街商业建筑采用平坡出口   </w:t>
      </w:r>
      <w:r>
        <w:rPr>
          <w:spacing w:val="-6"/>
          <w:w w:val="95"/>
        </w:rPr>
        <w:t xml:space="preserve">有利于无障碍设施的连贯、通达和共用。目前深圳市人员密集的商业场所已多采用平坡出入口。因此，本   </w:t>
      </w:r>
      <w:r>
        <w:rPr>
          <w:spacing w:val="-6"/>
        </w:rPr>
        <w:t>款规定建筑的主要出入口应为无障碍出入口，宜设置为平坡出入口。</w:t>
      </w:r>
    </w:p>
    <w:p>
      <w:pPr>
        <w:pStyle w:val="12"/>
        <w:numPr>
          <w:ilvl w:val="0"/>
          <w:numId w:val="202"/>
        </w:numPr>
        <w:tabs>
          <w:tab w:val="left" w:pos="1059"/>
        </w:tabs>
        <w:spacing w:before="0" w:after="0" w:line="417" w:lineRule="auto"/>
        <w:ind w:left="112" w:right="310" w:firstLine="427"/>
        <w:jc w:val="both"/>
        <w:rPr>
          <w:sz w:val="21"/>
        </w:rPr>
      </w:pPr>
      <w:r>
        <w:rPr>
          <w:spacing w:val="-1"/>
          <w:sz w:val="21"/>
        </w:rPr>
        <w:t>《无障碍设计规范》</w:t>
      </w:r>
      <w:r>
        <w:rPr>
          <w:rFonts w:hint="eastAsia" w:ascii="仿宋" w:hAnsi="仿宋" w:eastAsia="仿宋"/>
          <w:sz w:val="21"/>
        </w:rPr>
        <w:t>GB</w:t>
      </w:r>
      <w:r>
        <w:rPr>
          <w:rFonts w:hint="eastAsia" w:ascii="仿宋" w:hAnsi="仿宋" w:eastAsia="仿宋"/>
          <w:spacing w:val="-56"/>
          <w:sz w:val="21"/>
        </w:rPr>
        <w:t xml:space="preserve"> </w:t>
      </w:r>
      <w:r>
        <w:rPr>
          <w:sz w:val="21"/>
        </w:rPr>
        <w:t>50763-2012</w:t>
      </w:r>
      <w:r>
        <w:rPr>
          <w:spacing w:val="-38"/>
          <w:sz w:val="21"/>
        </w:rPr>
        <w:t xml:space="preserve"> 第 </w:t>
      </w:r>
      <w:r>
        <w:rPr>
          <w:sz w:val="21"/>
        </w:rPr>
        <w:t>8.8.2</w:t>
      </w:r>
      <w:r>
        <w:rPr>
          <w:spacing w:val="-29"/>
          <w:sz w:val="21"/>
        </w:rPr>
        <w:t xml:space="preserve"> 条第 </w:t>
      </w:r>
      <w:r>
        <w:rPr>
          <w:sz w:val="21"/>
        </w:rPr>
        <w:t>3</w:t>
      </w:r>
      <w:r>
        <w:rPr>
          <w:spacing w:val="-8"/>
          <w:sz w:val="21"/>
        </w:rPr>
        <w:t xml:space="preserve"> 款“供公众使用的男、女公共厕所每层至少</w:t>
      </w:r>
      <w:r>
        <w:rPr>
          <w:spacing w:val="-31"/>
          <w:sz w:val="21"/>
        </w:rPr>
        <w:t xml:space="preserve">有 </w:t>
      </w:r>
      <w:r>
        <w:rPr>
          <w:sz w:val="21"/>
        </w:rPr>
        <w:t>1</w:t>
      </w:r>
      <w:r>
        <w:rPr>
          <w:spacing w:val="-13"/>
          <w:sz w:val="21"/>
        </w:rPr>
        <w:t xml:space="preserve"> 处应满足本规范第 </w:t>
      </w:r>
      <w:r>
        <w:rPr>
          <w:sz w:val="21"/>
        </w:rPr>
        <w:t>3.9.1</w:t>
      </w:r>
      <w:r>
        <w:rPr>
          <w:spacing w:val="-12"/>
          <w:sz w:val="21"/>
        </w:rPr>
        <w:t xml:space="preserve"> 条的有关规定或在男、女公共厕所附近设置 </w:t>
      </w:r>
      <w:r>
        <w:rPr>
          <w:sz w:val="21"/>
        </w:rPr>
        <w:t>1</w:t>
      </w:r>
      <w:r>
        <w:rPr>
          <w:spacing w:val="-9"/>
          <w:sz w:val="21"/>
        </w:rPr>
        <w:t xml:space="preserve"> 个无障碍厕所……”据调查表</w:t>
      </w:r>
      <w:r>
        <w:rPr>
          <w:spacing w:val="-9"/>
          <w:w w:val="95"/>
          <w:sz w:val="21"/>
        </w:rPr>
        <w:t xml:space="preserve">明无障碍卫生间更便于乘轮椅者使用。因此，本款规定条件允许时，尽可能在每层供公众使用的公共卫生   </w:t>
      </w:r>
      <w:r>
        <w:rPr>
          <w:spacing w:val="-16"/>
          <w:sz w:val="21"/>
        </w:rPr>
        <w:t xml:space="preserve">间附近设置 </w:t>
      </w:r>
      <w:r>
        <w:rPr>
          <w:sz w:val="21"/>
        </w:rPr>
        <w:t>1</w:t>
      </w:r>
      <w:r>
        <w:rPr>
          <w:spacing w:val="-8"/>
          <w:sz w:val="21"/>
        </w:rPr>
        <w:t xml:space="preserve"> 个无障碍卫生间。</w:t>
      </w:r>
    </w:p>
    <w:p>
      <w:pPr>
        <w:pStyle w:val="12"/>
        <w:numPr>
          <w:ilvl w:val="0"/>
          <w:numId w:val="202"/>
        </w:numPr>
        <w:tabs>
          <w:tab w:val="left" w:pos="960"/>
        </w:tabs>
        <w:spacing w:before="0" w:after="0" w:line="268" w:lineRule="exact"/>
        <w:ind w:left="960" w:right="0" w:hanging="420"/>
        <w:jc w:val="both"/>
        <w:rPr>
          <w:sz w:val="21"/>
        </w:rPr>
      </w:pPr>
      <w:r>
        <w:rPr>
          <w:sz w:val="21"/>
        </w:rPr>
        <w:t>为满足女性哺乳及婴儿护理的需求，本款规定大型商业建筑公共卫生间附近尽可能设置母婴室。</w:t>
      </w:r>
    </w:p>
    <w:p>
      <w:pPr>
        <w:pStyle w:val="5"/>
        <w:spacing w:before="6"/>
        <w:rPr>
          <w:sz w:val="15"/>
        </w:rPr>
      </w:pPr>
    </w:p>
    <w:p>
      <w:pPr>
        <w:pStyle w:val="12"/>
        <w:numPr>
          <w:ilvl w:val="2"/>
          <w:numId w:val="203"/>
        </w:numPr>
        <w:tabs>
          <w:tab w:val="left" w:pos="953"/>
        </w:tabs>
        <w:spacing w:before="0" w:after="0" w:line="417" w:lineRule="auto"/>
        <w:ind w:left="112" w:right="315" w:firstLine="0"/>
        <w:jc w:val="both"/>
        <w:rPr>
          <w:sz w:val="21"/>
        </w:rPr>
      </w:pPr>
      <w:bookmarkStart w:id="981" w:name="8.3.32考虑到携导盲犬出行者就餐及住店的需求，餐饮建筑、设有无障碍客房的旅馆"/>
      <w:bookmarkEnd w:id="981"/>
      <w:bookmarkStart w:id="982" w:name="8.3.32考虑到携导盲犬出行者就餐及住店的需求，餐饮建筑、设有无障碍客房的旅馆"/>
      <w:bookmarkEnd w:id="982"/>
      <w:r>
        <w:rPr>
          <w:spacing w:val="-2"/>
          <w:w w:val="95"/>
          <w:sz w:val="21"/>
        </w:rPr>
        <w:t>考虑到携导盲犬出行者就餐及住店的需求，餐饮建筑、</w:t>
      </w:r>
      <w:r>
        <w:rPr>
          <w:color w:val="393838"/>
          <w:w w:val="95"/>
          <w:sz w:val="21"/>
        </w:rPr>
        <w:t>设有无障碍客房的旅馆建筑</w:t>
      </w:r>
      <w:r>
        <w:rPr>
          <w:w w:val="95"/>
          <w:sz w:val="21"/>
        </w:rPr>
        <w:t xml:space="preserve">内宜提供导盲   </w:t>
      </w:r>
      <w:r>
        <w:rPr>
          <w:sz w:val="21"/>
        </w:rPr>
        <w:t>犬休息的空间与设施。</w:t>
      </w:r>
    </w:p>
    <w:p>
      <w:pPr>
        <w:pStyle w:val="12"/>
        <w:numPr>
          <w:ilvl w:val="1"/>
          <w:numId w:val="194"/>
        </w:numPr>
        <w:tabs>
          <w:tab w:val="left" w:pos="4750"/>
        </w:tabs>
        <w:spacing w:before="0" w:after="0" w:line="269" w:lineRule="exact"/>
        <w:ind w:left="4749" w:right="199" w:hanging="4750"/>
        <w:jc w:val="left"/>
        <w:rPr>
          <w:rFonts w:hint="eastAsia" w:ascii="黑体" w:eastAsia="黑体"/>
          <w:sz w:val="21"/>
        </w:rPr>
      </w:pPr>
      <w:bookmarkStart w:id="983" w:name="VIII交通建筑"/>
      <w:bookmarkEnd w:id="983"/>
      <w:bookmarkStart w:id="984" w:name="VIII交通建筑"/>
      <w:bookmarkEnd w:id="984"/>
      <w:r>
        <w:rPr>
          <w:rFonts w:hint="eastAsia" w:ascii="黑体" w:eastAsia="黑体"/>
          <w:sz w:val="21"/>
        </w:rPr>
        <w:t>交通建筑</w:t>
      </w:r>
    </w:p>
    <w:p>
      <w:pPr>
        <w:pStyle w:val="5"/>
        <w:spacing w:before="7"/>
        <w:rPr>
          <w:rFonts w:ascii="黑体"/>
          <w:sz w:val="15"/>
        </w:rPr>
      </w:pPr>
    </w:p>
    <w:p>
      <w:pPr>
        <w:pStyle w:val="12"/>
        <w:numPr>
          <w:ilvl w:val="2"/>
          <w:numId w:val="203"/>
        </w:numPr>
        <w:tabs>
          <w:tab w:val="left" w:pos="953"/>
        </w:tabs>
        <w:spacing w:before="0" w:after="0" w:line="240" w:lineRule="auto"/>
        <w:ind w:left="952" w:right="0" w:hanging="841"/>
        <w:jc w:val="both"/>
        <w:rPr>
          <w:sz w:val="21"/>
        </w:rPr>
      </w:pPr>
      <w:bookmarkStart w:id="985" w:name="8.3.33本条规定了交通建筑实施无障碍设计的范围。本标准参照《地铁设计规范》G"/>
      <w:bookmarkEnd w:id="985"/>
      <w:bookmarkStart w:id="986" w:name="8.3.33本条规定了交通建筑实施无障碍设计的范围。本标准参照《地铁设计规范》G"/>
      <w:bookmarkEnd w:id="986"/>
      <w:r>
        <w:rPr>
          <w:spacing w:val="-3"/>
          <w:sz w:val="21"/>
        </w:rPr>
        <w:t>本条规定了交通建筑实施无障碍设计的范围。本标准参照《地铁设计规范》</w:t>
      </w:r>
      <w:r>
        <w:rPr>
          <w:sz w:val="21"/>
        </w:rPr>
        <w:t>GB</w:t>
      </w:r>
      <w:r>
        <w:rPr>
          <w:spacing w:val="-57"/>
          <w:sz w:val="21"/>
        </w:rPr>
        <w:t xml:space="preserve"> </w:t>
      </w:r>
      <w:r>
        <w:rPr>
          <w:sz w:val="21"/>
        </w:rPr>
        <w:t>50157-2013</w:t>
      </w:r>
      <w:r>
        <w:rPr>
          <w:spacing w:val="-10"/>
          <w:sz w:val="21"/>
        </w:rPr>
        <w:t>、《北</w:t>
      </w:r>
    </w:p>
    <w:p>
      <w:pPr>
        <w:spacing w:after="0" w:line="240" w:lineRule="auto"/>
        <w:jc w:val="both"/>
        <w:rPr>
          <w:sz w:val="21"/>
        </w:rPr>
        <w:sectPr>
          <w:pgSz w:w="11910" w:h="16840"/>
          <w:pgMar w:top="1580" w:right="820" w:bottom="1420" w:left="1020" w:header="0" w:footer="1232" w:gutter="0"/>
          <w:cols w:space="720" w:num="1"/>
        </w:sectPr>
      </w:pPr>
    </w:p>
    <w:p>
      <w:pPr>
        <w:pStyle w:val="5"/>
        <w:spacing w:before="60"/>
        <w:ind w:left="112"/>
      </w:pPr>
      <w:r>
        <w:t>京市城市轨道交通无障碍设施设计规程》DB 11/690-2016、《交通客运站建筑设计规范》JGJ/T 60-2012、</w:t>
      </w:r>
    </w:p>
    <w:p>
      <w:pPr>
        <w:pStyle w:val="5"/>
        <w:spacing w:before="6"/>
        <w:rPr>
          <w:sz w:val="15"/>
        </w:rPr>
      </w:pPr>
    </w:p>
    <w:p>
      <w:pPr>
        <w:pStyle w:val="5"/>
        <w:spacing w:before="1" w:line="417" w:lineRule="auto"/>
        <w:ind w:left="112" w:right="292"/>
      </w:pPr>
      <w:r>
        <w:rPr>
          <w:spacing w:val="-1"/>
        </w:rPr>
        <w:t>《铁路旅客车站设计规范》</w:t>
      </w:r>
      <w:r>
        <w:t>TB</w:t>
      </w:r>
      <w:r>
        <w:rPr>
          <w:spacing w:val="-61"/>
        </w:rPr>
        <w:t xml:space="preserve"> </w:t>
      </w:r>
      <w:r>
        <w:t>10100-2018</w:t>
      </w:r>
      <w:r>
        <w:rPr>
          <w:spacing w:val="-4"/>
        </w:rPr>
        <w:t>、《民用机场旅客航站区无障碍设施设备配置》</w:t>
      </w:r>
      <w:r>
        <w:rPr>
          <w:rFonts w:hint="eastAsia" w:ascii="仿宋" w:eastAsia="仿宋"/>
        </w:rPr>
        <w:t>MH-T</w:t>
      </w:r>
      <w:r>
        <w:rPr>
          <w:rFonts w:hint="eastAsia" w:ascii="仿宋" w:eastAsia="仿宋"/>
          <w:spacing w:val="-60"/>
        </w:rPr>
        <w:t xml:space="preserve"> </w:t>
      </w:r>
      <w:r>
        <w:t xml:space="preserve">5107-2009 </w:t>
      </w:r>
      <w:r>
        <w:rPr>
          <w:w w:val="95"/>
        </w:rPr>
        <w:t>等标准对地铁车站、汽车客运站、港口客运站、铁路旅客车站、机场航站楼的无障碍设计要求做出规定。</w:t>
      </w:r>
    </w:p>
    <w:p>
      <w:pPr>
        <w:pStyle w:val="12"/>
        <w:numPr>
          <w:ilvl w:val="2"/>
          <w:numId w:val="203"/>
        </w:numPr>
        <w:tabs>
          <w:tab w:val="left" w:pos="952"/>
          <w:tab w:val="left" w:pos="953"/>
        </w:tabs>
        <w:spacing w:before="0" w:after="0" w:line="269" w:lineRule="exact"/>
        <w:ind w:left="952" w:right="0" w:hanging="841"/>
        <w:jc w:val="left"/>
        <w:rPr>
          <w:sz w:val="21"/>
        </w:rPr>
      </w:pPr>
      <w:bookmarkStart w:id="987" w:name="8.3.34本条规定了交通建筑的无障碍设施要求。"/>
      <w:bookmarkEnd w:id="987"/>
      <w:bookmarkStart w:id="988" w:name="8.3.34本条规定了交通建筑的无障碍设施要求。"/>
      <w:bookmarkEnd w:id="988"/>
      <w:r>
        <w:rPr>
          <w:sz w:val="21"/>
        </w:rPr>
        <w:t>本条规定了交通建筑的无障碍设施要求。</w:t>
      </w:r>
    </w:p>
    <w:p>
      <w:pPr>
        <w:pStyle w:val="5"/>
        <w:spacing w:before="6"/>
        <w:rPr>
          <w:sz w:val="15"/>
        </w:rPr>
      </w:pPr>
    </w:p>
    <w:p>
      <w:pPr>
        <w:pStyle w:val="5"/>
        <w:tabs>
          <w:tab w:val="left" w:pos="959"/>
        </w:tabs>
        <w:spacing w:line="417" w:lineRule="auto"/>
        <w:ind w:left="112" w:right="312" w:firstLine="427"/>
      </w:pPr>
      <w:r>
        <w:t>2</w:t>
      </w:r>
      <w:r>
        <w:tab/>
      </w:r>
      <w:r>
        <w:rPr>
          <w:spacing w:val="-4"/>
          <w:w w:val="95"/>
        </w:rPr>
        <w:t xml:space="preserve">交通建筑服务对象包括乘轮椅者、携婴儿车者、携大件行李者和老年人等。采用平坡出入口，通   </w:t>
      </w:r>
      <w:r>
        <w:rPr>
          <w:spacing w:val="-4"/>
        </w:rPr>
        <w:t>行可更加便捷、安全。因此，本款规定主要出入口应为无障碍出入口，宜为平坡出入口。</w:t>
      </w:r>
    </w:p>
    <w:p>
      <w:pPr>
        <w:pStyle w:val="12"/>
        <w:numPr>
          <w:ilvl w:val="2"/>
          <w:numId w:val="203"/>
        </w:numPr>
        <w:tabs>
          <w:tab w:val="left" w:pos="952"/>
          <w:tab w:val="left" w:pos="953"/>
        </w:tabs>
        <w:spacing w:before="0" w:after="0" w:line="269" w:lineRule="exact"/>
        <w:ind w:left="952" w:right="0" w:hanging="841"/>
        <w:jc w:val="left"/>
        <w:rPr>
          <w:sz w:val="21"/>
        </w:rPr>
      </w:pPr>
      <w:bookmarkStart w:id="989" w:name="8.3.35本条规定了地铁车站的无障碍设施要求。"/>
      <w:bookmarkEnd w:id="989"/>
      <w:bookmarkStart w:id="990" w:name="8.3.35本条规定了地铁车站的无障碍设施要求。"/>
      <w:bookmarkEnd w:id="990"/>
      <w:r>
        <w:rPr>
          <w:sz w:val="21"/>
        </w:rPr>
        <w:t>本条规定了地铁车站的无障碍设施要求。</w:t>
      </w:r>
    </w:p>
    <w:p>
      <w:pPr>
        <w:pStyle w:val="5"/>
        <w:spacing w:before="7"/>
        <w:rPr>
          <w:sz w:val="15"/>
        </w:rPr>
      </w:pPr>
    </w:p>
    <w:p>
      <w:pPr>
        <w:pStyle w:val="12"/>
        <w:numPr>
          <w:ilvl w:val="3"/>
          <w:numId w:val="203"/>
        </w:numPr>
        <w:tabs>
          <w:tab w:val="left" w:pos="960"/>
        </w:tabs>
        <w:spacing w:before="0" w:after="0" w:line="417" w:lineRule="auto"/>
        <w:ind w:left="112" w:right="310" w:firstLine="427"/>
        <w:jc w:val="both"/>
        <w:rPr>
          <w:sz w:val="21"/>
        </w:rPr>
      </w:pPr>
      <w:r>
        <w:rPr>
          <w:spacing w:val="-4"/>
          <w:w w:val="95"/>
          <w:sz w:val="21"/>
        </w:rPr>
        <w:t xml:space="preserve">根据深圳市实际情况，部分地铁车站同时承担快速路、主干路过街功能。同时，据残障人士使用   </w:t>
      </w:r>
      <w:r>
        <w:rPr>
          <w:spacing w:val="-5"/>
          <w:w w:val="95"/>
          <w:sz w:val="21"/>
        </w:rPr>
        <w:t xml:space="preserve">反馈，跨快速路、主干路的地铁车站，在出站后过街困难。因此，本款规定在快速路、主干路两侧分别设   </w:t>
      </w:r>
      <w:r>
        <w:rPr>
          <w:spacing w:val="-5"/>
          <w:sz w:val="21"/>
        </w:rPr>
        <w:t>置无障碍电梯，方便通行与乘车。</w:t>
      </w:r>
    </w:p>
    <w:p>
      <w:pPr>
        <w:pStyle w:val="12"/>
        <w:numPr>
          <w:ilvl w:val="3"/>
          <w:numId w:val="203"/>
        </w:numPr>
        <w:tabs>
          <w:tab w:val="left" w:pos="960"/>
        </w:tabs>
        <w:spacing w:before="0" w:after="0" w:line="417" w:lineRule="auto"/>
        <w:ind w:left="112" w:right="310" w:firstLine="427"/>
        <w:jc w:val="both"/>
        <w:rPr>
          <w:sz w:val="21"/>
        </w:rPr>
      </w:pPr>
      <w:r>
        <w:rPr>
          <w:sz w:val="21"/>
        </w:rPr>
        <w:t>参照《地铁设计规范》GB</w:t>
      </w:r>
      <w:r>
        <w:rPr>
          <w:spacing w:val="4"/>
          <w:sz w:val="21"/>
        </w:rPr>
        <w:t xml:space="preserve"> </w:t>
      </w:r>
      <w:r>
        <w:rPr>
          <w:sz w:val="21"/>
        </w:rPr>
        <w:t>50157-2013</w:t>
      </w:r>
      <w:r>
        <w:rPr>
          <w:spacing w:val="-34"/>
          <w:sz w:val="21"/>
        </w:rPr>
        <w:t xml:space="preserve"> 第 </w:t>
      </w:r>
      <w:r>
        <w:rPr>
          <w:sz w:val="21"/>
        </w:rPr>
        <w:t>9.8.5</w:t>
      </w:r>
      <w:r>
        <w:rPr>
          <w:spacing w:val="-8"/>
          <w:sz w:val="21"/>
        </w:rPr>
        <w:t xml:space="preserve"> 条“无障碍电梯平台与室外地面高差处应设置坡</w:t>
      </w:r>
      <w:r>
        <w:rPr>
          <w:spacing w:val="-5"/>
          <w:sz w:val="21"/>
        </w:rPr>
        <w:t>道，并应符合现行国家标准《无障碍设计规范》</w:t>
      </w:r>
      <w:r>
        <w:rPr>
          <w:rFonts w:hint="eastAsia" w:ascii="仿宋" w:hAnsi="仿宋" w:eastAsia="仿宋"/>
          <w:sz w:val="21"/>
        </w:rPr>
        <w:t>GB</w:t>
      </w:r>
      <w:r>
        <w:rPr>
          <w:rFonts w:hint="eastAsia" w:ascii="仿宋" w:hAnsi="仿宋" w:eastAsia="仿宋"/>
          <w:spacing w:val="-59"/>
          <w:sz w:val="21"/>
        </w:rPr>
        <w:t xml:space="preserve"> </w:t>
      </w:r>
      <w:r>
        <w:rPr>
          <w:sz w:val="21"/>
        </w:rPr>
        <w:t>50763</w:t>
      </w:r>
      <w:r>
        <w:rPr>
          <w:spacing w:val="-9"/>
          <w:sz w:val="21"/>
        </w:rPr>
        <w:t xml:space="preserve"> 的有关规定。”本款规定无障碍电梯出入口应采用轮椅坡道来处理与人行道地面的高差。</w:t>
      </w:r>
    </w:p>
    <w:p>
      <w:pPr>
        <w:pStyle w:val="12"/>
        <w:numPr>
          <w:ilvl w:val="3"/>
          <w:numId w:val="203"/>
        </w:numPr>
        <w:tabs>
          <w:tab w:val="left" w:pos="960"/>
        </w:tabs>
        <w:spacing w:before="0" w:after="0" w:line="417" w:lineRule="auto"/>
        <w:ind w:left="112" w:right="310" w:firstLine="427"/>
        <w:jc w:val="both"/>
        <w:rPr>
          <w:sz w:val="21"/>
        </w:rPr>
      </w:pPr>
      <w:r>
        <w:rPr>
          <w:sz w:val="21"/>
        </w:rPr>
        <w:t>参照《地铁设计规范》GB</w:t>
      </w:r>
      <w:r>
        <w:rPr>
          <w:spacing w:val="5"/>
          <w:sz w:val="21"/>
        </w:rPr>
        <w:t xml:space="preserve"> </w:t>
      </w:r>
      <w:r>
        <w:rPr>
          <w:sz w:val="21"/>
        </w:rPr>
        <w:t>50157-2013</w:t>
      </w:r>
      <w:r>
        <w:rPr>
          <w:spacing w:val="-34"/>
          <w:sz w:val="21"/>
        </w:rPr>
        <w:t xml:space="preserve"> 第 </w:t>
      </w:r>
      <w:r>
        <w:rPr>
          <w:sz w:val="21"/>
        </w:rPr>
        <w:t>9.8.2</w:t>
      </w:r>
      <w:r>
        <w:rPr>
          <w:spacing w:val="-8"/>
          <w:sz w:val="21"/>
        </w:rPr>
        <w:t xml:space="preserve"> 条“车站应设置无障碍电梯”和《北京市城市轨道交通无障碍设施设计规程》</w:t>
      </w:r>
      <w:r>
        <w:rPr>
          <w:sz w:val="21"/>
        </w:rPr>
        <w:t>DB</w:t>
      </w:r>
      <w:r>
        <w:rPr>
          <w:spacing w:val="-57"/>
          <w:sz w:val="21"/>
        </w:rPr>
        <w:t xml:space="preserve"> </w:t>
      </w:r>
      <w:r>
        <w:rPr>
          <w:sz w:val="21"/>
        </w:rPr>
        <w:t>11/690-2016</w:t>
      </w:r>
      <w:r>
        <w:rPr>
          <w:spacing w:val="-40"/>
          <w:sz w:val="21"/>
        </w:rPr>
        <w:t xml:space="preserve"> 第 </w:t>
      </w:r>
      <w:r>
        <w:rPr>
          <w:sz w:val="21"/>
        </w:rPr>
        <w:t>3.7.1</w:t>
      </w:r>
      <w:r>
        <w:rPr>
          <w:spacing w:val="-8"/>
          <w:sz w:val="21"/>
        </w:rPr>
        <w:t xml:space="preserve"> 条“车站公共区站台到站厅、站厅到地面不同层时</w:t>
      </w:r>
      <w:r>
        <w:rPr>
          <w:spacing w:val="-8"/>
          <w:w w:val="95"/>
          <w:sz w:val="21"/>
        </w:rPr>
        <w:t xml:space="preserve">应设置无障碍电梯。”本款规定站台、站厅、地面不在同一层时应设置无障碍电梯，供乘轮椅者、携婴儿   </w:t>
      </w:r>
      <w:r>
        <w:rPr>
          <w:spacing w:val="-8"/>
          <w:sz w:val="21"/>
        </w:rPr>
        <w:t>车者便捷乘车。</w:t>
      </w:r>
    </w:p>
    <w:p>
      <w:pPr>
        <w:pStyle w:val="12"/>
        <w:numPr>
          <w:ilvl w:val="3"/>
          <w:numId w:val="203"/>
        </w:numPr>
        <w:tabs>
          <w:tab w:val="left" w:pos="960"/>
        </w:tabs>
        <w:spacing w:before="0" w:after="0" w:line="417" w:lineRule="auto"/>
        <w:ind w:left="112" w:right="292" w:firstLine="427"/>
        <w:jc w:val="both"/>
        <w:rPr>
          <w:sz w:val="21"/>
        </w:rPr>
      </w:pPr>
      <w:r>
        <w:rPr>
          <w:spacing w:val="-4"/>
          <w:sz w:val="21"/>
        </w:rPr>
        <w:t>参照《北京市城市轨道交通无障碍设施设计规程》</w:t>
      </w:r>
      <w:r>
        <w:rPr>
          <w:sz w:val="21"/>
        </w:rPr>
        <w:t>DB</w:t>
      </w:r>
      <w:r>
        <w:rPr>
          <w:spacing w:val="-57"/>
          <w:sz w:val="21"/>
        </w:rPr>
        <w:t xml:space="preserve"> </w:t>
      </w:r>
      <w:r>
        <w:rPr>
          <w:sz w:val="21"/>
        </w:rPr>
        <w:t>11/690-2016</w:t>
      </w:r>
      <w:r>
        <w:rPr>
          <w:spacing w:val="-38"/>
          <w:sz w:val="21"/>
        </w:rPr>
        <w:t xml:space="preserve"> 第 </w:t>
      </w:r>
      <w:r>
        <w:rPr>
          <w:sz w:val="21"/>
        </w:rPr>
        <w:t>3.7.2</w:t>
      </w:r>
      <w:r>
        <w:rPr>
          <w:spacing w:val="-9"/>
          <w:sz w:val="21"/>
        </w:rPr>
        <w:t xml:space="preserve"> 条“换乘通道应为无</w:t>
      </w:r>
      <w:r>
        <w:rPr>
          <w:spacing w:val="-9"/>
          <w:w w:val="95"/>
          <w:sz w:val="21"/>
        </w:rPr>
        <w:t>障碍通道，高差较大无法设置轮椅坡道时应设置无障碍电梯。”本款规定了换乘通道的无障碍设计要求。</w:t>
      </w:r>
    </w:p>
    <w:p>
      <w:pPr>
        <w:pStyle w:val="12"/>
        <w:numPr>
          <w:ilvl w:val="3"/>
          <w:numId w:val="203"/>
        </w:numPr>
        <w:tabs>
          <w:tab w:val="left" w:pos="956"/>
        </w:tabs>
        <w:spacing w:before="0" w:after="0" w:line="417" w:lineRule="auto"/>
        <w:ind w:left="112" w:right="310" w:firstLine="420"/>
        <w:jc w:val="both"/>
        <w:rPr>
          <w:sz w:val="21"/>
        </w:rPr>
      </w:pPr>
      <w:r>
        <w:rPr>
          <w:sz w:val="21"/>
        </w:rPr>
        <w:t>参照《地铁设计规范》GB</w:t>
      </w:r>
      <w:r>
        <w:rPr>
          <w:spacing w:val="5"/>
          <w:sz w:val="21"/>
        </w:rPr>
        <w:t xml:space="preserve"> </w:t>
      </w:r>
      <w:r>
        <w:rPr>
          <w:sz w:val="21"/>
        </w:rPr>
        <w:t>50157-2013</w:t>
      </w:r>
      <w:r>
        <w:rPr>
          <w:spacing w:val="-34"/>
          <w:sz w:val="21"/>
        </w:rPr>
        <w:t xml:space="preserve"> 第 </w:t>
      </w:r>
      <w:r>
        <w:rPr>
          <w:sz w:val="21"/>
        </w:rPr>
        <w:t>9.8.7</w:t>
      </w:r>
      <w:r>
        <w:rPr>
          <w:spacing w:val="-8"/>
          <w:sz w:val="21"/>
        </w:rPr>
        <w:t xml:space="preserve"> 条“车站内应设置无障碍卫生间。”目前深圳市</w:t>
      </w:r>
      <w:r>
        <w:rPr>
          <w:spacing w:val="-8"/>
          <w:w w:val="95"/>
          <w:sz w:val="21"/>
        </w:rPr>
        <w:t xml:space="preserve">地铁车站建筑中，多数公共卫生间附近已单独设置无障碍卫生间或第三卫生间。因此，本款规定车站公共   </w:t>
      </w:r>
      <w:r>
        <w:rPr>
          <w:spacing w:val="-8"/>
          <w:sz w:val="21"/>
        </w:rPr>
        <w:t>区应设置公共卫生间或第三卫生间。</w:t>
      </w:r>
    </w:p>
    <w:p>
      <w:pPr>
        <w:pStyle w:val="12"/>
        <w:numPr>
          <w:ilvl w:val="3"/>
          <w:numId w:val="203"/>
        </w:numPr>
        <w:tabs>
          <w:tab w:val="left" w:pos="960"/>
        </w:tabs>
        <w:spacing w:before="0" w:after="0" w:line="269" w:lineRule="exact"/>
        <w:ind w:left="960" w:right="0" w:hanging="420"/>
        <w:jc w:val="both"/>
        <w:rPr>
          <w:sz w:val="21"/>
        </w:rPr>
      </w:pPr>
      <w:r>
        <w:rPr>
          <w:sz w:val="21"/>
        </w:rPr>
        <w:t>当条件困难，站台层的无障碍电梯门正对轨道区时，门前侯梯厅不得侵占站台有效宽度。</w:t>
      </w:r>
    </w:p>
    <w:p>
      <w:pPr>
        <w:pStyle w:val="5"/>
        <w:spacing w:before="5"/>
        <w:rPr>
          <w:sz w:val="15"/>
        </w:rPr>
      </w:pPr>
    </w:p>
    <w:p>
      <w:pPr>
        <w:pStyle w:val="12"/>
        <w:numPr>
          <w:ilvl w:val="3"/>
          <w:numId w:val="203"/>
        </w:numPr>
        <w:tabs>
          <w:tab w:val="left" w:pos="953"/>
        </w:tabs>
        <w:spacing w:before="0" w:after="0" w:line="417" w:lineRule="auto"/>
        <w:ind w:left="112" w:right="307" w:firstLine="420"/>
        <w:jc w:val="both"/>
        <w:rPr>
          <w:sz w:val="21"/>
        </w:rPr>
      </w:pPr>
      <w:r>
        <w:rPr>
          <w:spacing w:val="-3"/>
          <w:sz w:val="21"/>
        </w:rPr>
        <w:t>参照《北京市城市轨道交通无障碍设施设计规程》</w:t>
      </w:r>
      <w:r>
        <w:rPr>
          <w:sz w:val="21"/>
        </w:rPr>
        <w:t>DB</w:t>
      </w:r>
      <w:r>
        <w:rPr>
          <w:spacing w:val="-55"/>
          <w:sz w:val="21"/>
        </w:rPr>
        <w:t xml:space="preserve"> </w:t>
      </w:r>
      <w:r>
        <w:rPr>
          <w:sz w:val="21"/>
        </w:rPr>
        <w:t>11/690-2016</w:t>
      </w:r>
      <w:r>
        <w:rPr>
          <w:spacing w:val="-36"/>
          <w:sz w:val="21"/>
        </w:rPr>
        <w:t xml:space="preserve"> 第 </w:t>
      </w:r>
      <w:r>
        <w:rPr>
          <w:sz w:val="21"/>
        </w:rPr>
        <w:t>3.6.3</w:t>
      </w:r>
      <w:r>
        <w:rPr>
          <w:spacing w:val="-29"/>
          <w:sz w:val="21"/>
        </w:rPr>
        <w:t xml:space="preserve"> 条第 </w:t>
      </w:r>
      <w:r>
        <w:rPr>
          <w:sz w:val="21"/>
        </w:rPr>
        <w:t>7</w:t>
      </w:r>
      <w:r>
        <w:rPr>
          <w:spacing w:val="-10"/>
          <w:sz w:val="21"/>
        </w:rPr>
        <w:t xml:space="preserve"> 款“每扇站台</w:t>
      </w:r>
      <w:r>
        <w:rPr>
          <w:spacing w:val="-11"/>
          <w:sz w:val="21"/>
        </w:rPr>
        <w:t xml:space="preserve">门外应设宽度不小于车门的提示盲道，并与行进盲道相连，盲道与站台门之间的距离宜为 </w:t>
      </w:r>
      <w:r>
        <w:rPr>
          <w:sz w:val="21"/>
        </w:rPr>
        <w:t>1.20m。”结合深圳市实际情况，本款规定站台门外应设提示盲道，且宜与站台门等宽。</w:t>
      </w:r>
    </w:p>
    <w:p>
      <w:pPr>
        <w:pStyle w:val="12"/>
        <w:numPr>
          <w:ilvl w:val="2"/>
          <w:numId w:val="203"/>
        </w:numPr>
        <w:tabs>
          <w:tab w:val="left" w:pos="953"/>
        </w:tabs>
        <w:spacing w:before="0" w:after="0" w:line="269" w:lineRule="exact"/>
        <w:ind w:left="952" w:right="0" w:hanging="841"/>
        <w:jc w:val="both"/>
        <w:rPr>
          <w:sz w:val="21"/>
        </w:rPr>
      </w:pPr>
      <w:bookmarkStart w:id="991" w:name="8.3.36本条规定了汽车客运站、港口客运站的无障碍设施要求。"/>
      <w:bookmarkEnd w:id="991"/>
      <w:bookmarkStart w:id="992" w:name="8.3.36本条规定了汽车客运站、港口客运站的无障碍设施要求。"/>
      <w:bookmarkEnd w:id="992"/>
      <w:r>
        <w:rPr>
          <w:sz w:val="21"/>
        </w:rPr>
        <w:t>本条规定了汽车客运站、港口客运站的无障碍设施要求。</w:t>
      </w:r>
    </w:p>
    <w:p>
      <w:pPr>
        <w:pStyle w:val="5"/>
        <w:spacing w:before="6"/>
        <w:rPr>
          <w:sz w:val="15"/>
        </w:rPr>
      </w:pPr>
    </w:p>
    <w:p>
      <w:pPr>
        <w:pStyle w:val="12"/>
        <w:numPr>
          <w:ilvl w:val="0"/>
          <w:numId w:val="204"/>
        </w:numPr>
        <w:tabs>
          <w:tab w:val="left" w:pos="956"/>
        </w:tabs>
        <w:spacing w:before="1" w:after="0" w:line="417" w:lineRule="auto"/>
        <w:ind w:left="112" w:right="310" w:firstLine="420"/>
        <w:jc w:val="both"/>
        <w:rPr>
          <w:sz w:val="21"/>
        </w:rPr>
      </w:pPr>
      <w:r>
        <w:rPr>
          <w:sz w:val="21"/>
        </w:rPr>
        <w:t>参照《交通客运站建筑设计规范》JGJ/T</w:t>
      </w:r>
      <w:r>
        <w:rPr>
          <w:spacing w:val="1"/>
          <w:sz w:val="21"/>
        </w:rPr>
        <w:t xml:space="preserve"> </w:t>
      </w:r>
      <w:r>
        <w:rPr>
          <w:sz w:val="21"/>
        </w:rPr>
        <w:t>60-2012</w:t>
      </w:r>
      <w:r>
        <w:rPr>
          <w:spacing w:val="-34"/>
          <w:sz w:val="21"/>
        </w:rPr>
        <w:t xml:space="preserve"> 第 </w:t>
      </w:r>
      <w:r>
        <w:rPr>
          <w:sz w:val="21"/>
        </w:rPr>
        <w:t>6.2.2</w:t>
      </w:r>
      <w:r>
        <w:rPr>
          <w:spacing w:val="-25"/>
          <w:sz w:val="21"/>
        </w:rPr>
        <w:t xml:space="preserve"> 条第 </w:t>
      </w:r>
      <w:r>
        <w:rPr>
          <w:sz w:val="21"/>
        </w:rPr>
        <w:t>6</w:t>
      </w:r>
      <w:r>
        <w:rPr>
          <w:spacing w:val="-8"/>
          <w:sz w:val="21"/>
        </w:rPr>
        <w:t xml:space="preserve"> 款“当候乘厅与入口不在同层</w:t>
      </w:r>
      <w:r>
        <w:rPr>
          <w:spacing w:val="-5"/>
          <w:w w:val="95"/>
          <w:sz w:val="21"/>
        </w:rPr>
        <w:t>时，应设置自动扶梯和无障碍电梯或无障碍坡道。”因无障碍坡道占地过大，设置无障碍电梯时可不设无</w:t>
      </w:r>
    </w:p>
    <w:p>
      <w:pPr>
        <w:spacing w:after="0" w:line="417" w:lineRule="auto"/>
        <w:jc w:val="both"/>
        <w:rPr>
          <w:sz w:val="21"/>
        </w:rPr>
        <w:sectPr>
          <w:pgSz w:w="11910" w:h="16840"/>
          <w:pgMar w:top="1580" w:right="820" w:bottom="1420" w:left="1020" w:header="0" w:footer="1232" w:gutter="0"/>
          <w:cols w:space="720" w:num="1"/>
        </w:sectPr>
      </w:pPr>
    </w:p>
    <w:p>
      <w:pPr>
        <w:pStyle w:val="5"/>
        <w:spacing w:before="60" w:line="417" w:lineRule="auto"/>
        <w:ind w:left="112" w:right="292"/>
      </w:pPr>
      <w:r>
        <w:rPr>
          <w:w w:val="95"/>
        </w:rPr>
        <w:t xml:space="preserve">障碍坡道，因此，本款规定入口与候乘厅不在同一层时，应设置自动扶梯和无障碍电梯，方便乘轮椅者、   </w:t>
      </w:r>
      <w:r>
        <w:t>携婴儿车者及携大件行李者通行。</w:t>
      </w:r>
    </w:p>
    <w:p>
      <w:pPr>
        <w:pStyle w:val="12"/>
        <w:numPr>
          <w:ilvl w:val="0"/>
          <w:numId w:val="204"/>
        </w:numPr>
        <w:tabs>
          <w:tab w:val="left" w:pos="960"/>
        </w:tabs>
        <w:spacing w:before="0" w:after="0" w:line="417" w:lineRule="auto"/>
        <w:ind w:left="112" w:right="310" w:firstLine="427"/>
        <w:jc w:val="both"/>
        <w:rPr>
          <w:sz w:val="21"/>
        </w:rPr>
      </w:pPr>
      <w:r>
        <w:rPr>
          <w:sz w:val="21"/>
        </w:rPr>
        <w:t>《无障碍设计规范》</w:t>
      </w:r>
      <w:r>
        <w:rPr>
          <w:rFonts w:hint="eastAsia" w:ascii="仿宋" w:hAnsi="仿宋" w:eastAsia="仿宋"/>
          <w:sz w:val="21"/>
        </w:rPr>
        <w:t xml:space="preserve">GB </w:t>
      </w:r>
      <w:r>
        <w:rPr>
          <w:sz w:val="21"/>
        </w:rPr>
        <w:t>50763-2012</w:t>
      </w:r>
      <w:r>
        <w:rPr>
          <w:spacing w:val="-34"/>
          <w:sz w:val="21"/>
        </w:rPr>
        <w:t xml:space="preserve"> 第 </w:t>
      </w:r>
      <w:r>
        <w:rPr>
          <w:sz w:val="21"/>
        </w:rPr>
        <w:t>8.9.2</w:t>
      </w:r>
      <w:r>
        <w:rPr>
          <w:spacing w:val="-27"/>
          <w:sz w:val="21"/>
        </w:rPr>
        <w:t xml:space="preserve"> 条第 </w:t>
      </w:r>
      <w:r>
        <w:rPr>
          <w:sz w:val="21"/>
        </w:rPr>
        <w:t>4</w:t>
      </w:r>
      <w:r>
        <w:rPr>
          <w:spacing w:val="-13"/>
          <w:sz w:val="21"/>
        </w:rPr>
        <w:t xml:space="preserve"> 款“每层应设置 </w:t>
      </w:r>
      <w:r>
        <w:rPr>
          <w:sz w:val="21"/>
        </w:rPr>
        <w:t>1</w:t>
      </w:r>
      <w:r>
        <w:rPr>
          <w:spacing w:val="-8"/>
          <w:sz w:val="21"/>
        </w:rPr>
        <w:t xml:space="preserve"> 处带无障碍厕位的厕所供</w:t>
      </w:r>
      <w:r>
        <w:rPr>
          <w:spacing w:val="-12"/>
          <w:sz w:val="21"/>
        </w:rPr>
        <w:t xml:space="preserve">旅客使用或在公共厕所附近设置 </w:t>
      </w:r>
      <w:r>
        <w:rPr>
          <w:sz w:val="21"/>
        </w:rPr>
        <w:t>1</w:t>
      </w:r>
      <w:r>
        <w:rPr>
          <w:spacing w:val="-11"/>
          <w:sz w:val="21"/>
        </w:rPr>
        <w:t xml:space="preserve"> 个无障碍厕所，且建筑内至少应设置 </w:t>
      </w:r>
      <w:r>
        <w:rPr>
          <w:sz w:val="21"/>
        </w:rPr>
        <w:t>1</w:t>
      </w:r>
      <w:r>
        <w:rPr>
          <w:spacing w:val="-8"/>
          <w:sz w:val="21"/>
        </w:rPr>
        <w:t xml:space="preserve"> 处无障碍卫生间。”据调查表明</w:t>
      </w:r>
      <w:r>
        <w:rPr>
          <w:spacing w:val="-8"/>
          <w:w w:val="95"/>
          <w:sz w:val="21"/>
        </w:rPr>
        <w:t xml:space="preserve">无障碍卫生间更便于乘轮椅者使用。因此，本款规定条件允许时，在每层供旅客使用的公共卫生间附近设   </w:t>
      </w:r>
      <w:r>
        <w:rPr>
          <w:spacing w:val="-30"/>
          <w:sz w:val="21"/>
        </w:rPr>
        <w:t xml:space="preserve">置 </w:t>
      </w:r>
      <w:r>
        <w:rPr>
          <w:sz w:val="21"/>
        </w:rPr>
        <w:t>1</w:t>
      </w:r>
      <w:r>
        <w:rPr>
          <w:spacing w:val="-8"/>
          <w:sz w:val="21"/>
        </w:rPr>
        <w:t xml:space="preserve"> 个无障碍卫生间。</w:t>
      </w:r>
    </w:p>
    <w:p>
      <w:pPr>
        <w:pStyle w:val="12"/>
        <w:numPr>
          <w:ilvl w:val="0"/>
          <w:numId w:val="205"/>
        </w:numPr>
        <w:tabs>
          <w:tab w:val="left" w:pos="956"/>
        </w:tabs>
        <w:spacing w:before="0" w:after="0" w:line="417" w:lineRule="auto"/>
        <w:ind w:left="112" w:right="312" w:firstLine="420"/>
        <w:jc w:val="both"/>
        <w:rPr>
          <w:sz w:val="21"/>
        </w:rPr>
      </w:pPr>
      <w:r>
        <w:rPr>
          <w:sz w:val="21"/>
        </w:rPr>
        <w:t>参照《交通客运站建筑设计规范》JGJ/T</w:t>
      </w:r>
      <w:r>
        <w:rPr>
          <w:spacing w:val="3"/>
          <w:sz w:val="21"/>
        </w:rPr>
        <w:t xml:space="preserve"> </w:t>
      </w:r>
      <w:r>
        <w:rPr>
          <w:sz w:val="21"/>
        </w:rPr>
        <w:t>60-2012</w:t>
      </w:r>
      <w:r>
        <w:rPr>
          <w:spacing w:val="-35"/>
          <w:sz w:val="21"/>
        </w:rPr>
        <w:t xml:space="preserve"> 第 </w:t>
      </w:r>
      <w:r>
        <w:rPr>
          <w:sz w:val="21"/>
        </w:rPr>
        <w:t>6.2.3</w:t>
      </w:r>
      <w:r>
        <w:rPr>
          <w:spacing w:val="-7"/>
          <w:sz w:val="21"/>
        </w:rPr>
        <w:t xml:space="preserve"> 条“……汽车客运站检票口与站台有</w:t>
      </w:r>
      <w:r>
        <w:rPr>
          <w:spacing w:val="-10"/>
          <w:sz w:val="21"/>
        </w:rPr>
        <w:t xml:space="preserve">高差时，应设轮椅坡道，其坡度不得大于 </w:t>
      </w:r>
      <w:r>
        <w:rPr>
          <w:sz w:val="21"/>
        </w:rPr>
        <w:t>1:12。” 当港口客运站检票口与乘船通道有高差时，也应设置轮椅坡道。因此，本款规定检票口与乘车（船）通道存在高差时，应设置轮椅坡道来处理高差。</w:t>
      </w:r>
    </w:p>
    <w:p>
      <w:pPr>
        <w:pStyle w:val="12"/>
        <w:numPr>
          <w:ilvl w:val="0"/>
          <w:numId w:val="205"/>
        </w:numPr>
        <w:tabs>
          <w:tab w:val="left" w:pos="956"/>
        </w:tabs>
        <w:spacing w:before="0" w:after="0" w:line="417" w:lineRule="auto"/>
        <w:ind w:left="112" w:right="310" w:firstLine="420"/>
        <w:jc w:val="both"/>
        <w:rPr>
          <w:sz w:val="21"/>
        </w:rPr>
      </w:pPr>
      <w:r>
        <w:rPr>
          <w:sz w:val="21"/>
        </w:rPr>
        <w:t>参照《交通客运站建筑设计规范》JGJ/T</w:t>
      </w:r>
      <w:r>
        <w:rPr>
          <w:spacing w:val="6"/>
          <w:sz w:val="21"/>
        </w:rPr>
        <w:t xml:space="preserve"> </w:t>
      </w:r>
      <w:r>
        <w:rPr>
          <w:sz w:val="21"/>
        </w:rPr>
        <w:t>60-2012</w:t>
      </w:r>
      <w:r>
        <w:rPr>
          <w:spacing w:val="-33"/>
          <w:sz w:val="21"/>
        </w:rPr>
        <w:t xml:space="preserve"> 第 </w:t>
      </w:r>
      <w:r>
        <w:rPr>
          <w:sz w:val="21"/>
        </w:rPr>
        <w:t>6.7.9</w:t>
      </w:r>
      <w:r>
        <w:rPr>
          <w:spacing w:val="-8"/>
          <w:sz w:val="21"/>
        </w:rPr>
        <w:t xml:space="preserve"> 条“汽车客运站发车位为露天时，站</w:t>
      </w:r>
      <w:r>
        <w:rPr>
          <w:spacing w:val="-13"/>
          <w:sz w:val="21"/>
        </w:rPr>
        <w:t xml:space="preserve">台应设置雨棚……”和第 </w:t>
      </w:r>
      <w:r>
        <w:rPr>
          <w:sz w:val="21"/>
        </w:rPr>
        <w:t>6.2.4</w:t>
      </w:r>
      <w:r>
        <w:rPr>
          <w:spacing w:val="-9"/>
          <w:sz w:val="21"/>
        </w:rPr>
        <w:t xml:space="preserve"> 条“港口客运站室外候乘区应设避雨设施……”结合深圳市气候特征，本款规定汽车客运站、港口客运站室外站台、候乘区应设雨棚等蔽雨设施。</w:t>
      </w:r>
    </w:p>
    <w:p>
      <w:pPr>
        <w:pStyle w:val="12"/>
        <w:numPr>
          <w:ilvl w:val="2"/>
          <w:numId w:val="203"/>
        </w:numPr>
        <w:tabs>
          <w:tab w:val="left" w:pos="953"/>
        </w:tabs>
        <w:spacing w:before="0" w:after="0" w:line="269" w:lineRule="exact"/>
        <w:ind w:left="952" w:right="0" w:hanging="841"/>
        <w:jc w:val="both"/>
        <w:rPr>
          <w:sz w:val="21"/>
        </w:rPr>
      </w:pPr>
      <w:bookmarkStart w:id="993" w:name="8.3.37本条规定了铁路旅客车站建筑的无障碍设施要求。"/>
      <w:bookmarkEnd w:id="993"/>
      <w:bookmarkStart w:id="994" w:name="8.3.37本条规定了铁路旅客车站建筑的无障碍设施要求。"/>
      <w:bookmarkEnd w:id="994"/>
      <w:r>
        <w:rPr>
          <w:sz w:val="21"/>
        </w:rPr>
        <w:t>本条规定了铁路旅客车站建筑的无障碍设施要求。</w:t>
      </w:r>
    </w:p>
    <w:p>
      <w:pPr>
        <w:pStyle w:val="5"/>
        <w:spacing w:before="5"/>
        <w:rPr>
          <w:sz w:val="15"/>
        </w:rPr>
      </w:pPr>
    </w:p>
    <w:p>
      <w:pPr>
        <w:pStyle w:val="12"/>
        <w:numPr>
          <w:ilvl w:val="0"/>
          <w:numId w:val="206"/>
        </w:numPr>
        <w:tabs>
          <w:tab w:val="left" w:pos="953"/>
        </w:tabs>
        <w:spacing w:before="0" w:after="0" w:line="417" w:lineRule="auto"/>
        <w:ind w:left="112" w:right="235" w:firstLine="420"/>
        <w:jc w:val="both"/>
        <w:rPr>
          <w:sz w:val="21"/>
        </w:rPr>
      </w:pPr>
      <w:r>
        <w:rPr>
          <w:sz w:val="21"/>
        </w:rPr>
        <w:t>参照《铁路旅客车站设计规范》TB</w:t>
      </w:r>
      <w:r>
        <w:rPr>
          <w:spacing w:val="-5"/>
          <w:sz w:val="21"/>
        </w:rPr>
        <w:t xml:space="preserve"> </w:t>
      </w:r>
      <w:r>
        <w:rPr>
          <w:sz w:val="21"/>
        </w:rPr>
        <w:t>10100-2018</w:t>
      </w:r>
      <w:r>
        <w:rPr>
          <w:spacing w:val="-37"/>
          <w:sz w:val="21"/>
        </w:rPr>
        <w:t xml:space="preserve"> 第 </w:t>
      </w:r>
      <w:r>
        <w:rPr>
          <w:sz w:val="21"/>
        </w:rPr>
        <w:t>12.0.4</w:t>
      </w:r>
      <w:r>
        <w:rPr>
          <w:spacing w:val="-28"/>
          <w:sz w:val="21"/>
        </w:rPr>
        <w:t xml:space="preserve"> 条第 </w:t>
      </w:r>
      <w:r>
        <w:rPr>
          <w:sz w:val="21"/>
        </w:rPr>
        <w:t>2</w:t>
      </w:r>
      <w:r>
        <w:rPr>
          <w:spacing w:val="-8"/>
          <w:sz w:val="21"/>
        </w:rPr>
        <w:t xml:space="preserve"> 款“进站集散厅与候车区</w:t>
      </w:r>
      <w:r>
        <w:rPr>
          <w:sz w:val="21"/>
        </w:rPr>
        <w:t>（厅、室）之间、集散厅与地面层之间有高差时，应设置轮椅坡道或无障碍电梯。”本款规定集散厅与候乘厅、地面层存在高差时，应设置轮椅坡道，高差较大时设置无障碍电梯。</w:t>
      </w:r>
    </w:p>
    <w:p>
      <w:pPr>
        <w:pStyle w:val="12"/>
        <w:numPr>
          <w:ilvl w:val="0"/>
          <w:numId w:val="206"/>
        </w:numPr>
        <w:tabs>
          <w:tab w:val="left" w:pos="953"/>
        </w:tabs>
        <w:spacing w:before="0" w:after="0" w:line="417" w:lineRule="auto"/>
        <w:ind w:left="112" w:right="310" w:firstLine="420"/>
        <w:jc w:val="both"/>
        <w:rPr>
          <w:sz w:val="21"/>
        </w:rPr>
      </w:pPr>
      <w:r>
        <w:rPr>
          <w:spacing w:val="-3"/>
          <w:sz w:val="21"/>
        </w:rPr>
        <w:t>参照《铁路旅客车站设计规范》</w:t>
      </w:r>
      <w:r>
        <w:rPr>
          <w:sz w:val="21"/>
        </w:rPr>
        <w:t>TB</w:t>
      </w:r>
      <w:r>
        <w:rPr>
          <w:spacing w:val="-55"/>
          <w:sz w:val="21"/>
        </w:rPr>
        <w:t xml:space="preserve"> </w:t>
      </w:r>
      <w:r>
        <w:rPr>
          <w:sz w:val="21"/>
        </w:rPr>
        <w:t>10100-2018</w:t>
      </w:r>
      <w:r>
        <w:rPr>
          <w:spacing w:val="-38"/>
          <w:sz w:val="21"/>
        </w:rPr>
        <w:t xml:space="preserve"> 第 </w:t>
      </w:r>
      <w:r>
        <w:rPr>
          <w:sz w:val="21"/>
        </w:rPr>
        <w:t>6.4.1</w:t>
      </w:r>
      <w:r>
        <w:rPr>
          <w:spacing w:val="-12"/>
          <w:sz w:val="21"/>
        </w:rPr>
        <w:t xml:space="preserve"> 条“水平换乘距离大于 </w:t>
      </w:r>
      <w:r>
        <w:rPr>
          <w:sz w:val="21"/>
        </w:rPr>
        <w:t>300m</w:t>
      </w:r>
      <w:r>
        <w:rPr>
          <w:spacing w:val="-10"/>
          <w:sz w:val="21"/>
        </w:rPr>
        <w:t xml:space="preserve"> 的换乘通道宜设置自动人行道……”本款规定自动人行道的设置要求。</w:t>
      </w:r>
    </w:p>
    <w:p>
      <w:pPr>
        <w:pStyle w:val="12"/>
        <w:numPr>
          <w:ilvl w:val="0"/>
          <w:numId w:val="206"/>
        </w:numPr>
        <w:tabs>
          <w:tab w:val="left" w:pos="953"/>
        </w:tabs>
        <w:spacing w:before="0" w:after="0" w:line="417" w:lineRule="auto"/>
        <w:ind w:left="112" w:right="310" w:firstLine="420"/>
        <w:jc w:val="both"/>
        <w:rPr>
          <w:sz w:val="21"/>
        </w:rPr>
      </w:pPr>
      <w:r>
        <w:rPr>
          <w:sz w:val="21"/>
        </w:rPr>
        <w:t>参照《铁路旅客车站设计规范》TB</w:t>
      </w:r>
      <w:r>
        <w:rPr>
          <w:spacing w:val="-4"/>
          <w:sz w:val="21"/>
        </w:rPr>
        <w:t xml:space="preserve"> </w:t>
      </w:r>
      <w:r>
        <w:rPr>
          <w:sz w:val="21"/>
        </w:rPr>
        <w:t>10100-2018</w:t>
      </w:r>
      <w:r>
        <w:rPr>
          <w:spacing w:val="-38"/>
          <w:sz w:val="21"/>
        </w:rPr>
        <w:t xml:space="preserve"> 第 </w:t>
      </w:r>
      <w:r>
        <w:rPr>
          <w:sz w:val="21"/>
        </w:rPr>
        <w:t>12.0.11</w:t>
      </w:r>
      <w:r>
        <w:rPr>
          <w:spacing w:val="-28"/>
          <w:sz w:val="21"/>
        </w:rPr>
        <w:t xml:space="preserve"> 条第 </w:t>
      </w:r>
      <w:r>
        <w:rPr>
          <w:sz w:val="21"/>
        </w:rPr>
        <w:t>1</w:t>
      </w:r>
      <w:r>
        <w:rPr>
          <w:spacing w:val="-19"/>
          <w:sz w:val="21"/>
        </w:rPr>
        <w:t xml:space="preserve"> 款“中型 </w:t>
      </w:r>
      <w:r>
        <w:rPr>
          <w:sz w:val="21"/>
        </w:rPr>
        <w:t>4</w:t>
      </w:r>
      <w:r>
        <w:rPr>
          <w:spacing w:val="22"/>
          <w:sz w:val="21"/>
        </w:rPr>
        <w:t xml:space="preserve"> 中型及以上铁路</w:t>
      </w:r>
      <w:r>
        <w:rPr>
          <w:spacing w:val="10"/>
          <w:sz w:val="21"/>
        </w:rPr>
        <w:t xml:space="preserve">客站应设置专用无障碍厕所”、第 </w:t>
      </w:r>
      <w:r>
        <w:rPr>
          <w:sz w:val="21"/>
        </w:rPr>
        <w:t>2</w:t>
      </w:r>
      <w:r>
        <w:rPr>
          <w:spacing w:val="-9"/>
          <w:sz w:val="21"/>
        </w:rPr>
        <w:t xml:space="preserve"> 款“小型铁路客站宜设置专用无障碍厕所；困难时，应在公共厕所内</w:t>
      </w:r>
      <w:r>
        <w:rPr>
          <w:spacing w:val="-14"/>
          <w:sz w:val="21"/>
        </w:rPr>
        <w:t xml:space="preserve">设置无障碍厕位……”和第 </w:t>
      </w:r>
      <w:r>
        <w:rPr>
          <w:sz w:val="21"/>
        </w:rPr>
        <w:t>3</w:t>
      </w:r>
      <w:r>
        <w:rPr>
          <w:spacing w:val="-9"/>
          <w:sz w:val="21"/>
        </w:rPr>
        <w:t xml:space="preserve"> 款“设置第三卫生间的铁路客站，第三卫生间应兼作专用无障碍厕所。”本款规定了卫生间的设置要求。</w:t>
      </w:r>
    </w:p>
    <w:p>
      <w:pPr>
        <w:pStyle w:val="12"/>
        <w:numPr>
          <w:ilvl w:val="0"/>
          <w:numId w:val="206"/>
        </w:numPr>
        <w:tabs>
          <w:tab w:val="left" w:pos="956"/>
        </w:tabs>
        <w:spacing w:before="0" w:after="0" w:line="417" w:lineRule="auto"/>
        <w:ind w:left="112" w:right="310" w:firstLine="420"/>
        <w:jc w:val="both"/>
        <w:rPr>
          <w:sz w:val="21"/>
        </w:rPr>
      </w:pPr>
      <w:r>
        <w:rPr>
          <w:sz w:val="21"/>
        </w:rPr>
        <w:t>参照《铁路旅客车站设计规范》TB</w:t>
      </w:r>
      <w:r>
        <w:rPr>
          <w:spacing w:val="1"/>
          <w:sz w:val="21"/>
        </w:rPr>
        <w:t xml:space="preserve"> </w:t>
      </w:r>
      <w:r>
        <w:rPr>
          <w:sz w:val="21"/>
        </w:rPr>
        <w:t>10100-2018</w:t>
      </w:r>
      <w:r>
        <w:rPr>
          <w:spacing w:val="-33"/>
          <w:sz w:val="21"/>
        </w:rPr>
        <w:t xml:space="preserve"> 第 </w:t>
      </w:r>
      <w:r>
        <w:rPr>
          <w:sz w:val="21"/>
        </w:rPr>
        <w:t>12.0.12</w:t>
      </w:r>
      <w:r>
        <w:rPr>
          <w:spacing w:val="-26"/>
          <w:sz w:val="21"/>
        </w:rPr>
        <w:t xml:space="preserve"> 条第 </w:t>
      </w:r>
      <w:r>
        <w:rPr>
          <w:sz w:val="21"/>
        </w:rPr>
        <w:t>1</w:t>
      </w:r>
      <w:r>
        <w:rPr>
          <w:spacing w:val="-8"/>
          <w:sz w:val="21"/>
        </w:rPr>
        <w:t xml:space="preserve"> 款“站台安全警戒线内侧应设</w:t>
      </w:r>
      <w:r>
        <w:rPr>
          <w:spacing w:val="-34"/>
          <w:sz w:val="21"/>
        </w:rPr>
        <w:t xml:space="preserve">置 </w:t>
      </w:r>
      <w:r>
        <w:rPr>
          <w:sz w:val="21"/>
        </w:rPr>
        <w:t>600mm</w:t>
      </w:r>
      <w:r>
        <w:rPr>
          <w:spacing w:val="-10"/>
          <w:sz w:val="21"/>
        </w:rPr>
        <w:t xml:space="preserve"> 宽提示盲道，提示盲道宜与安全警戒线等长。安全警戒线内侧提示盲道应与出站铁路跨线设施在</w:t>
      </w:r>
      <w:r>
        <w:rPr>
          <w:spacing w:val="-10"/>
          <w:w w:val="95"/>
          <w:sz w:val="21"/>
        </w:rPr>
        <w:t xml:space="preserve">站台上的楼梯出入口、坡道出入口、无障碍电梯口的提示盲道之间采用行进盲道相连。”本款规定了站台   </w:t>
      </w:r>
      <w:r>
        <w:rPr>
          <w:spacing w:val="-10"/>
          <w:sz w:val="21"/>
        </w:rPr>
        <w:t>上盲道的设置要求。</w:t>
      </w:r>
    </w:p>
    <w:p>
      <w:pPr>
        <w:pStyle w:val="12"/>
        <w:numPr>
          <w:ilvl w:val="2"/>
          <w:numId w:val="203"/>
        </w:numPr>
        <w:tabs>
          <w:tab w:val="left" w:pos="953"/>
        </w:tabs>
        <w:spacing w:before="0" w:after="0" w:line="268" w:lineRule="exact"/>
        <w:ind w:left="952" w:right="0" w:hanging="841"/>
        <w:jc w:val="both"/>
        <w:rPr>
          <w:sz w:val="21"/>
        </w:rPr>
      </w:pPr>
      <w:bookmarkStart w:id="995" w:name="8.3.38本条规定了机场航站楼的无障碍设施要求。"/>
      <w:bookmarkEnd w:id="995"/>
      <w:bookmarkStart w:id="996" w:name="8.3.38本条规定了机场航站楼的无障碍设施要求。"/>
      <w:bookmarkEnd w:id="996"/>
      <w:r>
        <w:rPr>
          <w:sz w:val="21"/>
        </w:rPr>
        <w:t>本条规定了机场航站楼的无障碍设施要求。</w:t>
      </w:r>
    </w:p>
    <w:p>
      <w:pPr>
        <w:pStyle w:val="5"/>
        <w:spacing w:before="5"/>
        <w:rPr>
          <w:sz w:val="15"/>
        </w:rPr>
      </w:pPr>
    </w:p>
    <w:p>
      <w:pPr>
        <w:pStyle w:val="12"/>
        <w:numPr>
          <w:ilvl w:val="0"/>
          <w:numId w:val="207"/>
        </w:numPr>
        <w:tabs>
          <w:tab w:val="left" w:pos="960"/>
        </w:tabs>
        <w:spacing w:before="0" w:after="0" w:line="417" w:lineRule="auto"/>
        <w:ind w:left="112" w:right="312" w:firstLine="427"/>
        <w:jc w:val="both"/>
        <w:rPr>
          <w:sz w:val="21"/>
        </w:rPr>
      </w:pPr>
      <w:r>
        <w:rPr>
          <w:spacing w:val="-4"/>
          <w:sz w:val="21"/>
        </w:rPr>
        <w:t>参照《民用机场旅客航站区无障碍设施设备配置》</w:t>
      </w:r>
      <w:r>
        <w:rPr>
          <w:rFonts w:hint="eastAsia" w:ascii="仿宋" w:hAnsi="仿宋" w:eastAsia="仿宋"/>
          <w:sz w:val="21"/>
        </w:rPr>
        <w:t>MH-T</w:t>
      </w:r>
      <w:r>
        <w:rPr>
          <w:rFonts w:hint="eastAsia" w:ascii="仿宋" w:hAnsi="仿宋" w:eastAsia="仿宋"/>
          <w:spacing w:val="-59"/>
          <w:sz w:val="21"/>
        </w:rPr>
        <w:t xml:space="preserve"> </w:t>
      </w:r>
      <w:r>
        <w:rPr>
          <w:sz w:val="21"/>
        </w:rPr>
        <w:t>5107-2009</w:t>
      </w:r>
      <w:r>
        <w:rPr>
          <w:spacing w:val="-37"/>
          <w:sz w:val="21"/>
        </w:rPr>
        <w:t xml:space="preserve"> 第 </w:t>
      </w:r>
      <w:r>
        <w:rPr>
          <w:sz w:val="21"/>
        </w:rPr>
        <w:t>4.1.2</w:t>
      </w:r>
      <w:r>
        <w:rPr>
          <w:spacing w:val="-9"/>
          <w:sz w:val="21"/>
        </w:rPr>
        <w:t xml:space="preserve"> 条“在靠近航站楼主</w:t>
      </w:r>
      <w:r>
        <w:rPr>
          <w:spacing w:val="-10"/>
          <w:w w:val="95"/>
          <w:sz w:val="21"/>
        </w:rPr>
        <w:t>要出入口的站前机动车停车通道车道边应设一个供残疾人上下车的停车泊位。”本款规定了无障碍小汽车</w:t>
      </w:r>
    </w:p>
    <w:p>
      <w:pPr>
        <w:spacing w:after="0" w:line="417" w:lineRule="auto"/>
        <w:jc w:val="both"/>
        <w:rPr>
          <w:sz w:val="21"/>
        </w:rPr>
        <w:sectPr>
          <w:pgSz w:w="11910" w:h="16840"/>
          <w:pgMar w:top="1580" w:right="820" w:bottom="1420" w:left="1020" w:header="0" w:footer="1232" w:gutter="0"/>
          <w:cols w:space="720" w:num="1"/>
        </w:sectPr>
      </w:pPr>
    </w:p>
    <w:p>
      <w:pPr>
        <w:pStyle w:val="5"/>
        <w:spacing w:before="60"/>
        <w:ind w:left="112"/>
      </w:pPr>
      <w:r>
        <w:t>上/落客区的设置要求。</w:t>
      </w:r>
    </w:p>
    <w:p>
      <w:pPr>
        <w:pStyle w:val="5"/>
        <w:spacing w:before="6"/>
        <w:rPr>
          <w:sz w:val="15"/>
        </w:rPr>
      </w:pPr>
    </w:p>
    <w:p>
      <w:pPr>
        <w:pStyle w:val="12"/>
        <w:numPr>
          <w:ilvl w:val="0"/>
          <w:numId w:val="207"/>
        </w:numPr>
        <w:tabs>
          <w:tab w:val="left" w:pos="960"/>
        </w:tabs>
        <w:spacing w:before="1" w:after="0" w:line="417" w:lineRule="auto"/>
        <w:ind w:left="112" w:right="312" w:firstLine="427"/>
        <w:jc w:val="both"/>
        <w:rPr>
          <w:sz w:val="21"/>
        </w:rPr>
      </w:pPr>
      <w:r>
        <w:rPr>
          <w:sz w:val="21"/>
        </w:rPr>
        <w:t>参照《民用机场旅客航站区无障碍设施设备配置》</w:t>
      </w:r>
      <w:r>
        <w:rPr>
          <w:rFonts w:hint="eastAsia" w:ascii="仿宋" w:hAnsi="仿宋" w:eastAsia="仿宋"/>
          <w:sz w:val="21"/>
        </w:rPr>
        <w:t>MH-T</w:t>
      </w:r>
      <w:r>
        <w:rPr>
          <w:rFonts w:hint="eastAsia" w:ascii="仿宋" w:hAnsi="仿宋" w:eastAsia="仿宋"/>
          <w:spacing w:val="1"/>
          <w:sz w:val="21"/>
        </w:rPr>
        <w:t xml:space="preserve"> </w:t>
      </w:r>
      <w:r>
        <w:rPr>
          <w:sz w:val="21"/>
        </w:rPr>
        <w:t>5107-2009</w:t>
      </w:r>
      <w:r>
        <w:rPr>
          <w:spacing w:val="-34"/>
          <w:sz w:val="21"/>
        </w:rPr>
        <w:t xml:space="preserve"> 第 </w:t>
      </w:r>
      <w:r>
        <w:rPr>
          <w:sz w:val="21"/>
        </w:rPr>
        <w:t>5.10.1</w:t>
      </w:r>
      <w:r>
        <w:rPr>
          <w:spacing w:val="-8"/>
          <w:sz w:val="21"/>
        </w:rPr>
        <w:t xml:space="preserve"> 条“自动步道的宽度和坡度应适应轮椅适用者的使用……”本款规定机场自动人行道的宽度要求。</w:t>
      </w:r>
    </w:p>
    <w:p>
      <w:pPr>
        <w:pStyle w:val="12"/>
        <w:numPr>
          <w:ilvl w:val="0"/>
          <w:numId w:val="207"/>
        </w:numPr>
        <w:tabs>
          <w:tab w:val="left" w:pos="960"/>
        </w:tabs>
        <w:spacing w:before="0" w:after="0" w:line="417" w:lineRule="auto"/>
        <w:ind w:left="112" w:right="307" w:firstLine="427"/>
        <w:jc w:val="both"/>
        <w:rPr>
          <w:sz w:val="21"/>
        </w:rPr>
      </w:pPr>
      <w:r>
        <w:rPr>
          <w:spacing w:val="-4"/>
          <w:sz w:val="21"/>
        </w:rPr>
        <w:t>参照《民用机场旅客航站区无障碍设施设备配置》</w:t>
      </w:r>
      <w:r>
        <w:rPr>
          <w:rFonts w:hint="eastAsia" w:ascii="仿宋" w:hAnsi="仿宋" w:eastAsia="仿宋"/>
          <w:sz w:val="21"/>
        </w:rPr>
        <w:t>MH-T</w:t>
      </w:r>
      <w:r>
        <w:rPr>
          <w:rFonts w:hint="eastAsia" w:ascii="仿宋" w:hAnsi="仿宋" w:eastAsia="仿宋"/>
          <w:spacing w:val="-59"/>
          <w:sz w:val="21"/>
        </w:rPr>
        <w:t xml:space="preserve"> </w:t>
      </w:r>
      <w:r>
        <w:rPr>
          <w:sz w:val="21"/>
        </w:rPr>
        <w:t>5107-2009</w:t>
      </w:r>
      <w:r>
        <w:rPr>
          <w:spacing w:val="-37"/>
          <w:sz w:val="21"/>
        </w:rPr>
        <w:t xml:space="preserve"> 第 </w:t>
      </w:r>
      <w:r>
        <w:rPr>
          <w:sz w:val="21"/>
        </w:rPr>
        <w:t>5.2.2</w:t>
      </w:r>
      <w:r>
        <w:rPr>
          <w:spacing w:val="-9"/>
          <w:sz w:val="21"/>
        </w:rPr>
        <w:t xml:space="preserve"> 条“航站楼出发厅内</w:t>
      </w:r>
      <w:r>
        <w:rPr>
          <w:spacing w:val="-10"/>
          <w:w w:val="95"/>
          <w:sz w:val="21"/>
        </w:rPr>
        <w:t xml:space="preserve">的公共卫生间处应设无障碍卫生间，或在公共卫生间内设无障碍厕位、低位小便器和供残疾人使用的洗手   </w:t>
      </w:r>
      <w:r>
        <w:rPr>
          <w:spacing w:val="-16"/>
          <w:sz w:val="21"/>
        </w:rPr>
        <w:t xml:space="preserve">盆”、第 </w:t>
      </w:r>
      <w:r>
        <w:rPr>
          <w:sz w:val="21"/>
        </w:rPr>
        <w:t>5.4.2</w:t>
      </w:r>
      <w:r>
        <w:rPr>
          <w:spacing w:val="-10"/>
          <w:sz w:val="21"/>
        </w:rPr>
        <w:t xml:space="preserve"> 条“航站楼候机区内的无障碍卫生间的设置应符合 </w:t>
      </w:r>
      <w:r>
        <w:rPr>
          <w:sz w:val="21"/>
        </w:rPr>
        <w:t>5.2.5</w:t>
      </w:r>
      <w:r>
        <w:rPr>
          <w:spacing w:val="-17"/>
          <w:sz w:val="21"/>
        </w:rPr>
        <w:t xml:space="preserve"> 的要求”、第 </w:t>
      </w:r>
      <w:r>
        <w:rPr>
          <w:sz w:val="21"/>
        </w:rPr>
        <w:t>5.5.1</w:t>
      </w:r>
      <w:r>
        <w:rPr>
          <w:spacing w:val="-10"/>
          <w:sz w:val="21"/>
        </w:rPr>
        <w:t xml:space="preserve"> 条“航站楼</w:t>
      </w:r>
      <w:r>
        <w:rPr>
          <w:spacing w:val="-13"/>
          <w:sz w:val="21"/>
        </w:rPr>
        <w:t xml:space="preserve">行李提取区内无障碍卫生间的设置应符合 </w:t>
      </w:r>
      <w:r>
        <w:rPr>
          <w:sz w:val="21"/>
        </w:rPr>
        <w:t>5.2.5</w:t>
      </w:r>
      <w:r>
        <w:rPr>
          <w:spacing w:val="-18"/>
          <w:sz w:val="21"/>
        </w:rPr>
        <w:t xml:space="preserve"> 的要求”、第 </w:t>
      </w:r>
      <w:r>
        <w:rPr>
          <w:sz w:val="21"/>
        </w:rPr>
        <w:t>5.6.2</w:t>
      </w:r>
      <w:r>
        <w:rPr>
          <w:spacing w:val="-9"/>
          <w:sz w:val="21"/>
        </w:rPr>
        <w:t xml:space="preserve"> 条“航站楼到达厅内的无障碍卫生间</w:t>
      </w:r>
      <w:r>
        <w:rPr>
          <w:spacing w:val="-17"/>
          <w:sz w:val="21"/>
        </w:rPr>
        <w:t xml:space="preserve">的设置应符合 </w:t>
      </w:r>
      <w:r>
        <w:rPr>
          <w:sz w:val="21"/>
        </w:rPr>
        <w:t>5.2.5</w:t>
      </w:r>
      <w:r>
        <w:rPr>
          <w:spacing w:val="-9"/>
          <w:sz w:val="21"/>
        </w:rPr>
        <w:t xml:space="preserve"> 的要求。”本款规定了航站楼出发厅、候机厅、行李提取区、到达厅的卫生间设置要求。</w:t>
      </w:r>
    </w:p>
    <w:p>
      <w:pPr>
        <w:pStyle w:val="12"/>
        <w:numPr>
          <w:ilvl w:val="0"/>
          <w:numId w:val="207"/>
        </w:numPr>
        <w:tabs>
          <w:tab w:val="left" w:pos="960"/>
        </w:tabs>
        <w:spacing w:before="0" w:after="0" w:line="417" w:lineRule="auto"/>
        <w:ind w:left="112" w:right="310" w:firstLine="427"/>
        <w:jc w:val="both"/>
        <w:rPr>
          <w:sz w:val="21"/>
        </w:rPr>
      </w:pPr>
      <w:r>
        <w:rPr>
          <w:spacing w:val="-4"/>
          <w:sz w:val="21"/>
        </w:rPr>
        <w:t>参照《民用机场旅客航站区无障碍设施设备配置》</w:t>
      </w:r>
      <w:r>
        <w:rPr>
          <w:rFonts w:hint="eastAsia" w:ascii="仿宋" w:hAnsi="仿宋" w:eastAsia="仿宋"/>
          <w:sz w:val="21"/>
        </w:rPr>
        <w:t>MH-T</w:t>
      </w:r>
      <w:r>
        <w:rPr>
          <w:rFonts w:hint="eastAsia" w:ascii="仿宋" w:hAnsi="仿宋" w:eastAsia="仿宋"/>
          <w:spacing w:val="-59"/>
          <w:sz w:val="21"/>
        </w:rPr>
        <w:t xml:space="preserve"> </w:t>
      </w:r>
      <w:r>
        <w:rPr>
          <w:sz w:val="21"/>
        </w:rPr>
        <w:t>5107-2009</w:t>
      </w:r>
      <w:r>
        <w:rPr>
          <w:spacing w:val="-37"/>
          <w:sz w:val="21"/>
        </w:rPr>
        <w:t xml:space="preserve"> 第 </w:t>
      </w:r>
      <w:r>
        <w:rPr>
          <w:sz w:val="21"/>
        </w:rPr>
        <w:t>5.2.3</w:t>
      </w:r>
      <w:r>
        <w:rPr>
          <w:spacing w:val="-9"/>
          <w:sz w:val="21"/>
        </w:rPr>
        <w:t xml:space="preserve"> 条“旅客出发厅内公用电话处，应设有供残疾人旅客使用的电话……”本款规定公用电话处应设置 </w:t>
      </w:r>
      <w:r>
        <w:rPr>
          <w:sz w:val="21"/>
        </w:rPr>
        <w:t>1</w:t>
      </w:r>
      <w:r>
        <w:rPr>
          <w:spacing w:val="-9"/>
          <w:sz w:val="21"/>
        </w:rPr>
        <w:t xml:space="preserve"> 个无障碍电话，无障碍电话高度应方便乘轮椅者使用。</w:t>
      </w:r>
    </w:p>
    <w:p>
      <w:pPr>
        <w:pStyle w:val="12"/>
        <w:numPr>
          <w:ilvl w:val="2"/>
          <w:numId w:val="188"/>
        </w:numPr>
        <w:tabs>
          <w:tab w:val="left" w:pos="4724"/>
        </w:tabs>
        <w:spacing w:before="0" w:after="0" w:line="269" w:lineRule="exact"/>
        <w:ind w:left="4723" w:right="0" w:hanging="421"/>
        <w:jc w:val="left"/>
        <w:rPr>
          <w:rFonts w:hint="eastAsia" w:ascii="黑体" w:eastAsia="黑体"/>
          <w:sz w:val="21"/>
        </w:rPr>
      </w:pPr>
      <w:bookmarkStart w:id="997" w:name="8.4工业建筑"/>
      <w:bookmarkEnd w:id="997"/>
      <w:bookmarkStart w:id="998" w:name="_bookmark53"/>
      <w:bookmarkEnd w:id="998"/>
      <w:bookmarkStart w:id="999" w:name="_bookmark53"/>
      <w:bookmarkEnd w:id="999"/>
      <w:r>
        <w:rPr>
          <w:rFonts w:hint="eastAsia" w:ascii="黑体" w:eastAsia="黑体"/>
          <w:sz w:val="21"/>
        </w:rPr>
        <w:t>工业建筑</w:t>
      </w:r>
    </w:p>
    <w:p>
      <w:pPr>
        <w:pStyle w:val="5"/>
        <w:spacing w:before="5"/>
        <w:rPr>
          <w:rFonts w:ascii="黑体"/>
          <w:sz w:val="15"/>
        </w:rPr>
      </w:pPr>
    </w:p>
    <w:p>
      <w:pPr>
        <w:pStyle w:val="12"/>
        <w:numPr>
          <w:ilvl w:val="2"/>
          <w:numId w:val="208"/>
        </w:numPr>
        <w:tabs>
          <w:tab w:val="left" w:pos="953"/>
        </w:tabs>
        <w:spacing w:before="0" w:after="0" w:line="417" w:lineRule="auto"/>
        <w:ind w:left="112" w:right="292" w:firstLine="0"/>
        <w:jc w:val="both"/>
        <w:rPr>
          <w:sz w:val="21"/>
        </w:rPr>
      </w:pPr>
      <w:bookmarkStart w:id="1000" w:name="8.4.1本条规定了招收残障人士的工业建筑实施无障碍设计的范围。考虑到工业建筑封"/>
      <w:bookmarkEnd w:id="1000"/>
      <w:bookmarkStart w:id="1001" w:name="8.4.1本条规定了招收残障人士的工业建筑实施无障碍设计的范围。考虑到工业建筑封"/>
      <w:bookmarkEnd w:id="1001"/>
      <w:r>
        <w:rPr>
          <w:w w:val="95"/>
          <w:sz w:val="21"/>
        </w:rPr>
        <w:t xml:space="preserve">本条规定了招收残障人士的工业建筑实施无障碍设计的范围。考虑到工业建筑封闭管理的特征，   </w:t>
      </w:r>
      <w:r>
        <w:rPr>
          <w:spacing w:val="-1"/>
          <w:sz w:val="21"/>
        </w:rPr>
        <w:t>本标准针对招收残障人士的工业建筑进行无障碍设计要求。新型产业建筑无障碍设计应参考办公建筑要求执行。</w:t>
      </w:r>
    </w:p>
    <w:p>
      <w:pPr>
        <w:pStyle w:val="12"/>
        <w:numPr>
          <w:ilvl w:val="2"/>
          <w:numId w:val="208"/>
        </w:numPr>
        <w:tabs>
          <w:tab w:val="left" w:pos="953"/>
        </w:tabs>
        <w:spacing w:before="0" w:after="0" w:line="417" w:lineRule="auto"/>
        <w:ind w:left="112" w:right="315" w:firstLine="0"/>
        <w:jc w:val="both"/>
        <w:rPr>
          <w:sz w:val="21"/>
        </w:rPr>
      </w:pPr>
      <w:bookmarkStart w:id="1002" w:name="8.4.2本条规定了工业建筑厂区的无障碍设计要求。本标准中厂区系指工业建筑工程项"/>
      <w:bookmarkEnd w:id="1002"/>
      <w:bookmarkStart w:id="1003" w:name="8.4.2本条规定了工业建筑厂区的无障碍设计要求。本标准中厂区系指工业建筑工程项"/>
      <w:bookmarkEnd w:id="1003"/>
      <w:r>
        <w:rPr>
          <w:spacing w:val="-2"/>
          <w:w w:val="95"/>
          <w:sz w:val="21"/>
        </w:rPr>
        <w:t xml:space="preserve">本条规定了工业建筑厂区的无障碍设计要求。本标准中厂区系指工业建筑工程项目红线内扣除主   </w:t>
      </w:r>
      <w:r>
        <w:rPr>
          <w:spacing w:val="-2"/>
          <w:sz w:val="21"/>
        </w:rPr>
        <w:t>体建筑单体之后的室外部分。</w:t>
      </w:r>
    </w:p>
    <w:p>
      <w:pPr>
        <w:pStyle w:val="12"/>
        <w:numPr>
          <w:ilvl w:val="0"/>
          <w:numId w:val="209"/>
        </w:numPr>
        <w:tabs>
          <w:tab w:val="left" w:pos="956"/>
        </w:tabs>
        <w:spacing w:before="0" w:after="0" w:line="417" w:lineRule="auto"/>
        <w:ind w:left="112" w:right="310" w:firstLine="420"/>
        <w:jc w:val="both"/>
        <w:rPr>
          <w:sz w:val="21"/>
        </w:rPr>
      </w:pPr>
      <w:r>
        <w:rPr>
          <w:sz w:val="21"/>
        </w:rPr>
        <w:t>参照《多层工业建筑无障碍指南》</w:t>
      </w:r>
      <w:r>
        <w:rPr>
          <w:rFonts w:hint="eastAsia" w:ascii="仿宋" w:hAnsi="仿宋" w:eastAsia="仿宋"/>
          <w:sz w:val="21"/>
        </w:rPr>
        <w:t>T</w:t>
      </w:r>
      <w:r>
        <w:rPr>
          <w:sz w:val="21"/>
        </w:rPr>
        <w:t>/</w:t>
      </w:r>
      <w:r>
        <w:rPr>
          <w:rFonts w:hint="eastAsia" w:ascii="仿宋" w:hAnsi="仿宋" w:eastAsia="仿宋"/>
          <w:sz w:val="21"/>
        </w:rPr>
        <w:t>CAPPD</w:t>
      </w:r>
      <w:r>
        <w:rPr>
          <w:rFonts w:hint="eastAsia" w:ascii="仿宋" w:hAnsi="仿宋" w:eastAsia="仿宋"/>
          <w:spacing w:val="5"/>
          <w:sz w:val="21"/>
        </w:rPr>
        <w:t xml:space="preserve"> </w:t>
      </w:r>
      <w:r>
        <w:rPr>
          <w:sz w:val="21"/>
        </w:rPr>
        <w:t>2—2018</w:t>
      </w:r>
      <w:r>
        <w:rPr>
          <w:spacing w:val="-34"/>
          <w:sz w:val="21"/>
        </w:rPr>
        <w:t xml:space="preserve"> 第 </w:t>
      </w:r>
      <w:r>
        <w:rPr>
          <w:sz w:val="21"/>
        </w:rPr>
        <w:t>4.5</w:t>
      </w:r>
      <w:r>
        <w:rPr>
          <w:spacing w:val="-8"/>
          <w:sz w:val="21"/>
        </w:rPr>
        <w:t xml:space="preserve"> 节“多层工业建筑厂区内人行通道与</w:t>
      </w:r>
      <w:r>
        <w:rPr>
          <w:spacing w:val="-8"/>
          <w:w w:val="95"/>
          <w:sz w:val="21"/>
        </w:rPr>
        <w:t xml:space="preserve">无障碍通道地面应平整防滑、无反光，不应采用柔软地面……”本款规定厂区内人行通道与无障碍通道的   </w:t>
      </w:r>
      <w:r>
        <w:rPr>
          <w:spacing w:val="-8"/>
          <w:sz w:val="21"/>
        </w:rPr>
        <w:t>地面要求。</w:t>
      </w:r>
    </w:p>
    <w:p>
      <w:pPr>
        <w:pStyle w:val="12"/>
        <w:numPr>
          <w:ilvl w:val="0"/>
          <w:numId w:val="209"/>
        </w:numPr>
        <w:tabs>
          <w:tab w:val="left" w:pos="953"/>
        </w:tabs>
        <w:spacing w:before="0" w:after="0" w:line="269" w:lineRule="exact"/>
        <w:ind w:left="952" w:right="0" w:hanging="421"/>
        <w:jc w:val="both"/>
        <w:rPr>
          <w:sz w:val="21"/>
        </w:rPr>
      </w:pPr>
      <w:r>
        <w:rPr>
          <w:sz w:val="21"/>
        </w:rPr>
        <w:t>工业厂区内无障碍机动车停车位宜靠近残障人士使用的车间、办公室设置。</w:t>
      </w:r>
    </w:p>
    <w:p>
      <w:pPr>
        <w:pStyle w:val="5"/>
        <w:spacing w:before="6"/>
        <w:rPr>
          <w:sz w:val="15"/>
        </w:rPr>
      </w:pPr>
    </w:p>
    <w:p>
      <w:pPr>
        <w:pStyle w:val="12"/>
        <w:numPr>
          <w:ilvl w:val="0"/>
          <w:numId w:val="209"/>
        </w:numPr>
        <w:tabs>
          <w:tab w:val="left" w:pos="956"/>
        </w:tabs>
        <w:spacing w:before="0" w:after="0" w:line="417" w:lineRule="auto"/>
        <w:ind w:left="112" w:right="208" w:firstLine="420"/>
        <w:jc w:val="both"/>
        <w:rPr>
          <w:sz w:val="21"/>
        </w:rPr>
      </w:pPr>
      <w:r>
        <w:rPr>
          <w:sz w:val="21"/>
        </w:rPr>
        <w:t>参照《多层工业建筑无障碍指南》</w:t>
      </w:r>
      <w:r>
        <w:rPr>
          <w:rFonts w:hint="eastAsia" w:ascii="仿宋" w:hAnsi="仿宋" w:eastAsia="仿宋"/>
          <w:sz w:val="21"/>
        </w:rPr>
        <w:t>T</w:t>
      </w:r>
      <w:r>
        <w:rPr>
          <w:sz w:val="21"/>
        </w:rPr>
        <w:t>/</w:t>
      </w:r>
      <w:r>
        <w:rPr>
          <w:rFonts w:hint="eastAsia" w:ascii="仿宋" w:hAnsi="仿宋" w:eastAsia="仿宋"/>
          <w:sz w:val="21"/>
        </w:rPr>
        <w:t>CAPPD</w:t>
      </w:r>
      <w:r>
        <w:rPr>
          <w:rFonts w:hint="eastAsia" w:ascii="仿宋" w:hAnsi="仿宋" w:eastAsia="仿宋"/>
          <w:spacing w:val="4"/>
          <w:sz w:val="21"/>
        </w:rPr>
        <w:t xml:space="preserve"> </w:t>
      </w:r>
      <w:r>
        <w:rPr>
          <w:sz w:val="21"/>
        </w:rPr>
        <w:t>2—2018</w:t>
      </w:r>
      <w:r>
        <w:rPr>
          <w:spacing w:val="-34"/>
          <w:sz w:val="21"/>
        </w:rPr>
        <w:t xml:space="preserve"> 第 </w:t>
      </w:r>
      <w:r>
        <w:rPr>
          <w:sz w:val="21"/>
        </w:rPr>
        <w:t>4.6</w:t>
      </w:r>
      <w:r>
        <w:rPr>
          <w:spacing w:val="-8"/>
          <w:sz w:val="21"/>
        </w:rPr>
        <w:t xml:space="preserve"> 节“厂房内生产车间与生活用房间距</w:t>
      </w:r>
      <w:r>
        <w:rPr>
          <w:spacing w:val="-20"/>
          <w:sz w:val="21"/>
        </w:rPr>
        <w:t xml:space="preserve">离大于 </w:t>
      </w:r>
      <w:r>
        <w:rPr>
          <w:sz w:val="21"/>
        </w:rPr>
        <w:t>500</w:t>
      </w:r>
      <w:r>
        <w:rPr>
          <w:rFonts w:hint="eastAsia" w:ascii="仿宋" w:hAnsi="仿宋" w:eastAsia="仿宋"/>
          <w:sz w:val="21"/>
        </w:rPr>
        <w:t>m</w:t>
      </w:r>
      <w:r>
        <w:rPr>
          <w:spacing w:val="-6"/>
          <w:sz w:val="21"/>
        </w:rPr>
        <w:t xml:space="preserve">，以及地形坡度大于 </w:t>
      </w:r>
      <w:r>
        <w:rPr>
          <w:sz w:val="21"/>
        </w:rPr>
        <w:t>6</w:t>
      </w:r>
      <w:r>
        <w:rPr>
          <w:spacing w:val="-4"/>
          <w:sz w:val="21"/>
        </w:rPr>
        <w:t xml:space="preserve">%的劳动密集型既有多层工业建筑厂区，每 </w:t>
      </w:r>
      <w:r>
        <w:rPr>
          <w:sz w:val="21"/>
        </w:rPr>
        <w:t>500</w:t>
      </w:r>
      <w:r>
        <w:rPr>
          <w:rFonts w:hint="eastAsia" w:ascii="仿宋" w:hAnsi="仿宋" w:eastAsia="仿宋"/>
          <w:sz w:val="21"/>
        </w:rPr>
        <w:t>m</w:t>
      </w:r>
      <w:r>
        <w:rPr>
          <w:rFonts w:hint="eastAsia" w:ascii="仿宋" w:hAnsi="仿宋" w:eastAsia="仿宋"/>
          <w:spacing w:val="-56"/>
          <w:sz w:val="21"/>
        </w:rPr>
        <w:t xml:space="preserve"> </w:t>
      </w:r>
      <w:r>
        <w:rPr>
          <w:sz w:val="21"/>
        </w:rPr>
        <w:t>间距宜设置座椅或休息</w:t>
      </w:r>
      <w:r>
        <w:rPr>
          <w:spacing w:val="-6"/>
          <w:sz w:val="21"/>
        </w:rPr>
        <w:t xml:space="preserve">区。”结合深圳市气候特征，本款规定生产车间与生活用房距离大于 </w:t>
      </w:r>
      <w:r>
        <w:rPr>
          <w:sz w:val="21"/>
        </w:rPr>
        <w:t>500m</w:t>
      </w:r>
      <w:r>
        <w:rPr>
          <w:spacing w:val="-9"/>
          <w:sz w:val="21"/>
        </w:rPr>
        <w:t xml:space="preserve"> 时，宜结合绿化设置休息座椅。</w:t>
      </w:r>
    </w:p>
    <w:p>
      <w:pPr>
        <w:pStyle w:val="12"/>
        <w:numPr>
          <w:ilvl w:val="2"/>
          <w:numId w:val="208"/>
        </w:numPr>
        <w:tabs>
          <w:tab w:val="left" w:pos="953"/>
        </w:tabs>
        <w:spacing w:before="0" w:after="0" w:line="269" w:lineRule="exact"/>
        <w:ind w:left="952" w:right="0" w:hanging="841"/>
        <w:jc w:val="both"/>
        <w:rPr>
          <w:sz w:val="21"/>
        </w:rPr>
      </w:pPr>
      <w:bookmarkStart w:id="1004" w:name="8.4.3本条规定了工业建筑单体的无障碍设计要求。"/>
      <w:bookmarkEnd w:id="1004"/>
      <w:bookmarkStart w:id="1005" w:name="8.4.3本条规定了工业建筑单体的无障碍设计要求。"/>
      <w:bookmarkEnd w:id="1005"/>
      <w:r>
        <w:rPr>
          <w:sz w:val="21"/>
        </w:rPr>
        <w:t>本条规定了工业建筑单体的无障碍设计要求。</w:t>
      </w:r>
    </w:p>
    <w:p>
      <w:pPr>
        <w:pStyle w:val="5"/>
        <w:spacing w:before="6"/>
        <w:rPr>
          <w:sz w:val="15"/>
        </w:rPr>
      </w:pPr>
    </w:p>
    <w:p>
      <w:pPr>
        <w:pStyle w:val="5"/>
        <w:spacing w:before="1" w:line="417" w:lineRule="auto"/>
        <w:ind w:left="112" w:right="315" w:firstLine="420"/>
        <w:jc w:val="both"/>
      </w:pPr>
      <w:r>
        <w:t>1 建筑主要出入口无条件设置无障碍出入口时，也可在其他出入口设置，但其位置应明显，并有明确的指示标识。</w:t>
      </w:r>
    </w:p>
    <w:p>
      <w:pPr>
        <w:pStyle w:val="12"/>
        <w:numPr>
          <w:ilvl w:val="0"/>
          <w:numId w:val="210"/>
        </w:numPr>
        <w:tabs>
          <w:tab w:val="left" w:pos="953"/>
        </w:tabs>
        <w:spacing w:before="0" w:after="0" w:line="269" w:lineRule="exact"/>
        <w:ind w:left="952" w:right="0" w:hanging="421"/>
        <w:jc w:val="both"/>
        <w:rPr>
          <w:sz w:val="21"/>
        </w:rPr>
      </w:pPr>
      <w:r>
        <w:rPr>
          <w:sz w:val="21"/>
        </w:rPr>
        <w:t>在残障人士使用的生产操作区所在的楼层设置满足无障碍要求的卫生间，供残障人士使用。</w:t>
      </w:r>
    </w:p>
    <w:p>
      <w:pPr>
        <w:spacing w:after="0" w:line="269" w:lineRule="exact"/>
        <w:jc w:val="both"/>
        <w:rPr>
          <w:sz w:val="21"/>
        </w:rPr>
        <w:sectPr>
          <w:pgSz w:w="11910" w:h="16840"/>
          <w:pgMar w:top="1580" w:right="820" w:bottom="1420" w:left="1020" w:header="0" w:footer="1232" w:gutter="0"/>
          <w:cols w:space="720" w:num="1"/>
        </w:sectPr>
      </w:pPr>
    </w:p>
    <w:p>
      <w:pPr>
        <w:pStyle w:val="12"/>
        <w:numPr>
          <w:ilvl w:val="0"/>
          <w:numId w:val="210"/>
        </w:numPr>
        <w:tabs>
          <w:tab w:val="left" w:pos="959"/>
          <w:tab w:val="left" w:pos="960"/>
        </w:tabs>
        <w:spacing w:before="60" w:after="0" w:line="240" w:lineRule="auto"/>
        <w:ind w:left="960" w:right="0" w:hanging="420"/>
        <w:jc w:val="left"/>
        <w:rPr>
          <w:sz w:val="21"/>
        </w:rPr>
      </w:pPr>
      <w:r>
        <w:rPr>
          <w:sz w:val="21"/>
        </w:rPr>
        <w:t>无障碍工作台宜靠近安全出口、无障碍电梯设置。</w:t>
      </w:r>
    </w:p>
    <w:p>
      <w:pPr>
        <w:pStyle w:val="5"/>
        <w:spacing w:before="6"/>
        <w:rPr>
          <w:sz w:val="15"/>
        </w:rPr>
      </w:pPr>
    </w:p>
    <w:p>
      <w:pPr>
        <w:pStyle w:val="12"/>
        <w:numPr>
          <w:ilvl w:val="2"/>
          <w:numId w:val="188"/>
        </w:numPr>
        <w:tabs>
          <w:tab w:val="left" w:pos="4724"/>
        </w:tabs>
        <w:spacing w:before="1" w:after="0" w:line="240" w:lineRule="auto"/>
        <w:ind w:left="4723" w:right="0" w:hanging="421"/>
        <w:jc w:val="left"/>
        <w:rPr>
          <w:rFonts w:hint="eastAsia" w:ascii="黑体" w:eastAsia="黑体"/>
          <w:sz w:val="21"/>
        </w:rPr>
      </w:pPr>
      <w:bookmarkStart w:id="1006" w:name="8.5其他建筑"/>
      <w:bookmarkEnd w:id="1006"/>
      <w:bookmarkStart w:id="1007" w:name="_bookmark54"/>
      <w:bookmarkEnd w:id="1007"/>
      <w:bookmarkStart w:id="1008" w:name="_bookmark54"/>
      <w:bookmarkEnd w:id="1008"/>
      <w:r>
        <w:rPr>
          <w:rFonts w:hint="eastAsia" w:ascii="黑体" w:eastAsia="黑体"/>
          <w:sz w:val="21"/>
        </w:rPr>
        <w:t>其他建筑</w:t>
      </w:r>
    </w:p>
    <w:p>
      <w:pPr>
        <w:pStyle w:val="5"/>
        <w:spacing w:before="6"/>
        <w:rPr>
          <w:rFonts w:ascii="黑体"/>
          <w:sz w:val="15"/>
        </w:rPr>
      </w:pPr>
    </w:p>
    <w:p>
      <w:pPr>
        <w:pStyle w:val="12"/>
        <w:numPr>
          <w:ilvl w:val="0"/>
          <w:numId w:val="211"/>
        </w:numPr>
        <w:tabs>
          <w:tab w:val="left" w:pos="4172"/>
        </w:tabs>
        <w:spacing w:before="0" w:after="0" w:line="240" w:lineRule="auto"/>
        <w:ind w:left="4171" w:right="202" w:hanging="4172"/>
        <w:jc w:val="left"/>
        <w:rPr>
          <w:rFonts w:hint="eastAsia" w:ascii="黑体" w:eastAsia="黑体"/>
          <w:sz w:val="21"/>
        </w:rPr>
      </w:pPr>
      <w:bookmarkStart w:id="1009" w:name="I历史文物保护建筑"/>
      <w:bookmarkEnd w:id="1009"/>
      <w:bookmarkStart w:id="1010" w:name="I历史文物保护建筑"/>
      <w:bookmarkEnd w:id="1010"/>
      <w:r>
        <w:rPr>
          <w:rFonts w:hint="eastAsia" w:ascii="黑体" w:eastAsia="黑体"/>
          <w:sz w:val="21"/>
        </w:rPr>
        <w:t>历史文物保护建筑</w:t>
      </w:r>
    </w:p>
    <w:p>
      <w:pPr>
        <w:pStyle w:val="5"/>
        <w:spacing w:before="7"/>
        <w:rPr>
          <w:rFonts w:ascii="黑体"/>
          <w:sz w:val="15"/>
        </w:rPr>
      </w:pPr>
    </w:p>
    <w:p>
      <w:pPr>
        <w:pStyle w:val="12"/>
        <w:numPr>
          <w:ilvl w:val="2"/>
          <w:numId w:val="212"/>
        </w:numPr>
        <w:tabs>
          <w:tab w:val="left" w:pos="952"/>
          <w:tab w:val="left" w:pos="953"/>
        </w:tabs>
        <w:spacing w:before="0" w:after="0" w:line="240" w:lineRule="auto"/>
        <w:ind w:left="952" w:right="0" w:hanging="841"/>
        <w:jc w:val="left"/>
        <w:rPr>
          <w:sz w:val="21"/>
        </w:rPr>
      </w:pPr>
      <w:bookmarkStart w:id="1011" w:name="8.5.2本条规定了历史文物保护建筑的无障碍设计要求。"/>
      <w:bookmarkEnd w:id="1011"/>
      <w:bookmarkStart w:id="1012" w:name="8.5.2本条规定了历史文物保护建筑的无障碍设计要求。"/>
      <w:bookmarkEnd w:id="1012"/>
      <w:r>
        <w:rPr>
          <w:sz w:val="21"/>
        </w:rPr>
        <w:t>本条规定了历史文物保护建筑的无障碍设计要求。</w:t>
      </w:r>
    </w:p>
    <w:p>
      <w:pPr>
        <w:pStyle w:val="5"/>
        <w:spacing w:before="7"/>
        <w:rPr>
          <w:sz w:val="15"/>
        </w:rPr>
      </w:pPr>
    </w:p>
    <w:p>
      <w:pPr>
        <w:pStyle w:val="5"/>
        <w:tabs>
          <w:tab w:val="left" w:pos="959"/>
        </w:tabs>
        <w:spacing w:line="417" w:lineRule="auto"/>
        <w:ind w:left="112" w:right="315" w:firstLine="427"/>
      </w:pPr>
      <w:r>
        <w:t>1</w:t>
      </w:r>
      <w:r>
        <w:tab/>
      </w:r>
      <w:r>
        <w:rPr>
          <w:spacing w:val="-1"/>
          <w:w w:val="95"/>
        </w:rPr>
        <w:t xml:space="preserve">由于文物保护建筑及其环境所具有的历史特殊性及不可再造性，在进行无障碍设施的建设与改造   </w:t>
      </w:r>
      <w:r>
        <w:rPr>
          <w:spacing w:val="-1"/>
        </w:rPr>
        <w:t>中需根据实际情况设计游览路线，保护文物不受到破坏。</w:t>
      </w:r>
    </w:p>
    <w:p>
      <w:pPr>
        <w:pStyle w:val="5"/>
        <w:tabs>
          <w:tab w:val="left" w:pos="1919"/>
        </w:tabs>
        <w:spacing w:line="417" w:lineRule="auto"/>
        <w:ind w:left="112" w:right="312" w:firstLine="427"/>
      </w:pPr>
      <w:r>
        <w:t>2、</w:t>
      </w:r>
      <w:r>
        <w:rPr>
          <w:spacing w:val="3"/>
        </w:rPr>
        <w:t>3</w:t>
      </w:r>
      <w:r>
        <w:t>、4、6</w:t>
      </w:r>
      <w:r>
        <w:tab/>
      </w:r>
      <w:r>
        <w:t>历史文物</w:t>
      </w:r>
      <w:r>
        <w:rPr>
          <w:spacing w:val="4"/>
        </w:rPr>
        <w:t>保</w:t>
      </w:r>
      <w:r>
        <w:t>护建筑</w:t>
      </w:r>
      <w:r>
        <w:rPr>
          <w:spacing w:val="4"/>
        </w:rPr>
        <w:t>中</w:t>
      </w:r>
      <w:r>
        <w:t>的无障</w:t>
      </w:r>
      <w:r>
        <w:rPr>
          <w:spacing w:val="4"/>
        </w:rPr>
        <w:t>碍</w:t>
      </w:r>
      <w:r>
        <w:t>设施尺</w:t>
      </w:r>
      <w:r>
        <w:rPr>
          <w:spacing w:val="4"/>
        </w:rPr>
        <w:t>寸</w:t>
      </w:r>
      <w:r>
        <w:t>不宜过大</w:t>
      </w:r>
      <w:r>
        <w:rPr>
          <w:spacing w:val="4"/>
        </w:rPr>
        <w:t>，</w:t>
      </w:r>
      <w:r>
        <w:t>使用的</w:t>
      </w:r>
      <w:r>
        <w:rPr>
          <w:spacing w:val="4"/>
        </w:rPr>
        <w:t>材</w:t>
      </w:r>
      <w:r>
        <w:t>料以及设</w:t>
      </w:r>
      <w:r>
        <w:rPr>
          <w:spacing w:val="4"/>
        </w:rPr>
        <w:t>施</w:t>
      </w:r>
      <w:r>
        <w:t>采用的</w:t>
      </w:r>
      <w:r>
        <w:rPr>
          <w:spacing w:val="4"/>
        </w:rPr>
        <w:t>形</w:t>
      </w:r>
      <w:r>
        <w:t>式都应与原有建筑相协调。</w:t>
      </w:r>
    </w:p>
    <w:p>
      <w:pPr>
        <w:pStyle w:val="12"/>
        <w:numPr>
          <w:ilvl w:val="0"/>
          <w:numId w:val="211"/>
        </w:numPr>
        <w:tabs>
          <w:tab w:val="left" w:pos="4224"/>
        </w:tabs>
        <w:spacing w:before="0" w:after="0" w:line="269" w:lineRule="exact"/>
        <w:ind w:left="4224" w:right="199" w:hanging="4224"/>
        <w:jc w:val="left"/>
        <w:rPr>
          <w:rFonts w:hint="eastAsia" w:ascii="黑体" w:eastAsia="黑体"/>
          <w:sz w:val="21"/>
        </w:rPr>
      </w:pPr>
      <w:bookmarkStart w:id="1013" w:name="II公共停车场（库）"/>
      <w:bookmarkEnd w:id="1013"/>
      <w:bookmarkStart w:id="1014" w:name="II公共停车场（库）"/>
      <w:bookmarkEnd w:id="1014"/>
      <w:r>
        <w:rPr>
          <w:rFonts w:hint="eastAsia" w:ascii="黑体" w:eastAsia="黑体"/>
          <w:sz w:val="21"/>
        </w:rPr>
        <w:t>公共停车场（库）</w:t>
      </w:r>
    </w:p>
    <w:p>
      <w:pPr>
        <w:pStyle w:val="5"/>
        <w:spacing w:before="6"/>
        <w:rPr>
          <w:rFonts w:ascii="黑体"/>
          <w:sz w:val="15"/>
        </w:rPr>
      </w:pPr>
    </w:p>
    <w:p>
      <w:pPr>
        <w:pStyle w:val="12"/>
        <w:numPr>
          <w:ilvl w:val="2"/>
          <w:numId w:val="212"/>
        </w:numPr>
        <w:tabs>
          <w:tab w:val="left" w:pos="952"/>
          <w:tab w:val="left" w:pos="953"/>
        </w:tabs>
        <w:spacing w:before="0" w:after="0" w:line="417" w:lineRule="auto"/>
        <w:ind w:left="112" w:right="315" w:firstLine="0"/>
        <w:jc w:val="left"/>
        <w:rPr>
          <w:sz w:val="21"/>
        </w:rPr>
      </w:pPr>
      <w:bookmarkStart w:id="1015" w:name="8.5.3本条规定了公共停车场（库）的无障碍机动车停车位数量要求。本条及以下两条"/>
      <w:bookmarkEnd w:id="1015"/>
      <w:bookmarkStart w:id="1016" w:name="8.5.3本条规定了公共停车场（库）的无障碍机动车停车位数量要求。本条及以下两条"/>
      <w:bookmarkEnd w:id="1016"/>
      <w:r>
        <w:rPr>
          <w:spacing w:val="-1"/>
          <w:w w:val="95"/>
          <w:sz w:val="21"/>
        </w:rPr>
        <w:t>本条规定了公共停车场</w:t>
      </w:r>
      <w:r>
        <w:rPr>
          <w:w w:val="95"/>
          <w:sz w:val="21"/>
        </w:rPr>
        <w:t>（库</w:t>
      </w:r>
      <w:r>
        <w:rPr>
          <w:spacing w:val="-5"/>
          <w:w w:val="95"/>
          <w:sz w:val="21"/>
        </w:rPr>
        <w:t>）</w:t>
      </w:r>
      <w:r>
        <w:rPr>
          <w:spacing w:val="-1"/>
          <w:w w:val="95"/>
          <w:sz w:val="21"/>
        </w:rPr>
        <w:t xml:space="preserve">的无障碍机动车停车位数量要求。本条及以下两条规定的公共停车   </w:t>
      </w:r>
      <w:r>
        <w:rPr>
          <w:spacing w:val="-1"/>
          <w:sz w:val="21"/>
        </w:rPr>
        <w:t>场(库)是指独立建设的社会公共停车场(库)。</w:t>
      </w:r>
    </w:p>
    <w:p>
      <w:pPr>
        <w:pStyle w:val="5"/>
        <w:tabs>
          <w:tab w:val="left" w:pos="1571"/>
        </w:tabs>
        <w:spacing w:line="417" w:lineRule="auto"/>
        <w:ind w:left="112" w:right="312" w:firstLine="427"/>
      </w:pPr>
      <w:r>
        <w:t>1</w:t>
      </w:r>
      <w:r>
        <w:rPr>
          <w:spacing w:val="-8"/>
        </w:rPr>
        <w:t>、</w:t>
      </w:r>
      <w:r>
        <w:t>2</w:t>
      </w:r>
      <w:r>
        <w:rPr>
          <w:spacing w:val="-8"/>
        </w:rPr>
        <w:t>、</w:t>
      </w:r>
      <w:r>
        <w:t>3</w:t>
      </w:r>
      <w:r>
        <w:tab/>
      </w:r>
      <w:r>
        <w:rPr>
          <w:w w:val="95"/>
        </w:rPr>
        <w:t>公共停车场(库)必须安排一定数量的无障碍机动车停车位以满足残障人士出行的需求</w:t>
      </w:r>
      <w:r>
        <w:rPr>
          <w:spacing w:val="-8"/>
          <w:w w:val="95"/>
        </w:rPr>
        <w:t>。</w:t>
      </w:r>
      <w:r>
        <w:rPr>
          <w:w w:val="95"/>
        </w:rPr>
        <w:t xml:space="preserve">无   </w:t>
      </w:r>
      <w:r>
        <w:t>障碍停车的数量可以根据实际情况适当增加。</w:t>
      </w:r>
    </w:p>
    <w:p>
      <w:pPr>
        <w:pStyle w:val="5"/>
        <w:tabs>
          <w:tab w:val="left" w:pos="959"/>
        </w:tabs>
        <w:spacing w:line="269" w:lineRule="exact"/>
        <w:ind w:left="540"/>
      </w:pPr>
      <w:r>
        <w:t>4</w:t>
      </w:r>
      <w:r>
        <w:tab/>
      </w:r>
      <w:r>
        <w:rPr>
          <w:spacing w:val="-2"/>
        </w:rPr>
        <w:t>依据国家及深圳市充电机动车的发展趋势，应建设或预留可配建充电设施的无障碍机动车停车位。</w:t>
      </w:r>
    </w:p>
    <w:p>
      <w:pPr>
        <w:pStyle w:val="5"/>
        <w:spacing w:before="7"/>
        <w:rPr>
          <w:sz w:val="15"/>
        </w:rPr>
      </w:pPr>
    </w:p>
    <w:p>
      <w:pPr>
        <w:pStyle w:val="12"/>
        <w:numPr>
          <w:ilvl w:val="2"/>
          <w:numId w:val="212"/>
        </w:numPr>
        <w:tabs>
          <w:tab w:val="left" w:pos="953"/>
        </w:tabs>
        <w:spacing w:before="0" w:after="0" w:line="417" w:lineRule="auto"/>
        <w:ind w:left="112" w:right="292" w:firstLine="0"/>
        <w:jc w:val="both"/>
        <w:rPr>
          <w:sz w:val="21"/>
        </w:rPr>
      </w:pPr>
      <w:bookmarkStart w:id="1017" w:name="8.5.4本条规定了公共停车场（库）的设置位置要求。多层公共停车库的无障碍机动车"/>
      <w:bookmarkEnd w:id="1017"/>
      <w:bookmarkStart w:id="1018" w:name="8.5.4本条规定了公共停车场（库）的设置位置要求。多层公共停车库的无障碍机动车"/>
      <w:bookmarkEnd w:id="1018"/>
      <w:r>
        <w:rPr>
          <w:spacing w:val="-1"/>
          <w:sz w:val="21"/>
        </w:rPr>
        <w:t>本条规定了公共停车场</w:t>
      </w:r>
      <w:r>
        <w:rPr>
          <w:sz w:val="21"/>
        </w:rPr>
        <w:t>（库</w:t>
      </w:r>
      <w:r>
        <w:rPr>
          <w:spacing w:val="-5"/>
          <w:sz w:val="21"/>
        </w:rPr>
        <w:t>）</w:t>
      </w:r>
      <w:r>
        <w:rPr>
          <w:spacing w:val="-1"/>
          <w:sz w:val="21"/>
        </w:rPr>
        <w:t>的设置位置要求。多层公共停车库的无障碍机动车停车位宜设在与</w:t>
      </w:r>
      <w:r>
        <w:rPr>
          <w:spacing w:val="-1"/>
          <w:w w:val="95"/>
          <w:sz w:val="21"/>
        </w:rPr>
        <w:t xml:space="preserve">公共交通道路同层的位置，这样乘轮椅者可以方便地出入停车库。如果受条件限制不能全部设在地面层，   </w:t>
      </w:r>
      <w:r>
        <w:rPr>
          <w:spacing w:val="-1"/>
          <w:sz w:val="21"/>
        </w:rPr>
        <w:t>应能通过无障碍设施直接通往地面层。</w:t>
      </w:r>
    </w:p>
    <w:p>
      <w:pPr>
        <w:pStyle w:val="12"/>
        <w:numPr>
          <w:ilvl w:val="2"/>
          <w:numId w:val="212"/>
        </w:numPr>
        <w:tabs>
          <w:tab w:val="left" w:pos="953"/>
        </w:tabs>
        <w:spacing w:before="0" w:after="0" w:line="269" w:lineRule="exact"/>
        <w:ind w:left="952" w:right="0" w:hanging="841"/>
        <w:jc w:val="both"/>
        <w:rPr>
          <w:sz w:val="21"/>
        </w:rPr>
      </w:pPr>
      <w:bookmarkStart w:id="1019" w:name="8.5.5本条规定了公共停车场（库）用于无障碍的标识设施设置要求。"/>
      <w:bookmarkEnd w:id="1019"/>
      <w:bookmarkStart w:id="1020" w:name="8.5.5本条规定了公共停车场（库）用于无障碍的标识设施设置要求。"/>
      <w:bookmarkEnd w:id="1020"/>
      <w:r>
        <w:rPr>
          <w:sz w:val="21"/>
        </w:rPr>
        <w:t>本条规定了公共停车场（库）用于无障碍的标识设施设置要求。</w:t>
      </w:r>
    </w:p>
    <w:p>
      <w:pPr>
        <w:pStyle w:val="5"/>
        <w:spacing w:before="6"/>
        <w:rPr>
          <w:sz w:val="15"/>
        </w:rPr>
      </w:pPr>
    </w:p>
    <w:p>
      <w:pPr>
        <w:pStyle w:val="5"/>
        <w:tabs>
          <w:tab w:val="left" w:pos="959"/>
        </w:tabs>
        <w:ind w:left="540"/>
      </w:pPr>
      <w:r>
        <w:t>2</w:t>
      </w:r>
      <w:r>
        <w:tab/>
      </w:r>
      <w:r>
        <w:t>公共停车场（库）内部设置指示方向的标识设施，宜引导驾驶员便捷到达无障碍机动车停车位。</w:t>
      </w:r>
    </w:p>
    <w:p>
      <w:pPr>
        <w:pStyle w:val="5"/>
        <w:spacing w:before="7"/>
        <w:rPr>
          <w:sz w:val="15"/>
        </w:rPr>
      </w:pPr>
    </w:p>
    <w:p>
      <w:pPr>
        <w:pStyle w:val="12"/>
        <w:numPr>
          <w:ilvl w:val="0"/>
          <w:numId w:val="211"/>
        </w:numPr>
        <w:tabs>
          <w:tab w:val="left" w:pos="3960"/>
        </w:tabs>
        <w:spacing w:before="0" w:after="0" w:line="240" w:lineRule="auto"/>
        <w:ind w:left="3960" w:right="202" w:hanging="3960"/>
        <w:jc w:val="left"/>
        <w:rPr>
          <w:rFonts w:hint="eastAsia" w:ascii="黑体" w:eastAsia="黑体"/>
          <w:sz w:val="21"/>
        </w:rPr>
      </w:pPr>
      <w:bookmarkStart w:id="1021" w:name="III汽车加油加气站、充电站"/>
      <w:bookmarkEnd w:id="1021"/>
      <w:bookmarkStart w:id="1022" w:name="III汽车加油加气站、充电站"/>
      <w:bookmarkEnd w:id="1022"/>
      <w:r>
        <w:rPr>
          <w:rFonts w:hint="eastAsia" w:ascii="黑体" w:eastAsia="黑体"/>
          <w:sz w:val="21"/>
        </w:rPr>
        <w:t>汽车加油加气站、充电站</w:t>
      </w:r>
    </w:p>
    <w:p>
      <w:pPr>
        <w:pStyle w:val="5"/>
        <w:spacing w:before="7"/>
        <w:rPr>
          <w:rFonts w:ascii="黑体"/>
          <w:sz w:val="15"/>
        </w:rPr>
      </w:pPr>
    </w:p>
    <w:p>
      <w:pPr>
        <w:pStyle w:val="12"/>
        <w:numPr>
          <w:ilvl w:val="2"/>
          <w:numId w:val="212"/>
        </w:numPr>
        <w:tabs>
          <w:tab w:val="left" w:pos="952"/>
          <w:tab w:val="left" w:pos="953"/>
        </w:tabs>
        <w:spacing w:before="0" w:after="0" w:line="417" w:lineRule="auto"/>
        <w:ind w:left="112" w:right="344" w:firstLine="0"/>
        <w:jc w:val="left"/>
        <w:rPr>
          <w:sz w:val="21"/>
        </w:rPr>
      </w:pPr>
      <w:bookmarkStart w:id="1023" w:name="8.5.6本条规定了汽车加油加气站、充电站附属建筑的无障碍设计要求。《无障碍设计"/>
      <w:bookmarkEnd w:id="1023"/>
      <w:bookmarkStart w:id="1024" w:name="8.5.6本条规定了汽车加油加气站、充电站附属建筑的无障碍设计要求。《无障碍设计"/>
      <w:bookmarkEnd w:id="1024"/>
      <w:r>
        <w:rPr>
          <w:sz w:val="21"/>
        </w:rPr>
        <w:t>本条规定了汽车加油加气站、充电站附属建筑的无障碍设计要求。《无障碍设计规范》</w:t>
      </w:r>
      <w:r>
        <w:rPr>
          <w:rFonts w:hint="eastAsia" w:ascii="仿宋" w:eastAsia="仿宋"/>
          <w:sz w:val="21"/>
        </w:rPr>
        <w:t xml:space="preserve">GB </w:t>
      </w:r>
      <w:r>
        <w:rPr>
          <w:sz w:val="21"/>
        </w:rPr>
        <w:t>50763-2012</w:t>
      </w:r>
      <w:r>
        <w:rPr>
          <w:spacing w:val="-40"/>
          <w:sz w:val="21"/>
        </w:rPr>
        <w:t xml:space="preserve"> 第 </w:t>
      </w:r>
      <w:r>
        <w:rPr>
          <w:sz w:val="21"/>
        </w:rPr>
        <w:t>8.11</w:t>
      </w:r>
      <w:r>
        <w:rPr>
          <w:spacing w:val="-8"/>
          <w:sz w:val="21"/>
        </w:rPr>
        <w:t xml:space="preserve"> 节规定了汽车加油加气站的无障碍设计要求。考虑到国家及深圳市充电机动车的发展趋势，本标准对汽车充电站的无障碍设计要求加以补充。</w:t>
      </w:r>
    </w:p>
    <w:p>
      <w:pPr>
        <w:pStyle w:val="12"/>
        <w:numPr>
          <w:ilvl w:val="0"/>
          <w:numId w:val="211"/>
        </w:numPr>
        <w:tabs>
          <w:tab w:val="left" w:pos="4330"/>
        </w:tabs>
        <w:spacing w:before="0" w:after="0" w:line="269" w:lineRule="exact"/>
        <w:ind w:left="4329" w:right="197" w:hanging="4330"/>
        <w:jc w:val="left"/>
        <w:rPr>
          <w:rFonts w:hint="eastAsia" w:ascii="黑体" w:eastAsia="黑体"/>
          <w:sz w:val="21"/>
        </w:rPr>
      </w:pPr>
      <w:bookmarkStart w:id="1025" w:name="IV城市公共卫生间"/>
      <w:bookmarkEnd w:id="1025"/>
      <w:bookmarkStart w:id="1026" w:name="IV城市公共卫生间"/>
      <w:bookmarkEnd w:id="1026"/>
      <w:r>
        <w:rPr>
          <w:rFonts w:hint="eastAsia" w:ascii="黑体" w:eastAsia="黑体"/>
          <w:sz w:val="21"/>
        </w:rPr>
        <w:t>城市公共卫生间</w:t>
      </w:r>
    </w:p>
    <w:p>
      <w:pPr>
        <w:pStyle w:val="5"/>
        <w:spacing w:before="7"/>
        <w:rPr>
          <w:rFonts w:ascii="黑体"/>
          <w:sz w:val="15"/>
        </w:rPr>
      </w:pPr>
    </w:p>
    <w:p>
      <w:pPr>
        <w:tabs>
          <w:tab w:val="left" w:pos="952"/>
        </w:tabs>
        <w:spacing w:before="0"/>
        <w:ind w:left="112" w:right="0" w:firstLine="0"/>
        <w:jc w:val="left"/>
        <w:rPr>
          <w:sz w:val="21"/>
        </w:rPr>
      </w:pPr>
      <w:r>
        <w:rPr>
          <w:b/>
          <w:sz w:val="21"/>
        </w:rPr>
        <w:t>8.5.9</w:t>
      </w:r>
      <w:r>
        <w:rPr>
          <w:b/>
          <w:sz w:val="21"/>
        </w:rPr>
        <w:tab/>
      </w:r>
      <w:bookmarkStart w:id="1027" w:name="8.5.9本条规定了城市公共卫生间的无障碍设计要求。"/>
      <w:bookmarkEnd w:id="1027"/>
      <w:r>
        <w:rPr>
          <w:sz w:val="21"/>
        </w:rPr>
        <w:t>本条规定了城市公共卫生间的无障碍设计要求。</w:t>
      </w:r>
    </w:p>
    <w:p>
      <w:pPr>
        <w:pStyle w:val="5"/>
        <w:spacing w:before="6"/>
        <w:rPr>
          <w:sz w:val="15"/>
        </w:rPr>
      </w:pPr>
    </w:p>
    <w:p>
      <w:pPr>
        <w:pStyle w:val="5"/>
        <w:tabs>
          <w:tab w:val="left" w:pos="959"/>
        </w:tabs>
        <w:ind w:left="540"/>
      </w:pPr>
      <w:r>
        <w:t>2</w:t>
      </w:r>
      <w:r>
        <w:tab/>
      </w:r>
      <w:r>
        <w:t>为方便儿童在如厕后洗手，男、女卫生间内应分别设儿童洗手/面盆。</w:t>
      </w:r>
    </w:p>
    <w:p>
      <w:pPr>
        <w:pStyle w:val="5"/>
        <w:spacing w:before="7"/>
        <w:rPr>
          <w:sz w:val="15"/>
        </w:rPr>
      </w:pPr>
    </w:p>
    <w:p>
      <w:pPr>
        <w:pStyle w:val="5"/>
        <w:tabs>
          <w:tab w:val="left" w:pos="959"/>
        </w:tabs>
        <w:ind w:left="540"/>
      </w:pPr>
      <w:r>
        <w:t>7</w:t>
      </w:r>
      <w:r>
        <w:tab/>
      </w:r>
      <w:r>
        <w:rPr>
          <w:spacing w:val="-2"/>
        </w:rPr>
        <w:t xml:space="preserve">目前部分型号的电动轮椅的宽度有所增大，当有条件时，宜将门的净宽度做到 </w:t>
      </w:r>
      <w:r>
        <w:t>900</w:t>
      </w:r>
      <w:r>
        <w:rPr>
          <w:rFonts w:hint="eastAsia" w:ascii="仿宋" w:eastAsia="仿宋"/>
        </w:rPr>
        <w:t>mm</w:t>
      </w:r>
      <w:r>
        <w:t>。</w:t>
      </w:r>
    </w:p>
    <w:sectPr>
      <w:pgSz w:w="11910" w:h="16840"/>
      <w:pgMar w:top="1580" w:right="820" w:bottom="1420" w:left="1020" w:header="0" w:footer="123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3724910</wp:posOffset>
              </wp:positionH>
              <wp:positionV relativeFrom="page">
                <wp:posOffset>9856470</wp:posOffset>
              </wp:positionV>
              <wp:extent cx="109220" cy="139700"/>
              <wp:effectExtent l="0" t="0" r="0" b="0"/>
              <wp:wrapNone/>
              <wp:docPr id="22" name="文本框 1"/>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3</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3.3pt;margin-top:776.1pt;height:11pt;width:8.6pt;mso-position-horizontal-relative:page;mso-position-vertical-relative:page;z-index:-251656192;mso-width-relative:page;mso-height-relative:page;" filled="f" stroked="f" coordsize="21600,21600" o:gfxdata="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xzzztoAAAANAQAADwAAAAAAAAABACAAAAAiAAAAZHJzL2Rvd25yZXYueG1sUEsB&#10;AhQAFAAAAAgAh07iQPT32bG6AQAAcgMAAA4AAAAAAAAAAQAgAAAAKQEAAGRycy9lMm9Eb2MueG1s&#10;UEsFBgAAAAAGAAYAWQEAAFU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3</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9504" behindDoc="1" locked="0" layoutInCell="1" allowOverlap="1">
              <wp:simplePos x="0" y="0"/>
              <wp:positionH relativeFrom="page">
                <wp:posOffset>3695700</wp:posOffset>
              </wp:positionH>
              <wp:positionV relativeFrom="page">
                <wp:posOffset>9932670</wp:posOffset>
              </wp:positionV>
              <wp:extent cx="167005" cy="139700"/>
              <wp:effectExtent l="0" t="0" r="0" b="0"/>
              <wp:wrapNone/>
              <wp:docPr id="40" name="文本框 10"/>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85</w:t>
                          </w:r>
                          <w:r>
                            <w:fldChar w:fldCharType="end"/>
                          </w:r>
                        </w:p>
                      </w:txbxContent>
                    </wps:txbx>
                    <wps:bodyPr lIns="0" tIns="0" rIns="0" bIns="0" upright="1"/>
                  </wps:wsp>
                </a:graphicData>
              </a:graphic>
            </wp:anchor>
          </w:drawing>
        </mc:Choice>
        <mc:Fallback>
          <w:pict>
            <v:shape id="文本框 10" o:spid="_x0000_s1026" o:spt="202" type="#_x0000_t202" style="position:absolute;left:0pt;margin-left:291pt;margin-top:782.1pt;height:11pt;width:13.15pt;mso-position-horizontal-relative:page;mso-position-vertical-relative:page;z-index:-251646976;mso-width-relative:page;mso-height-relative:page;" filled="f" stroked="f" coordsize="21600,21600" o:gfxdata="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4jh7TaAAAADQEAAA8AAAAAAAAAAQAgAAAAIgAAAGRycy9kb3ducmV2LnhtbFBLAQIU&#10;ABQAAAAIAIdO4kCIpc8duAEAAHMDAAAOAAAAAAAAAAEAIAAAACkBAABkcnMvZTJvRG9jLnhtbFBL&#10;BQYAAAAABgAGAFkBAABT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85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70528" behindDoc="1" locked="0" layoutInCell="1" allowOverlap="1">
              <wp:simplePos x="0" y="0"/>
              <wp:positionH relativeFrom="page">
                <wp:posOffset>3695700</wp:posOffset>
              </wp:positionH>
              <wp:positionV relativeFrom="page">
                <wp:posOffset>9932670</wp:posOffset>
              </wp:positionV>
              <wp:extent cx="167005" cy="139700"/>
              <wp:effectExtent l="0" t="0" r="0" b="0"/>
              <wp:wrapNone/>
              <wp:docPr id="42" name="文本框 1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94</w:t>
                          </w:r>
                          <w:r>
                            <w:fldChar w:fldCharType="end"/>
                          </w:r>
                        </w:p>
                      </w:txbxContent>
                    </wps:txbx>
                    <wps:bodyPr lIns="0" tIns="0" rIns="0" bIns="0" upright="1"/>
                  </wps:wsp>
                </a:graphicData>
              </a:graphic>
            </wp:anchor>
          </w:drawing>
        </mc:Choice>
        <mc:Fallback>
          <w:pict>
            <v:shape id="文本框 11" o:spid="_x0000_s1026" o:spt="202" type="#_x0000_t202" style="position:absolute;left:0pt;margin-left:291pt;margin-top:782.1pt;height:11pt;width:13.15pt;mso-position-horizontal-relative:page;mso-position-vertical-relative:page;z-index:-251645952;mso-width-relative:page;mso-height-relative:page;" filled="f" stroked="f" coordsize="21600,21600" o:gfxdata="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4jh7TaAAAADQEAAA8AAAAAAAAAAQAgAAAAIgAAAGRycy9kb3ducmV2LnhtbFBLAQIU&#10;ABQAAAAIAIdO4kBxATyBuAEAAHMDAAAOAAAAAAAAAAEAIAAAACkBAABkcnMvZTJvRG9jLnhtbFBL&#10;BQYAAAAABgAGAFkBAABT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94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3695700</wp:posOffset>
              </wp:positionH>
              <wp:positionV relativeFrom="page">
                <wp:posOffset>9856470</wp:posOffset>
              </wp:positionV>
              <wp:extent cx="167005" cy="139700"/>
              <wp:effectExtent l="0" t="0" r="0" b="0"/>
              <wp:wrapNone/>
              <wp:docPr id="24" name="文本框 2"/>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1pt;margin-top:776.1pt;height:11pt;width:13.15pt;mso-position-horizontal-relative:page;mso-position-vertical-relative:page;z-index:-251655168;mso-width-relative:page;mso-height-relative:page;" filled="f" stroked="f" coordsize="21600,21600" o:gfxdata="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1WnZNsAAAANAQAADwAAAAAAAAABACAAAAAiAAAAZHJzL2Rvd25yZXYueG1sUEsB&#10;AhQAFAAAAAgAh07iQGa6V625AQAAcgMAAA4AAAAAAAAAAQAgAAAAKgEAAGRycy9lMm9Eb2MueG1s&#10;UEsFBgAAAAAGAAYAWQEAAFU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71552" behindDoc="1" locked="0" layoutInCell="1" allowOverlap="1">
              <wp:simplePos x="0" y="0"/>
              <wp:positionH relativeFrom="page">
                <wp:posOffset>3667125</wp:posOffset>
              </wp:positionH>
              <wp:positionV relativeFrom="page">
                <wp:posOffset>9770110</wp:posOffset>
              </wp:positionV>
              <wp:extent cx="224790" cy="139700"/>
              <wp:effectExtent l="0" t="0" r="0" b="0"/>
              <wp:wrapNone/>
              <wp:docPr id="44" name="文本框 12"/>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100</w:t>
                          </w:r>
                          <w:r>
                            <w:fldChar w:fldCharType="end"/>
                          </w:r>
                        </w:p>
                      </w:txbxContent>
                    </wps:txbx>
                    <wps:bodyPr lIns="0" tIns="0" rIns="0" bIns="0" upright="1"/>
                  </wps:wsp>
                </a:graphicData>
              </a:graphic>
            </wp:anchor>
          </w:drawing>
        </mc:Choice>
        <mc:Fallback>
          <w:pict>
            <v:shape id="文本框 12" o:spid="_x0000_s1026" o:spt="202" type="#_x0000_t202" style="position:absolute;left:0pt;margin-left:288.75pt;margin-top:769.3pt;height:11pt;width:17.7pt;mso-position-horizontal-relative:page;mso-position-vertical-relative:page;z-index:-251644928;mso-width-relative:page;mso-height-relative:page;" filled="f" stroked="f" coordsize="21600,21600" o:gfxdata="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fZ9NNsAAAANAQAADwAAAAAAAAABACAAAAAiAAAAZHJzL2Rvd25yZXYueG1s&#10;UEsBAhQAFAAAAAgAh07iQPhA/8W8AQAAcwMAAA4AAAAAAAAAAQAgAAAAKgEAAGRycy9lMm9Eb2Mu&#10;eG1sUEsFBgAAAAAGAAYAWQEAAFg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3695700</wp:posOffset>
              </wp:positionH>
              <wp:positionV relativeFrom="page">
                <wp:posOffset>9856470</wp:posOffset>
              </wp:positionV>
              <wp:extent cx="167005" cy="139700"/>
              <wp:effectExtent l="0" t="0" r="0" b="0"/>
              <wp:wrapNone/>
              <wp:docPr id="26" name="文本框 3"/>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文本框 3" o:spid="_x0000_s1026" o:spt="202" type="#_x0000_t202" style="position:absolute;left:0pt;margin-left:291pt;margin-top:776.1pt;height:11pt;width:13.15pt;mso-position-horizontal-relative:page;mso-position-vertical-relative:page;z-index:-251654144;mso-width-relative:page;mso-height-relative:page;" filled="f" stroked="f" coordsize="21600,21600" o:gfxdata="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Vadk2wAAAA0BAAAPAAAAAAAAAAEAIAAAACIAAABkcnMvZG93bnJldi54bWxQSwEC&#10;FAAUAAAACACHTuJA/wSLx7gBAAByAwAADgAAAAAAAAABACAAAAAqAQAAZHJzL2Uyb0RvYy54bWxQ&#10;SwUGAAAAAAYABgBZAQAAV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3695700</wp:posOffset>
              </wp:positionH>
              <wp:positionV relativeFrom="page">
                <wp:posOffset>9856470</wp:posOffset>
              </wp:positionV>
              <wp:extent cx="167005" cy="139700"/>
              <wp:effectExtent l="0" t="0" r="0" b="0"/>
              <wp:wrapNone/>
              <wp:docPr id="28" name="文本框 4"/>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30</w:t>
                          </w:r>
                          <w:r>
                            <w:fldChar w:fldCharType="end"/>
                          </w:r>
                        </w:p>
                      </w:txbxContent>
                    </wps:txbx>
                    <wps:bodyPr lIns="0" tIns="0" rIns="0" bIns="0" upright="1"/>
                  </wps:wsp>
                </a:graphicData>
              </a:graphic>
            </wp:anchor>
          </w:drawing>
        </mc:Choice>
        <mc:Fallback>
          <w:pict>
            <v:shape id="文本框 4" o:spid="_x0000_s1026" o:spt="202" type="#_x0000_t202" style="position:absolute;left:0pt;margin-left:291pt;margin-top:776.1pt;height:11pt;width:13.15pt;mso-position-horizontal-relative:page;mso-position-vertical-relative:page;z-index:-251653120;mso-width-relative:page;mso-height-relative:page;" filled="f" stroked="f" coordsize="21600,21600" o:gfxdata="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1WnZNsAAAANAQAADwAAAAAAAAABACAAAAAiAAAAZHJzL2Rvd25yZXYueG1sUEsB&#10;AhQAFAAAAAgAh07iQHE77Qi5AQAAcgMAAA4AAAAAAAAAAQAgAAAAKgEAAGRycy9lMm9Eb2MueG1s&#10;UEsFBgAAAAAGAAYAWQEAAFU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2"/>
      </w:rPr>
    </w:pPr>
    <w:r>
      <mc:AlternateContent>
        <mc:Choice Requires="wps">
          <w:drawing>
            <wp:anchor distT="0" distB="0" distL="114300" distR="114300" simplePos="0" relativeHeight="251664384" behindDoc="1" locked="0" layoutInCell="1" allowOverlap="1">
              <wp:simplePos x="0" y="0"/>
              <wp:positionH relativeFrom="page">
                <wp:posOffset>3695700</wp:posOffset>
              </wp:positionH>
              <wp:positionV relativeFrom="page">
                <wp:posOffset>9856470</wp:posOffset>
              </wp:positionV>
              <wp:extent cx="167005" cy="139700"/>
              <wp:effectExtent l="0" t="0" r="0" b="0"/>
              <wp:wrapNone/>
              <wp:docPr id="30" name="文本框 5"/>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49</w:t>
                          </w:r>
                          <w:r>
                            <w:fldChar w:fldCharType="end"/>
                          </w:r>
                        </w:p>
                      </w:txbxContent>
                    </wps:txbx>
                    <wps:bodyPr lIns="0" tIns="0" rIns="0" bIns="0" upright="1"/>
                  </wps:wsp>
                </a:graphicData>
              </a:graphic>
            </wp:anchor>
          </w:drawing>
        </mc:Choice>
        <mc:Fallback>
          <w:pict>
            <v:shape id="文本框 5" o:spid="_x0000_s1026" o:spt="202" type="#_x0000_t202" style="position:absolute;left:0pt;margin-left:291pt;margin-top:776.1pt;height:11pt;width:13.15pt;mso-position-horizontal-relative:page;mso-position-vertical-relative:page;z-index:-251652096;mso-width-relative:page;mso-height-relative:page;" filled="f" stroked="f" coordsize="21600,21600" o:gfxdata="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Vadk2wAAAA0BAAAPAAAAAAAAAAEAIAAAACIAAABkcnMvZG93bnJldi54bWxQSwEC&#10;FAAUAAAACACHTuJAaGYJMbgBAAByAwAADgAAAAAAAAABACAAAAAqAQAAZHJzL2Uyb0RvYy54bWxQ&#10;SwUGAAAAAAYABgBZAQAAV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49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3695700</wp:posOffset>
              </wp:positionH>
              <wp:positionV relativeFrom="page">
                <wp:posOffset>9856470</wp:posOffset>
              </wp:positionV>
              <wp:extent cx="167005" cy="139700"/>
              <wp:effectExtent l="0" t="0" r="0" b="0"/>
              <wp:wrapNone/>
              <wp:docPr id="32" name="文本框 6"/>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50</w:t>
                          </w:r>
                          <w:r>
                            <w:fldChar w:fldCharType="end"/>
                          </w:r>
                        </w:p>
                      </w:txbxContent>
                    </wps:txbx>
                    <wps:bodyPr lIns="0" tIns="0" rIns="0" bIns="0" upright="1"/>
                  </wps:wsp>
                </a:graphicData>
              </a:graphic>
            </wp:anchor>
          </w:drawing>
        </mc:Choice>
        <mc:Fallback>
          <w:pict>
            <v:shape id="文本框 6" o:spid="_x0000_s1026" o:spt="202" type="#_x0000_t202" style="position:absolute;left:0pt;margin-left:291pt;margin-top:776.1pt;height:11pt;width:13.15pt;mso-position-horizontal-relative:page;mso-position-vertical-relative:page;z-index:-251651072;mso-width-relative:page;mso-height-relative:page;" filled="f" stroked="f" coordsize="21600,21600" o:gfxdata="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Vadk2wAAAA0BAAAPAAAAAAAAAAEAIAAAACIAAABkcnMvZG93bnJldi54bWxQSwEC&#10;FAAUAAAACACHTuJALbWB/rgBAAByAwAADgAAAAAAAAABACAAAAAqAQAAZHJzL2Uyb0RvYy54bWxQ&#10;SwUGAAAAAAYABgBZAQAAVAU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6432" behindDoc="1" locked="0" layoutInCell="1" allowOverlap="1">
              <wp:simplePos x="0" y="0"/>
              <wp:positionH relativeFrom="page">
                <wp:posOffset>3695700</wp:posOffset>
              </wp:positionH>
              <wp:positionV relativeFrom="page">
                <wp:posOffset>9856470</wp:posOffset>
              </wp:positionV>
              <wp:extent cx="167005" cy="139700"/>
              <wp:effectExtent l="0" t="0" r="0" b="0"/>
              <wp:wrapNone/>
              <wp:docPr id="34" name="文本框 7"/>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60</w:t>
                          </w:r>
                          <w:r>
                            <w:fldChar w:fldCharType="end"/>
                          </w:r>
                        </w:p>
                      </w:txbxContent>
                    </wps:txbx>
                    <wps:bodyPr lIns="0" tIns="0" rIns="0" bIns="0" upright="1"/>
                  </wps:wsp>
                </a:graphicData>
              </a:graphic>
            </wp:anchor>
          </w:drawing>
        </mc:Choice>
        <mc:Fallback>
          <w:pict>
            <v:shape id="文本框 7" o:spid="_x0000_s1026" o:spt="202" type="#_x0000_t202" style="position:absolute;left:0pt;margin-left:291pt;margin-top:776.1pt;height:11pt;width:13.15pt;mso-position-horizontal-relative:page;mso-position-vertical-relative:page;z-index:-251650048;mso-width-relative:page;mso-height-relative:page;" filled="f" stroked="f" coordsize="21600,21600" o:gfxdata="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1WnZNsAAAANAQAADwAAAAAAAAABACAAAAAiAAAAZHJzL2Rvd25yZXYueG1sUEsB&#10;AhQAFAAAAAgAh07iQFobsOS5AQAAcgMAAA4AAAAAAAAAAQAgAAAAKgEAAGRycy9lMm9Eb2MueG1s&#10;UEsFBgAAAAAGAAYAWQEAAFU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7456" behindDoc="1" locked="0" layoutInCell="1" allowOverlap="1">
              <wp:simplePos x="0" y="0"/>
              <wp:positionH relativeFrom="page">
                <wp:posOffset>3695700</wp:posOffset>
              </wp:positionH>
              <wp:positionV relativeFrom="page">
                <wp:posOffset>9856470</wp:posOffset>
              </wp:positionV>
              <wp:extent cx="167005" cy="139700"/>
              <wp:effectExtent l="0" t="0" r="0" b="0"/>
              <wp:wrapNone/>
              <wp:docPr id="36" name="文本框 8"/>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70</w:t>
                          </w:r>
                          <w:r>
                            <w:fldChar w:fldCharType="end"/>
                          </w:r>
                        </w:p>
                      </w:txbxContent>
                    </wps:txbx>
                    <wps:bodyPr lIns="0" tIns="0" rIns="0" bIns="0" upright="1"/>
                  </wps:wsp>
                </a:graphicData>
              </a:graphic>
            </wp:anchor>
          </w:drawing>
        </mc:Choice>
        <mc:Fallback>
          <w:pict>
            <v:shape id="文本框 8" o:spid="_x0000_s1026" o:spt="202" type="#_x0000_t202" style="position:absolute;left:0pt;margin-left:291pt;margin-top:776.1pt;height:11pt;width:13.15pt;mso-position-horizontal-relative:page;mso-position-vertical-relative:page;z-index:-251649024;mso-width-relative:page;mso-height-relative:page;" filled="f" stroked="f" coordsize="21600,21600" o:gfxdata="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1WnZNsAAAANAQAADwAAAAAAAAABACAAAAAiAAAAZHJzL2Rvd25yZXYueG1sUEsB&#10;AhQAFAAAAAgAh07iQFWoI0K5AQAAcgMAAA4AAAAAAAAAAQAgAAAAKgEAAGRycy9lMm9Eb2MueG1s&#10;UEsFBgAAAAAGAAYAWQEAAFU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70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3695700</wp:posOffset>
              </wp:positionH>
              <wp:positionV relativeFrom="page">
                <wp:posOffset>9856470</wp:posOffset>
              </wp:positionV>
              <wp:extent cx="167005" cy="139700"/>
              <wp:effectExtent l="0" t="0" r="0" b="0"/>
              <wp:wrapNone/>
              <wp:docPr id="38" name="文本框 9"/>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80</w:t>
                          </w:r>
                          <w:r>
                            <w:fldChar w:fldCharType="end"/>
                          </w:r>
                        </w:p>
                      </w:txbxContent>
                    </wps:txbx>
                    <wps:bodyPr lIns="0" tIns="0" rIns="0" bIns="0" upright="1"/>
                  </wps:wsp>
                </a:graphicData>
              </a:graphic>
            </wp:anchor>
          </w:drawing>
        </mc:Choice>
        <mc:Fallback>
          <w:pict>
            <v:shape id="文本框 9" o:spid="_x0000_s1026" o:spt="202" type="#_x0000_t202" style="position:absolute;left:0pt;margin-left:291pt;margin-top:776.1pt;height:11pt;width:13.15pt;mso-position-horizontal-relative:page;mso-position-vertical-relative:page;z-index:-251648000;mso-width-relative:page;mso-height-relative:page;" filled="f" stroked="f" coordsize="21600,21600" o:gfxdata="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1WnZNsAAAANAQAADwAAAAAAAAABACAAAAAiAAAAZHJzL2Rvd25yZXYueG1sUEsB&#10;AhQAFAAAAAgAh07iQP4nyLm5AQAAcgMAAA4AAAAAAAAAAQAgAAAAKgEAAGRycy9lMm9Eb2MueG1s&#10;UEsFBgAAAAAGAAYAWQEAAFUFA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80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E4E29"/>
    <w:multiLevelType w:val="multilevel"/>
    <w:tmpl w:val="804E4E29"/>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
    <w:nsid w:val="813A4B87"/>
    <w:multiLevelType w:val="multilevel"/>
    <w:tmpl w:val="813A4B87"/>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2">
    <w:nsid w:val="825EC3C5"/>
    <w:multiLevelType w:val="multilevel"/>
    <w:tmpl w:val="825EC3C5"/>
    <w:lvl w:ilvl="0" w:tentative="0">
      <w:start w:val="8"/>
      <w:numFmt w:val="decimal"/>
      <w:lvlText w:val="%1"/>
      <w:lvlJc w:val="left"/>
      <w:pPr>
        <w:ind w:left="1052" w:hanging="840"/>
        <w:jc w:val="left"/>
      </w:pPr>
      <w:rPr>
        <w:rFonts w:hint="default"/>
        <w:lang w:val="en-US" w:eastAsia="en-US" w:bidi="en-US"/>
      </w:rPr>
    </w:lvl>
    <w:lvl w:ilvl="1" w:tentative="0">
      <w:start w:val="3"/>
      <w:numFmt w:val="decimal"/>
      <w:lvlText w:val="%1.%2"/>
      <w:lvlJc w:val="left"/>
      <w:pPr>
        <w:ind w:left="1052" w:hanging="840"/>
        <w:jc w:val="left"/>
      </w:pPr>
      <w:rPr>
        <w:rFonts w:hint="default"/>
        <w:lang w:val="en-US" w:eastAsia="en-US" w:bidi="en-US"/>
      </w:rPr>
    </w:lvl>
    <w:lvl w:ilvl="2" w:tentative="0">
      <w:start w:val="15"/>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1052" w:hanging="416"/>
        <w:jc w:val="left"/>
      </w:pPr>
      <w:rPr>
        <w:rFonts w:hint="default" w:ascii="宋体" w:hAnsi="宋体" w:eastAsia="宋体" w:cs="宋体"/>
        <w:b/>
        <w:bCs/>
        <w:w w:val="98"/>
        <w:sz w:val="21"/>
        <w:szCs w:val="21"/>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3">
    <w:nsid w:val="845B5372"/>
    <w:multiLevelType w:val="multilevel"/>
    <w:tmpl w:val="845B5372"/>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4">
    <w:nsid w:val="8461FADE"/>
    <w:multiLevelType w:val="multilevel"/>
    <w:tmpl w:val="8461FADE"/>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5">
    <w:nsid w:val="84994F45"/>
    <w:multiLevelType w:val="multilevel"/>
    <w:tmpl w:val="84994F45"/>
    <w:lvl w:ilvl="0" w:tentative="0">
      <w:start w:val="4"/>
      <w:numFmt w:val="decimal"/>
      <w:lvlText w:val="%1"/>
      <w:lvlJc w:val="left"/>
      <w:pPr>
        <w:ind w:left="112" w:hanging="416"/>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114" w:hanging="416"/>
      </w:pPr>
      <w:rPr>
        <w:rFonts w:hint="default"/>
        <w:lang w:val="en-US" w:eastAsia="en-US" w:bidi="en-US"/>
      </w:rPr>
    </w:lvl>
    <w:lvl w:ilvl="2" w:tentative="0">
      <w:start w:val="0"/>
      <w:numFmt w:val="bullet"/>
      <w:lvlText w:val="•"/>
      <w:lvlJc w:val="left"/>
      <w:pPr>
        <w:ind w:left="2109" w:hanging="416"/>
      </w:pPr>
      <w:rPr>
        <w:rFonts w:hint="default"/>
        <w:lang w:val="en-US" w:eastAsia="en-US" w:bidi="en-US"/>
      </w:rPr>
    </w:lvl>
    <w:lvl w:ilvl="3" w:tentative="0">
      <w:start w:val="0"/>
      <w:numFmt w:val="bullet"/>
      <w:lvlText w:val="•"/>
      <w:lvlJc w:val="left"/>
      <w:pPr>
        <w:ind w:left="3103" w:hanging="416"/>
      </w:pPr>
      <w:rPr>
        <w:rFonts w:hint="default"/>
        <w:lang w:val="en-US" w:eastAsia="en-US" w:bidi="en-US"/>
      </w:rPr>
    </w:lvl>
    <w:lvl w:ilvl="4" w:tentative="0">
      <w:start w:val="0"/>
      <w:numFmt w:val="bullet"/>
      <w:lvlText w:val="•"/>
      <w:lvlJc w:val="left"/>
      <w:pPr>
        <w:ind w:left="4098" w:hanging="416"/>
      </w:pPr>
      <w:rPr>
        <w:rFonts w:hint="default"/>
        <w:lang w:val="en-US" w:eastAsia="en-US" w:bidi="en-US"/>
      </w:rPr>
    </w:lvl>
    <w:lvl w:ilvl="5" w:tentative="0">
      <w:start w:val="0"/>
      <w:numFmt w:val="bullet"/>
      <w:lvlText w:val="•"/>
      <w:lvlJc w:val="left"/>
      <w:pPr>
        <w:ind w:left="5093" w:hanging="416"/>
      </w:pPr>
      <w:rPr>
        <w:rFonts w:hint="default"/>
        <w:lang w:val="en-US" w:eastAsia="en-US" w:bidi="en-US"/>
      </w:rPr>
    </w:lvl>
    <w:lvl w:ilvl="6" w:tentative="0">
      <w:start w:val="0"/>
      <w:numFmt w:val="bullet"/>
      <w:lvlText w:val="•"/>
      <w:lvlJc w:val="left"/>
      <w:pPr>
        <w:ind w:left="6087" w:hanging="416"/>
      </w:pPr>
      <w:rPr>
        <w:rFonts w:hint="default"/>
        <w:lang w:val="en-US" w:eastAsia="en-US" w:bidi="en-US"/>
      </w:rPr>
    </w:lvl>
    <w:lvl w:ilvl="7" w:tentative="0">
      <w:start w:val="0"/>
      <w:numFmt w:val="bullet"/>
      <w:lvlText w:val="•"/>
      <w:lvlJc w:val="left"/>
      <w:pPr>
        <w:ind w:left="7082" w:hanging="416"/>
      </w:pPr>
      <w:rPr>
        <w:rFonts w:hint="default"/>
        <w:lang w:val="en-US" w:eastAsia="en-US" w:bidi="en-US"/>
      </w:rPr>
    </w:lvl>
    <w:lvl w:ilvl="8" w:tentative="0">
      <w:start w:val="0"/>
      <w:numFmt w:val="bullet"/>
      <w:lvlText w:val="•"/>
      <w:lvlJc w:val="left"/>
      <w:pPr>
        <w:ind w:left="8076" w:hanging="416"/>
      </w:pPr>
      <w:rPr>
        <w:rFonts w:hint="default"/>
        <w:lang w:val="en-US" w:eastAsia="en-US" w:bidi="en-US"/>
      </w:rPr>
    </w:lvl>
  </w:abstractNum>
  <w:abstractNum w:abstractNumId="6">
    <w:nsid w:val="87B75F0A"/>
    <w:multiLevelType w:val="multilevel"/>
    <w:tmpl w:val="87B75F0A"/>
    <w:lvl w:ilvl="0" w:tentative="0">
      <w:start w:val="6"/>
      <w:numFmt w:val="decimal"/>
      <w:lvlText w:val="%1"/>
      <w:lvlJc w:val="left"/>
      <w:pPr>
        <w:ind w:left="2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214" w:hanging="420"/>
      </w:pPr>
      <w:rPr>
        <w:rFonts w:hint="default"/>
        <w:lang w:val="en-US" w:eastAsia="en-US" w:bidi="en-US"/>
      </w:rPr>
    </w:lvl>
    <w:lvl w:ilvl="2" w:tentative="0">
      <w:start w:val="0"/>
      <w:numFmt w:val="bullet"/>
      <w:lvlText w:val="•"/>
      <w:lvlJc w:val="left"/>
      <w:pPr>
        <w:ind w:left="2209" w:hanging="420"/>
      </w:pPr>
      <w:rPr>
        <w:rFonts w:hint="default"/>
        <w:lang w:val="en-US" w:eastAsia="en-US" w:bidi="en-US"/>
      </w:rPr>
    </w:lvl>
    <w:lvl w:ilvl="3" w:tentative="0">
      <w:start w:val="0"/>
      <w:numFmt w:val="bullet"/>
      <w:lvlText w:val="•"/>
      <w:lvlJc w:val="left"/>
      <w:pPr>
        <w:ind w:left="3203" w:hanging="420"/>
      </w:pPr>
      <w:rPr>
        <w:rFonts w:hint="default"/>
        <w:lang w:val="en-US" w:eastAsia="en-US" w:bidi="en-US"/>
      </w:rPr>
    </w:lvl>
    <w:lvl w:ilvl="4" w:tentative="0">
      <w:start w:val="0"/>
      <w:numFmt w:val="bullet"/>
      <w:lvlText w:val="•"/>
      <w:lvlJc w:val="left"/>
      <w:pPr>
        <w:ind w:left="4198" w:hanging="420"/>
      </w:pPr>
      <w:rPr>
        <w:rFonts w:hint="default"/>
        <w:lang w:val="en-US" w:eastAsia="en-US" w:bidi="en-US"/>
      </w:rPr>
    </w:lvl>
    <w:lvl w:ilvl="5" w:tentative="0">
      <w:start w:val="0"/>
      <w:numFmt w:val="bullet"/>
      <w:lvlText w:val="•"/>
      <w:lvlJc w:val="left"/>
      <w:pPr>
        <w:ind w:left="5193" w:hanging="420"/>
      </w:pPr>
      <w:rPr>
        <w:rFonts w:hint="default"/>
        <w:lang w:val="en-US" w:eastAsia="en-US" w:bidi="en-US"/>
      </w:rPr>
    </w:lvl>
    <w:lvl w:ilvl="6" w:tentative="0">
      <w:start w:val="0"/>
      <w:numFmt w:val="bullet"/>
      <w:lvlText w:val="•"/>
      <w:lvlJc w:val="left"/>
      <w:pPr>
        <w:ind w:left="6187" w:hanging="420"/>
      </w:pPr>
      <w:rPr>
        <w:rFonts w:hint="default"/>
        <w:lang w:val="en-US" w:eastAsia="en-US" w:bidi="en-US"/>
      </w:rPr>
    </w:lvl>
    <w:lvl w:ilvl="7" w:tentative="0">
      <w:start w:val="0"/>
      <w:numFmt w:val="bullet"/>
      <w:lvlText w:val="•"/>
      <w:lvlJc w:val="left"/>
      <w:pPr>
        <w:ind w:left="7182" w:hanging="420"/>
      </w:pPr>
      <w:rPr>
        <w:rFonts w:hint="default"/>
        <w:lang w:val="en-US" w:eastAsia="en-US" w:bidi="en-US"/>
      </w:rPr>
    </w:lvl>
    <w:lvl w:ilvl="8" w:tentative="0">
      <w:start w:val="0"/>
      <w:numFmt w:val="bullet"/>
      <w:lvlText w:val="•"/>
      <w:lvlJc w:val="left"/>
      <w:pPr>
        <w:ind w:left="8176" w:hanging="420"/>
      </w:pPr>
      <w:rPr>
        <w:rFonts w:hint="default"/>
        <w:lang w:val="en-US" w:eastAsia="en-US" w:bidi="en-US"/>
      </w:rPr>
    </w:lvl>
  </w:abstractNum>
  <w:abstractNum w:abstractNumId="7">
    <w:nsid w:val="883B3669"/>
    <w:multiLevelType w:val="multilevel"/>
    <w:tmpl w:val="883B3669"/>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8">
    <w:nsid w:val="8CAEB125"/>
    <w:multiLevelType w:val="multilevel"/>
    <w:tmpl w:val="8CAEB125"/>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9">
    <w:nsid w:val="91995D4F"/>
    <w:multiLevelType w:val="multilevel"/>
    <w:tmpl w:val="91995D4F"/>
    <w:lvl w:ilvl="0" w:tentative="0">
      <w:start w:val="1"/>
      <w:numFmt w:val="decimal"/>
      <w:lvlText w:val="%1"/>
      <w:lvlJc w:val="left"/>
      <w:pPr>
        <w:ind w:left="21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214" w:hanging="416"/>
      </w:pPr>
      <w:rPr>
        <w:rFonts w:hint="default"/>
        <w:lang w:val="en-US" w:eastAsia="en-US" w:bidi="en-US"/>
      </w:rPr>
    </w:lvl>
    <w:lvl w:ilvl="2" w:tentative="0">
      <w:start w:val="0"/>
      <w:numFmt w:val="bullet"/>
      <w:lvlText w:val="•"/>
      <w:lvlJc w:val="left"/>
      <w:pPr>
        <w:ind w:left="2209" w:hanging="416"/>
      </w:pPr>
      <w:rPr>
        <w:rFonts w:hint="default"/>
        <w:lang w:val="en-US" w:eastAsia="en-US" w:bidi="en-US"/>
      </w:rPr>
    </w:lvl>
    <w:lvl w:ilvl="3" w:tentative="0">
      <w:start w:val="0"/>
      <w:numFmt w:val="bullet"/>
      <w:lvlText w:val="•"/>
      <w:lvlJc w:val="left"/>
      <w:pPr>
        <w:ind w:left="3203" w:hanging="416"/>
      </w:pPr>
      <w:rPr>
        <w:rFonts w:hint="default"/>
        <w:lang w:val="en-US" w:eastAsia="en-US" w:bidi="en-US"/>
      </w:rPr>
    </w:lvl>
    <w:lvl w:ilvl="4" w:tentative="0">
      <w:start w:val="0"/>
      <w:numFmt w:val="bullet"/>
      <w:lvlText w:val="•"/>
      <w:lvlJc w:val="left"/>
      <w:pPr>
        <w:ind w:left="4198" w:hanging="416"/>
      </w:pPr>
      <w:rPr>
        <w:rFonts w:hint="default"/>
        <w:lang w:val="en-US" w:eastAsia="en-US" w:bidi="en-US"/>
      </w:rPr>
    </w:lvl>
    <w:lvl w:ilvl="5" w:tentative="0">
      <w:start w:val="0"/>
      <w:numFmt w:val="bullet"/>
      <w:lvlText w:val="•"/>
      <w:lvlJc w:val="left"/>
      <w:pPr>
        <w:ind w:left="5193" w:hanging="416"/>
      </w:pPr>
      <w:rPr>
        <w:rFonts w:hint="default"/>
        <w:lang w:val="en-US" w:eastAsia="en-US" w:bidi="en-US"/>
      </w:rPr>
    </w:lvl>
    <w:lvl w:ilvl="6" w:tentative="0">
      <w:start w:val="0"/>
      <w:numFmt w:val="bullet"/>
      <w:lvlText w:val="•"/>
      <w:lvlJc w:val="left"/>
      <w:pPr>
        <w:ind w:left="6187" w:hanging="416"/>
      </w:pPr>
      <w:rPr>
        <w:rFonts w:hint="default"/>
        <w:lang w:val="en-US" w:eastAsia="en-US" w:bidi="en-US"/>
      </w:rPr>
    </w:lvl>
    <w:lvl w:ilvl="7" w:tentative="0">
      <w:start w:val="0"/>
      <w:numFmt w:val="bullet"/>
      <w:lvlText w:val="•"/>
      <w:lvlJc w:val="left"/>
      <w:pPr>
        <w:ind w:left="7182" w:hanging="416"/>
      </w:pPr>
      <w:rPr>
        <w:rFonts w:hint="default"/>
        <w:lang w:val="en-US" w:eastAsia="en-US" w:bidi="en-US"/>
      </w:rPr>
    </w:lvl>
    <w:lvl w:ilvl="8" w:tentative="0">
      <w:start w:val="0"/>
      <w:numFmt w:val="bullet"/>
      <w:lvlText w:val="•"/>
      <w:lvlJc w:val="left"/>
      <w:pPr>
        <w:ind w:left="8176" w:hanging="416"/>
      </w:pPr>
      <w:rPr>
        <w:rFonts w:hint="default"/>
        <w:lang w:val="en-US" w:eastAsia="en-US" w:bidi="en-US"/>
      </w:rPr>
    </w:lvl>
  </w:abstractNum>
  <w:abstractNum w:abstractNumId="10">
    <w:nsid w:val="91B69C97"/>
    <w:multiLevelType w:val="multilevel"/>
    <w:tmpl w:val="91B69C97"/>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1">
    <w:nsid w:val="9239341B"/>
    <w:multiLevelType w:val="multilevel"/>
    <w:tmpl w:val="9239341B"/>
    <w:lvl w:ilvl="0" w:tentative="0">
      <w:start w:val="3"/>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2">
    <w:nsid w:val="9288B902"/>
    <w:multiLevelType w:val="multilevel"/>
    <w:tmpl w:val="9288B902"/>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3">
    <w:nsid w:val="930EE254"/>
    <w:multiLevelType w:val="multilevel"/>
    <w:tmpl w:val="930EE254"/>
    <w:lvl w:ilvl="0" w:tentative="0">
      <w:start w:val="8"/>
      <w:numFmt w:val="decimal"/>
      <w:lvlText w:val="%1"/>
      <w:lvlJc w:val="left"/>
      <w:pPr>
        <w:ind w:left="1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104" w:hanging="420"/>
      </w:pPr>
      <w:rPr>
        <w:rFonts w:hint="default"/>
        <w:lang w:val="en-US" w:eastAsia="en-US" w:bidi="en-US"/>
      </w:rPr>
    </w:lvl>
    <w:lvl w:ilvl="2" w:tentative="0">
      <w:start w:val="0"/>
      <w:numFmt w:val="bullet"/>
      <w:lvlText w:val="•"/>
      <w:lvlJc w:val="left"/>
      <w:pPr>
        <w:ind w:left="2089" w:hanging="420"/>
      </w:pPr>
      <w:rPr>
        <w:rFonts w:hint="default"/>
        <w:lang w:val="en-US" w:eastAsia="en-US" w:bidi="en-US"/>
      </w:rPr>
    </w:lvl>
    <w:lvl w:ilvl="3" w:tentative="0">
      <w:start w:val="0"/>
      <w:numFmt w:val="bullet"/>
      <w:lvlText w:val="•"/>
      <w:lvlJc w:val="left"/>
      <w:pPr>
        <w:ind w:left="3073" w:hanging="420"/>
      </w:pPr>
      <w:rPr>
        <w:rFonts w:hint="default"/>
        <w:lang w:val="en-US" w:eastAsia="en-US" w:bidi="en-US"/>
      </w:rPr>
    </w:lvl>
    <w:lvl w:ilvl="4" w:tentative="0">
      <w:start w:val="0"/>
      <w:numFmt w:val="bullet"/>
      <w:lvlText w:val="•"/>
      <w:lvlJc w:val="left"/>
      <w:pPr>
        <w:ind w:left="4058" w:hanging="420"/>
      </w:pPr>
      <w:rPr>
        <w:rFonts w:hint="default"/>
        <w:lang w:val="en-US" w:eastAsia="en-US" w:bidi="en-US"/>
      </w:rPr>
    </w:lvl>
    <w:lvl w:ilvl="5" w:tentative="0">
      <w:start w:val="0"/>
      <w:numFmt w:val="bullet"/>
      <w:lvlText w:val="•"/>
      <w:lvlJc w:val="left"/>
      <w:pPr>
        <w:ind w:left="5043" w:hanging="420"/>
      </w:pPr>
      <w:rPr>
        <w:rFonts w:hint="default"/>
        <w:lang w:val="en-US" w:eastAsia="en-US" w:bidi="en-US"/>
      </w:rPr>
    </w:lvl>
    <w:lvl w:ilvl="6" w:tentative="0">
      <w:start w:val="0"/>
      <w:numFmt w:val="bullet"/>
      <w:lvlText w:val="•"/>
      <w:lvlJc w:val="left"/>
      <w:pPr>
        <w:ind w:left="6027" w:hanging="420"/>
      </w:pPr>
      <w:rPr>
        <w:rFonts w:hint="default"/>
        <w:lang w:val="en-US" w:eastAsia="en-US" w:bidi="en-US"/>
      </w:rPr>
    </w:lvl>
    <w:lvl w:ilvl="7" w:tentative="0">
      <w:start w:val="0"/>
      <w:numFmt w:val="bullet"/>
      <w:lvlText w:val="•"/>
      <w:lvlJc w:val="left"/>
      <w:pPr>
        <w:ind w:left="7012" w:hanging="420"/>
      </w:pPr>
      <w:rPr>
        <w:rFonts w:hint="default"/>
        <w:lang w:val="en-US" w:eastAsia="en-US" w:bidi="en-US"/>
      </w:rPr>
    </w:lvl>
    <w:lvl w:ilvl="8" w:tentative="0">
      <w:start w:val="0"/>
      <w:numFmt w:val="bullet"/>
      <w:lvlText w:val="•"/>
      <w:lvlJc w:val="left"/>
      <w:pPr>
        <w:ind w:left="7996" w:hanging="420"/>
      </w:pPr>
      <w:rPr>
        <w:rFonts w:hint="default"/>
        <w:lang w:val="en-US" w:eastAsia="en-US" w:bidi="en-US"/>
      </w:rPr>
    </w:lvl>
  </w:abstractNum>
  <w:abstractNum w:abstractNumId="14">
    <w:nsid w:val="9377BC45"/>
    <w:multiLevelType w:val="multilevel"/>
    <w:tmpl w:val="9377BC45"/>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5">
    <w:nsid w:val="941D12A9"/>
    <w:multiLevelType w:val="multilevel"/>
    <w:tmpl w:val="941D12A9"/>
    <w:lvl w:ilvl="0" w:tentative="0">
      <w:start w:val="2"/>
      <w:numFmt w:val="decimal"/>
      <w:lvlText w:val="%1"/>
      <w:lvlJc w:val="left"/>
      <w:pPr>
        <w:ind w:left="1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104" w:hanging="420"/>
      </w:pPr>
      <w:rPr>
        <w:rFonts w:hint="default"/>
        <w:lang w:val="en-US" w:eastAsia="en-US" w:bidi="en-US"/>
      </w:rPr>
    </w:lvl>
    <w:lvl w:ilvl="2" w:tentative="0">
      <w:start w:val="0"/>
      <w:numFmt w:val="bullet"/>
      <w:lvlText w:val="•"/>
      <w:lvlJc w:val="left"/>
      <w:pPr>
        <w:ind w:left="2089" w:hanging="420"/>
      </w:pPr>
      <w:rPr>
        <w:rFonts w:hint="default"/>
        <w:lang w:val="en-US" w:eastAsia="en-US" w:bidi="en-US"/>
      </w:rPr>
    </w:lvl>
    <w:lvl w:ilvl="3" w:tentative="0">
      <w:start w:val="0"/>
      <w:numFmt w:val="bullet"/>
      <w:lvlText w:val="•"/>
      <w:lvlJc w:val="left"/>
      <w:pPr>
        <w:ind w:left="3073" w:hanging="420"/>
      </w:pPr>
      <w:rPr>
        <w:rFonts w:hint="default"/>
        <w:lang w:val="en-US" w:eastAsia="en-US" w:bidi="en-US"/>
      </w:rPr>
    </w:lvl>
    <w:lvl w:ilvl="4" w:tentative="0">
      <w:start w:val="0"/>
      <w:numFmt w:val="bullet"/>
      <w:lvlText w:val="•"/>
      <w:lvlJc w:val="left"/>
      <w:pPr>
        <w:ind w:left="4058" w:hanging="420"/>
      </w:pPr>
      <w:rPr>
        <w:rFonts w:hint="default"/>
        <w:lang w:val="en-US" w:eastAsia="en-US" w:bidi="en-US"/>
      </w:rPr>
    </w:lvl>
    <w:lvl w:ilvl="5" w:tentative="0">
      <w:start w:val="0"/>
      <w:numFmt w:val="bullet"/>
      <w:lvlText w:val="•"/>
      <w:lvlJc w:val="left"/>
      <w:pPr>
        <w:ind w:left="5043" w:hanging="420"/>
      </w:pPr>
      <w:rPr>
        <w:rFonts w:hint="default"/>
        <w:lang w:val="en-US" w:eastAsia="en-US" w:bidi="en-US"/>
      </w:rPr>
    </w:lvl>
    <w:lvl w:ilvl="6" w:tentative="0">
      <w:start w:val="0"/>
      <w:numFmt w:val="bullet"/>
      <w:lvlText w:val="•"/>
      <w:lvlJc w:val="left"/>
      <w:pPr>
        <w:ind w:left="6027" w:hanging="420"/>
      </w:pPr>
      <w:rPr>
        <w:rFonts w:hint="default"/>
        <w:lang w:val="en-US" w:eastAsia="en-US" w:bidi="en-US"/>
      </w:rPr>
    </w:lvl>
    <w:lvl w:ilvl="7" w:tentative="0">
      <w:start w:val="0"/>
      <w:numFmt w:val="bullet"/>
      <w:lvlText w:val="•"/>
      <w:lvlJc w:val="left"/>
      <w:pPr>
        <w:ind w:left="7012" w:hanging="420"/>
      </w:pPr>
      <w:rPr>
        <w:rFonts w:hint="default"/>
        <w:lang w:val="en-US" w:eastAsia="en-US" w:bidi="en-US"/>
      </w:rPr>
    </w:lvl>
    <w:lvl w:ilvl="8" w:tentative="0">
      <w:start w:val="0"/>
      <w:numFmt w:val="bullet"/>
      <w:lvlText w:val="•"/>
      <w:lvlJc w:val="left"/>
      <w:pPr>
        <w:ind w:left="7996" w:hanging="420"/>
      </w:pPr>
      <w:rPr>
        <w:rFonts w:hint="default"/>
        <w:lang w:val="en-US" w:eastAsia="en-US" w:bidi="en-US"/>
      </w:rPr>
    </w:lvl>
  </w:abstractNum>
  <w:abstractNum w:abstractNumId="16">
    <w:nsid w:val="95E682A1"/>
    <w:multiLevelType w:val="multilevel"/>
    <w:tmpl w:val="95E682A1"/>
    <w:lvl w:ilvl="0" w:tentative="0">
      <w:start w:val="1"/>
      <w:numFmt w:val="decimal"/>
      <w:lvlText w:val="%1"/>
      <w:lvlJc w:val="left"/>
      <w:pPr>
        <w:ind w:left="1060"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970" w:hanging="420"/>
      </w:pPr>
      <w:rPr>
        <w:rFonts w:hint="default"/>
        <w:lang w:val="en-US" w:eastAsia="en-US" w:bidi="en-US"/>
      </w:rPr>
    </w:lvl>
    <w:lvl w:ilvl="2" w:tentative="0">
      <w:start w:val="0"/>
      <w:numFmt w:val="bullet"/>
      <w:lvlText w:val="•"/>
      <w:lvlJc w:val="left"/>
      <w:pPr>
        <w:ind w:left="2881" w:hanging="420"/>
      </w:pPr>
      <w:rPr>
        <w:rFonts w:hint="default"/>
        <w:lang w:val="en-US" w:eastAsia="en-US" w:bidi="en-US"/>
      </w:rPr>
    </w:lvl>
    <w:lvl w:ilvl="3" w:tentative="0">
      <w:start w:val="0"/>
      <w:numFmt w:val="bullet"/>
      <w:lvlText w:val="•"/>
      <w:lvlJc w:val="left"/>
      <w:pPr>
        <w:ind w:left="3791" w:hanging="420"/>
      </w:pPr>
      <w:rPr>
        <w:rFonts w:hint="default"/>
        <w:lang w:val="en-US" w:eastAsia="en-US" w:bidi="en-US"/>
      </w:rPr>
    </w:lvl>
    <w:lvl w:ilvl="4" w:tentative="0">
      <w:start w:val="0"/>
      <w:numFmt w:val="bullet"/>
      <w:lvlText w:val="•"/>
      <w:lvlJc w:val="left"/>
      <w:pPr>
        <w:ind w:left="4702" w:hanging="420"/>
      </w:pPr>
      <w:rPr>
        <w:rFonts w:hint="default"/>
        <w:lang w:val="en-US" w:eastAsia="en-US" w:bidi="en-US"/>
      </w:rPr>
    </w:lvl>
    <w:lvl w:ilvl="5" w:tentative="0">
      <w:start w:val="0"/>
      <w:numFmt w:val="bullet"/>
      <w:lvlText w:val="•"/>
      <w:lvlJc w:val="left"/>
      <w:pPr>
        <w:ind w:left="5613" w:hanging="420"/>
      </w:pPr>
      <w:rPr>
        <w:rFonts w:hint="default"/>
        <w:lang w:val="en-US" w:eastAsia="en-US" w:bidi="en-US"/>
      </w:rPr>
    </w:lvl>
    <w:lvl w:ilvl="6" w:tentative="0">
      <w:start w:val="0"/>
      <w:numFmt w:val="bullet"/>
      <w:lvlText w:val="•"/>
      <w:lvlJc w:val="left"/>
      <w:pPr>
        <w:ind w:left="6523" w:hanging="420"/>
      </w:pPr>
      <w:rPr>
        <w:rFonts w:hint="default"/>
        <w:lang w:val="en-US" w:eastAsia="en-US" w:bidi="en-US"/>
      </w:rPr>
    </w:lvl>
    <w:lvl w:ilvl="7" w:tentative="0">
      <w:start w:val="0"/>
      <w:numFmt w:val="bullet"/>
      <w:lvlText w:val="•"/>
      <w:lvlJc w:val="left"/>
      <w:pPr>
        <w:ind w:left="7434" w:hanging="420"/>
      </w:pPr>
      <w:rPr>
        <w:rFonts w:hint="default"/>
        <w:lang w:val="en-US" w:eastAsia="en-US" w:bidi="en-US"/>
      </w:rPr>
    </w:lvl>
    <w:lvl w:ilvl="8" w:tentative="0">
      <w:start w:val="0"/>
      <w:numFmt w:val="bullet"/>
      <w:lvlText w:val="•"/>
      <w:lvlJc w:val="left"/>
      <w:pPr>
        <w:ind w:left="8344" w:hanging="420"/>
      </w:pPr>
      <w:rPr>
        <w:rFonts w:hint="default"/>
        <w:lang w:val="en-US" w:eastAsia="en-US" w:bidi="en-US"/>
      </w:rPr>
    </w:lvl>
  </w:abstractNum>
  <w:abstractNum w:abstractNumId="17">
    <w:nsid w:val="98CD717A"/>
    <w:multiLevelType w:val="multilevel"/>
    <w:tmpl w:val="98CD717A"/>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8">
    <w:nsid w:val="9ACF65A0"/>
    <w:multiLevelType w:val="multilevel"/>
    <w:tmpl w:val="9ACF65A0"/>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9">
    <w:nsid w:val="9B1F845E"/>
    <w:multiLevelType w:val="multilevel"/>
    <w:tmpl w:val="9B1F845E"/>
    <w:lvl w:ilvl="0" w:tentative="0">
      <w:start w:val="1"/>
      <w:numFmt w:val="upperRoman"/>
      <w:lvlText w:val="%1"/>
      <w:lvlJc w:val="left"/>
      <w:pPr>
        <w:ind w:left="4171" w:hanging="159"/>
        <w:jc w:val="right"/>
      </w:pPr>
      <w:rPr>
        <w:rFonts w:hint="default" w:ascii="黑体" w:hAnsi="黑体" w:eastAsia="黑体" w:cs="黑体"/>
        <w:w w:val="99"/>
        <w:sz w:val="21"/>
        <w:szCs w:val="21"/>
        <w:lang w:val="en-US" w:eastAsia="en-US" w:bidi="en-US"/>
      </w:rPr>
    </w:lvl>
    <w:lvl w:ilvl="1" w:tentative="0">
      <w:start w:val="0"/>
      <w:numFmt w:val="bullet"/>
      <w:lvlText w:val="•"/>
      <w:lvlJc w:val="left"/>
      <w:pPr>
        <w:ind w:left="4768" w:hanging="159"/>
      </w:pPr>
      <w:rPr>
        <w:rFonts w:hint="default"/>
        <w:lang w:val="en-US" w:eastAsia="en-US" w:bidi="en-US"/>
      </w:rPr>
    </w:lvl>
    <w:lvl w:ilvl="2" w:tentative="0">
      <w:start w:val="0"/>
      <w:numFmt w:val="bullet"/>
      <w:lvlText w:val="•"/>
      <w:lvlJc w:val="left"/>
      <w:pPr>
        <w:ind w:left="5357" w:hanging="159"/>
      </w:pPr>
      <w:rPr>
        <w:rFonts w:hint="default"/>
        <w:lang w:val="en-US" w:eastAsia="en-US" w:bidi="en-US"/>
      </w:rPr>
    </w:lvl>
    <w:lvl w:ilvl="3" w:tentative="0">
      <w:start w:val="0"/>
      <w:numFmt w:val="bullet"/>
      <w:lvlText w:val="•"/>
      <w:lvlJc w:val="left"/>
      <w:pPr>
        <w:ind w:left="5945" w:hanging="159"/>
      </w:pPr>
      <w:rPr>
        <w:rFonts w:hint="default"/>
        <w:lang w:val="en-US" w:eastAsia="en-US" w:bidi="en-US"/>
      </w:rPr>
    </w:lvl>
    <w:lvl w:ilvl="4" w:tentative="0">
      <w:start w:val="0"/>
      <w:numFmt w:val="bullet"/>
      <w:lvlText w:val="•"/>
      <w:lvlJc w:val="left"/>
      <w:pPr>
        <w:ind w:left="6534" w:hanging="159"/>
      </w:pPr>
      <w:rPr>
        <w:rFonts w:hint="default"/>
        <w:lang w:val="en-US" w:eastAsia="en-US" w:bidi="en-US"/>
      </w:rPr>
    </w:lvl>
    <w:lvl w:ilvl="5" w:tentative="0">
      <w:start w:val="0"/>
      <w:numFmt w:val="bullet"/>
      <w:lvlText w:val="•"/>
      <w:lvlJc w:val="left"/>
      <w:pPr>
        <w:ind w:left="7123" w:hanging="159"/>
      </w:pPr>
      <w:rPr>
        <w:rFonts w:hint="default"/>
        <w:lang w:val="en-US" w:eastAsia="en-US" w:bidi="en-US"/>
      </w:rPr>
    </w:lvl>
    <w:lvl w:ilvl="6" w:tentative="0">
      <w:start w:val="0"/>
      <w:numFmt w:val="bullet"/>
      <w:lvlText w:val="•"/>
      <w:lvlJc w:val="left"/>
      <w:pPr>
        <w:ind w:left="7711" w:hanging="159"/>
      </w:pPr>
      <w:rPr>
        <w:rFonts w:hint="default"/>
        <w:lang w:val="en-US" w:eastAsia="en-US" w:bidi="en-US"/>
      </w:rPr>
    </w:lvl>
    <w:lvl w:ilvl="7" w:tentative="0">
      <w:start w:val="0"/>
      <w:numFmt w:val="bullet"/>
      <w:lvlText w:val="•"/>
      <w:lvlJc w:val="left"/>
      <w:pPr>
        <w:ind w:left="8300" w:hanging="159"/>
      </w:pPr>
      <w:rPr>
        <w:rFonts w:hint="default"/>
        <w:lang w:val="en-US" w:eastAsia="en-US" w:bidi="en-US"/>
      </w:rPr>
    </w:lvl>
    <w:lvl w:ilvl="8" w:tentative="0">
      <w:start w:val="0"/>
      <w:numFmt w:val="bullet"/>
      <w:lvlText w:val="•"/>
      <w:lvlJc w:val="left"/>
      <w:pPr>
        <w:ind w:left="8888" w:hanging="159"/>
      </w:pPr>
      <w:rPr>
        <w:rFonts w:hint="default"/>
        <w:lang w:val="en-US" w:eastAsia="en-US" w:bidi="en-US"/>
      </w:rPr>
    </w:lvl>
  </w:abstractNum>
  <w:abstractNum w:abstractNumId="20">
    <w:nsid w:val="9C11E984"/>
    <w:multiLevelType w:val="multilevel"/>
    <w:tmpl w:val="9C11E984"/>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21">
    <w:nsid w:val="9C7198AA"/>
    <w:multiLevelType w:val="multilevel"/>
    <w:tmpl w:val="9C7198AA"/>
    <w:lvl w:ilvl="0" w:tentative="0">
      <w:start w:val="1"/>
      <w:numFmt w:val="upperRoman"/>
      <w:lvlText w:val="%1"/>
      <w:lvlJc w:val="left"/>
      <w:pPr>
        <w:ind w:left="4271" w:hanging="159"/>
        <w:jc w:val="right"/>
      </w:pPr>
      <w:rPr>
        <w:rFonts w:hint="default" w:ascii="黑体" w:hAnsi="黑体" w:eastAsia="黑体" w:cs="黑体"/>
        <w:w w:val="99"/>
        <w:sz w:val="21"/>
        <w:szCs w:val="21"/>
        <w:lang w:val="en-US" w:eastAsia="en-US" w:bidi="en-US"/>
      </w:rPr>
    </w:lvl>
    <w:lvl w:ilvl="1" w:tentative="0">
      <w:start w:val="0"/>
      <w:numFmt w:val="bullet"/>
      <w:lvlText w:val="•"/>
      <w:lvlJc w:val="left"/>
      <w:pPr>
        <w:ind w:left="4868" w:hanging="159"/>
      </w:pPr>
      <w:rPr>
        <w:rFonts w:hint="default"/>
        <w:lang w:val="en-US" w:eastAsia="en-US" w:bidi="en-US"/>
      </w:rPr>
    </w:lvl>
    <w:lvl w:ilvl="2" w:tentative="0">
      <w:start w:val="0"/>
      <w:numFmt w:val="bullet"/>
      <w:lvlText w:val="•"/>
      <w:lvlJc w:val="left"/>
      <w:pPr>
        <w:ind w:left="5457" w:hanging="159"/>
      </w:pPr>
      <w:rPr>
        <w:rFonts w:hint="default"/>
        <w:lang w:val="en-US" w:eastAsia="en-US" w:bidi="en-US"/>
      </w:rPr>
    </w:lvl>
    <w:lvl w:ilvl="3" w:tentative="0">
      <w:start w:val="0"/>
      <w:numFmt w:val="bullet"/>
      <w:lvlText w:val="•"/>
      <w:lvlJc w:val="left"/>
      <w:pPr>
        <w:ind w:left="6045" w:hanging="159"/>
      </w:pPr>
      <w:rPr>
        <w:rFonts w:hint="default"/>
        <w:lang w:val="en-US" w:eastAsia="en-US" w:bidi="en-US"/>
      </w:rPr>
    </w:lvl>
    <w:lvl w:ilvl="4" w:tentative="0">
      <w:start w:val="0"/>
      <w:numFmt w:val="bullet"/>
      <w:lvlText w:val="•"/>
      <w:lvlJc w:val="left"/>
      <w:pPr>
        <w:ind w:left="6634" w:hanging="159"/>
      </w:pPr>
      <w:rPr>
        <w:rFonts w:hint="default"/>
        <w:lang w:val="en-US" w:eastAsia="en-US" w:bidi="en-US"/>
      </w:rPr>
    </w:lvl>
    <w:lvl w:ilvl="5" w:tentative="0">
      <w:start w:val="0"/>
      <w:numFmt w:val="bullet"/>
      <w:lvlText w:val="•"/>
      <w:lvlJc w:val="left"/>
      <w:pPr>
        <w:ind w:left="7223" w:hanging="159"/>
      </w:pPr>
      <w:rPr>
        <w:rFonts w:hint="default"/>
        <w:lang w:val="en-US" w:eastAsia="en-US" w:bidi="en-US"/>
      </w:rPr>
    </w:lvl>
    <w:lvl w:ilvl="6" w:tentative="0">
      <w:start w:val="0"/>
      <w:numFmt w:val="bullet"/>
      <w:lvlText w:val="•"/>
      <w:lvlJc w:val="left"/>
      <w:pPr>
        <w:ind w:left="7811" w:hanging="159"/>
      </w:pPr>
      <w:rPr>
        <w:rFonts w:hint="default"/>
        <w:lang w:val="en-US" w:eastAsia="en-US" w:bidi="en-US"/>
      </w:rPr>
    </w:lvl>
    <w:lvl w:ilvl="7" w:tentative="0">
      <w:start w:val="0"/>
      <w:numFmt w:val="bullet"/>
      <w:lvlText w:val="•"/>
      <w:lvlJc w:val="left"/>
      <w:pPr>
        <w:ind w:left="8400" w:hanging="159"/>
      </w:pPr>
      <w:rPr>
        <w:rFonts w:hint="default"/>
        <w:lang w:val="en-US" w:eastAsia="en-US" w:bidi="en-US"/>
      </w:rPr>
    </w:lvl>
    <w:lvl w:ilvl="8" w:tentative="0">
      <w:start w:val="0"/>
      <w:numFmt w:val="bullet"/>
      <w:lvlText w:val="•"/>
      <w:lvlJc w:val="left"/>
      <w:pPr>
        <w:ind w:left="8988" w:hanging="159"/>
      </w:pPr>
      <w:rPr>
        <w:rFonts w:hint="default"/>
        <w:lang w:val="en-US" w:eastAsia="en-US" w:bidi="en-US"/>
      </w:rPr>
    </w:lvl>
  </w:abstractNum>
  <w:abstractNum w:abstractNumId="22">
    <w:nsid w:val="9C8AC8EF"/>
    <w:multiLevelType w:val="multilevel"/>
    <w:tmpl w:val="9C8AC8EF"/>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23">
    <w:nsid w:val="9D5D7490"/>
    <w:multiLevelType w:val="multilevel"/>
    <w:tmpl w:val="9D5D7490"/>
    <w:lvl w:ilvl="0" w:tentative="0">
      <w:start w:val="1"/>
      <w:numFmt w:val="decimal"/>
      <w:lvlText w:val="%1"/>
      <w:lvlJc w:val="left"/>
      <w:pPr>
        <w:ind w:left="21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214" w:hanging="416"/>
      </w:pPr>
      <w:rPr>
        <w:rFonts w:hint="default"/>
        <w:lang w:val="en-US" w:eastAsia="en-US" w:bidi="en-US"/>
      </w:rPr>
    </w:lvl>
    <w:lvl w:ilvl="2" w:tentative="0">
      <w:start w:val="0"/>
      <w:numFmt w:val="bullet"/>
      <w:lvlText w:val="•"/>
      <w:lvlJc w:val="left"/>
      <w:pPr>
        <w:ind w:left="2209" w:hanging="416"/>
      </w:pPr>
      <w:rPr>
        <w:rFonts w:hint="default"/>
        <w:lang w:val="en-US" w:eastAsia="en-US" w:bidi="en-US"/>
      </w:rPr>
    </w:lvl>
    <w:lvl w:ilvl="3" w:tentative="0">
      <w:start w:val="0"/>
      <w:numFmt w:val="bullet"/>
      <w:lvlText w:val="•"/>
      <w:lvlJc w:val="left"/>
      <w:pPr>
        <w:ind w:left="3203" w:hanging="416"/>
      </w:pPr>
      <w:rPr>
        <w:rFonts w:hint="default"/>
        <w:lang w:val="en-US" w:eastAsia="en-US" w:bidi="en-US"/>
      </w:rPr>
    </w:lvl>
    <w:lvl w:ilvl="4" w:tentative="0">
      <w:start w:val="0"/>
      <w:numFmt w:val="bullet"/>
      <w:lvlText w:val="•"/>
      <w:lvlJc w:val="left"/>
      <w:pPr>
        <w:ind w:left="4198" w:hanging="416"/>
      </w:pPr>
      <w:rPr>
        <w:rFonts w:hint="default"/>
        <w:lang w:val="en-US" w:eastAsia="en-US" w:bidi="en-US"/>
      </w:rPr>
    </w:lvl>
    <w:lvl w:ilvl="5" w:tentative="0">
      <w:start w:val="0"/>
      <w:numFmt w:val="bullet"/>
      <w:lvlText w:val="•"/>
      <w:lvlJc w:val="left"/>
      <w:pPr>
        <w:ind w:left="5193" w:hanging="416"/>
      </w:pPr>
      <w:rPr>
        <w:rFonts w:hint="default"/>
        <w:lang w:val="en-US" w:eastAsia="en-US" w:bidi="en-US"/>
      </w:rPr>
    </w:lvl>
    <w:lvl w:ilvl="6" w:tentative="0">
      <w:start w:val="0"/>
      <w:numFmt w:val="bullet"/>
      <w:lvlText w:val="•"/>
      <w:lvlJc w:val="left"/>
      <w:pPr>
        <w:ind w:left="6187" w:hanging="416"/>
      </w:pPr>
      <w:rPr>
        <w:rFonts w:hint="default"/>
        <w:lang w:val="en-US" w:eastAsia="en-US" w:bidi="en-US"/>
      </w:rPr>
    </w:lvl>
    <w:lvl w:ilvl="7" w:tentative="0">
      <w:start w:val="0"/>
      <w:numFmt w:val="bullet"/>
      <w:lvlText w:val="•"/>
      <w:lvlJc w:val="left"/>
      <w:pPr>
        <w:ind w:left="7182" w:hanging="416"/>
      </w:pPr>
      <w:rPr>
        <w:rFonts w:hint="default"/>
        <w:lang w:val="en-US" w:eastAsia="en-US" w:bidi="en-US"/>
      </w:rPr>
    </w:lvl>
    <w:lvl w:ilvl="8" w:tentative="0">
      <w:start w:val="0"/>
      <w:numFmt w:val="bullet"/>
      <w:lvlText w:val="•"/>
      <w:lvlJc w:val="left"/>
      <w:pPr>
        <w:ind w:left="8176" w:hanging="416"/>
      </w:pPr>
      <w:rPr>
        <w:rFonts w:hint="default"/>
        <w:lang w:val="en-US" w:eastAsia="en-US" w:bidi="en-US"/>
      </w:rPr>
    </w:lvl>
  </w:abstractNum>
  <w:abstractNum w:abstractNumId="24">
    <w:nsid w:val="9D7EB8E6"/>
    <w:multiLevelType w:val="multilevel"/>
    <w:tmpl w:val="9D7EB8E6"/>
    <w:lvl w:ilvl="0" w:tentative="0">
      <w:start w:val="1"/>
      <w:numFmt w:val="decimal"/>
      <w:lvlText w:val="%1"/>
      <w:lvlJc w:val="left"/>
      <w:pPr>
        <w:ind w:left="632" w:hanging="420"/>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592" w:hanging="420"/>
      </w:pPr>
      <w:rPr>
        <w:rFonts w:hint="default"/>
        <w:lang w:val="en-US" w:eastAsia="en-US" w:bidi="en-US"/>
      </w:rPr>
    </w:lvl>
    <w:lvl w:ilvl="2" w:tentative="0">
      <w:start w:val="0"/>
      <w:numFmt w:val="bullet"/>
      <w:lvlText w:val="•"/>
      <w:lvlJc w:val="left"/>
      <w:pPr>
        <w:ind w:left="2545" w:hanging="420"/>
      </w:pPr>
      <w:rPr>
        <w:rFonts w:hint="default"/>
        <w:lang w:val="en-US" w:eastAsia="en-US" w:bidi="en-US"/>
      </w:rPr>
    </w:lvl>
    <w:lvl w:ilvl="3" w:tentative="0">
      <w:start w:val="0"/>
      <w:numFmt w:val="bullet"/>
      <w:lvlText w:val="•"/>
      <w:lvlJc w:val="left"/>
      <w:pPr>
        <w:ind w:left="3497" w:hanging="420"/>
      </w:pPr>
      <w:rPr>
        <w:rFonts w:hint="default"/>
        <w:lang w:val="en-US" w:eastAsia="en-US" w:bidi="en-US"/>
      </w:rPr>
    </w:lvl>
    <w:lvl w:ilvl="4" w:tentative="0">
      <w:start w:val="0"/>
      <w:numFmt w:val="bullet"/>
      <w:lvlText w:val="•"/>
      <w:lvlJc w:val="left"/>
      <w:pPr>
        <w:ind w:left="4450" w:hanging="420"/>
      </w:pPr>
      <w:rPr>
        <w:rFonts w:hint="default"/>
        <w:lang w:val="en-US" w:eastAsia="en-US" w:bidi="en-US"/>
      </w:rPr>
    </w:lvl>
    <w:lvl w:ilvl="5" w:tentative="0">
      <w:start w:val="0"/>
      <w:numFmt w:val="bullet"/>
      <w:lvlText w:val="•"/>
      <w:lvlJc w:val="left"/>
      <w:pPr>
        <w:ind w:left="5403" w:hanging="420"/>
      </w:pPr>
      <w:rPr>
        <w:rFonts w:hint="default"/>
        <w:lang w:val="en-US" w:eastAsia="en-US" w:bidi="en-US"/>
      </w:rPr>
    </w:lvl>
    <w:lvl w:ilvl="6" w:tentative="0">
      <w:start w:val="0"/>
      <w:numFmt w:val="bullet"/>
      <w:lvlText w:val="•"/>
      <w:lvlJc w:val="left"/>
      <w:pPr>
        <w:ind w:left="6355" w:hanging="420"/>
      </w:pPr>
      <w:rPr>
        <w:rFonts w:hint="default"/>
        <w:lang w:val="en-US" w:eastAsia="en-US" w:bidi="en-US"/>
      </w:rPr>
    </w:lvl>
    <w:lvl w:ilvl="7" w:tentative="0">
      <w:start w:val="0"/>
      <w:numFmt w:val="bullet"/>
      <w:lvlText w:val="•"/>
      <w:lvlJc w:val="left"/>
      <w:pPr>
        <w:ind w:left="7308" w:hanging="420"/>
      </w:pPr>
      <w:rPr>
        <w:rFonts w:hint="default"/>
        <w:lang w:val="en-US" w:eastAsia="en-US" w:bidi="en-US"/>
      </w:rPr>
    </w:lvl>
    <w:lvl w:ilvl="8" w:tentative="0">
      <w:start w:val="0"/>
      <w:numFmt w:val="bullet"/>
      <w:lvlText w:val="•"/>
      <w:lvlJc w:val="left"/>
      <w:pPr>
        <w:ind w:left="8260" w:hanging="420"/>
      </w:pPr>
      <w:rPr>
        <w:rFonts w:hint="default"/>
        <w:lang w:val="en-US" w:eastAsia="en-US" w:bidi="en-US"/>
      </w:rPr>
    </w:lvl>
  </w:abstractNum>
  <w:abstractNum w:abstractNumId="25">
    <w:nsid w:val="9D9F4F4D"/>
    <w:multiLevelType w:val="multilevel"/>
    <w:tmpl w:val="9D9F4F4D"/>
    <w:lvl w:ilvl="0" w:tentative="0">
      <w:start w:val="5"/>
      <w:numFmt w:val="decimal"/>
      <w:lvlText w:val="%1"/>
      <w:lvlJc w:val="left"/>
      <w:pPr>
        <w:ind w:left="112" w:hanging="519"/>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114" w:hanging="519"/>
      </w:pPr>
      <w:rPr>
        <w:rFonts w:hint="default"/>
        <w:lang w:val="en-US" w:eastAsia="en-US" w:bidi="en-US"/>
      </w:rPr>
    </w:lvl>
    <w:lvl w:ilvl="2" w:tentative="0">
      <w:start w:val="0"/>
      <w:numFmt w:val="bullet"/>
      <w:lvlText w:val="•"/>
      <w:lvlJc w:val="left"/>
      <w:pPr>
        <w:ind w:left="2109" w:hanging="519"/>
      </w:pPr>
      <w:rPr>
        <w:rFonts w:hint="default"/>
        <w:lang w:val="en-US" w:eastAsia="en-US" w:bidi="en-US"/>
      </w:rPr>
    </w:lvl>
    <w:lvl w:ilvl="3" w:tentative="0">
      <w:start w:val="0"/>
      <w:numFmt w:val="bullet"/>
      <w:lvlText w:val="•"/>
      <w:lvlJc w:val="left"/>
      <w:pPr>
        <w:ind w:left="3103" w:hanging="519"/>
      </w:pPr>
      <w:rPr>
        <w:rFonts w:hint="default"/>
        <w:lang w:val="en-US" w:eastAsia="en-US" w:bidi="en-US"/>
      </w:rPr>
    </w:lvl>
    <w:lvl w:ilvl="4" w:tentative="0">
      <w:start w:val="0"/>
      <w:numFmt w:val="bullet"/>
      <w:lvlText w:val="•"/>
      <w:lvlJc w:val="left"/>
      <w:pPr>
        <w:ind w:left="4098" w:hanging="519"/>
      </w:pPr>
      <w:rPr>
        <w:rFonts w:hint="default"/>
        <w:lang w:val="en-US" w:eastAsia="en-US" w:bidi="en-US"/>
      </w:rPr>
    </w:lvl>
    <w:lvl w:ilvl="5" w:tentative="0">
      <w:start w:val="0"/>
      <w:numFmt w:val="bullet"/>
      <w:lvlText w:val="•"/>
      <w:lvlJc w:val="left"/>
      <w:pPr>
        <w:ind w:left="5093" w:hanging="519"/>
      </w:pPr>
      <w:rPr>
        <w:rFonts w:hint="default"/>
        <w:lang w:val="en-US" w:eastAsia="en-US" w:bidi="en-US"/>
      </w:rPr>
    </w:lvl>
    <w:lvl w:ilvl="6" w:tentative="0">
      <w:start w:val="0"/>
      <w:numFmt w:val="bullet"/>
      <w:lvlText w:val="•"/>
      <w:lvlJc w:val="left"/>
      <w:pPr>
        <w:ind w:left="6087" w:hanging="519"/>
      </w:pPr>
      <w:rPr>
        <w:rFonts w:hint="default"/>
        <w:lang w:val="en-US" w:eastAsia="en-US" w:bidi="en-US"/>
      </w:rPr>
    </w:lvl>
    <w:lvl w:ilvl="7" w:tentative="0">
      <w:start w:val="0"/>
      <w:numFmt w:val="bullet"/>
      <w:lvlText w:val="•"/>
      <w:lvlJc w:val="left"/>
      <w:pPr>
        <w:ind w:left="7082" w:hanging="519"/>
      </w:pPr>
      <w:rPr>
        <w:rFonts w:hint="default"/>
        <w:lang w:val="en-US" w:eastAsia="en-US" w:bidi="en-US"/>
      </w:rPr>
    </w:lvl>
    <w:lvl w:ilvl="8" w:tentative="0">
      <w:start w:val="0"/>
      <w:numFmt w:val="bullet"/>
      <w:lvlText w:val="•"/>
      <w:lvlJc w:val="left"/>
      <w:pPr>
        <w:ind w:left="8076" w:hanging="519"/>
      </w:pPr>
      <w:rPr>
        <w:rFonts w:hint="default"/>
        <w:lang w:val="en-US" w:eastAsia="en-US" w:bidi="en-US"/>
      </w:rPr>
    </w:lvl>
  </w:abstractNum>
  <w:abstractNum w:abstractNumId="26">
    <w:nsid w:val="9DFC6F65"/>
    <w:multiLevelType w:val="multilevel"/>
    <w:tmpl w:val="9DFC6F65"/>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27">
    <w:nsid w:val="9F81B9F9"/>
    <w:multiLevelType w:val="multilevel"/>
    <w:tmpl w:val="9F81B9F9"/>
    <w:lvl w:ilvl="0" w:tentative="0">
      <w:start w:val="1"/>
      <w:numFmt w:val="decimal"/>
      <w:lvlText w:val="%1"/>
      <w:lvlJc w:val="left"/>
      <w:pPr>
        <w:ind w:left="21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214" w:hanging="416"/>
      </w:pPr>
      <w:rPr>
        <w:rFonts w:hint="default"/>
        <w:lang w:val="en-US" w:eastAsia="en-US" w:bidi="en-US"/>
      </w:rPr>
    </w:lvl>
    <w:lvl w:ilvl="2" w:tentative="0">
      <w:start w:val="0"/>
      <w:numFmt w:val="bullet"/>
      <w:lvlText w:val="•"/>
      <w:lvlJc w:val="left"/>
      <w:pPr>
        <w:ind w:left="2209" w:hanging="416"/>
      </w:pPr>
      <w:rPr>
        <w:rFonts w:hint="default"/>
        <w:lang w:val="en-US" w:eastAsia="en-US" w:bidi="en-US"/>
      </w:rPr>
    </w:lvl>
    <w:lvl w:ilvl="3" w:tentative="0">
      <w:start w:val="0"/>
      <w:numFmt w:val="bullet"/>
      <w:lvlText w:val="•"/>
      <w:lvlJc w:val="left"/>
      <w:pPr>
        <w:ind w:left="3203" w:hanging="416"/>
      </w:pPr>
      <w:rPr>
        <w:rFonts w:hint="default"/>
        <w:lang w:val="en-US" w:eastAsia="en-US" w:bidi="en-US"/>
      </w:rPr>
    </w:lvl>
    <w:lvl w:ilvl="4" w:tentative="0">
      <w:start w:val="0"/>
      <w:numFmt w:val="bullet"/>
      <w:lvlText w:val="•"/>
      <w:lvlJc w:val="left"/>
      <w:pPr>
        <w:ind w:left="4198" w:hanging="416"/>
      </w:pPr>
      <w:rPr>
        <w:rFonts w:hint="default"/>
        <w:lang w:val="en-US" w:eastAsia="en-US" w:bidi="en-US"/>
      </w:rPr>
    </w:lvl>
    <w:lvl w:ilvl="5" w:tentative="0">
      <w:start w:val="0"/>
      <w:numFmt w:val="bullet"/>
      <w:lvlText w:val="•"/>
      <w:lvlJc w:val="left"/>
      <w:pPr>
        <w:ind w:left="5193" w:hanging="416"/>
      </w:pPr>
      <w:rPr>
        <w:rFonts w:hint="default"/>
        <w:lang w:val="en-US" w:eastAsia="en-US" w:bidi="en-US"/>
      </w:rPr>
    </w:lvl>
    <w:lvl w:ilvl="6" w:tentative="0">
      <w:start w:val="0"/>
      <w:numFmt w:val="bullet"/>
      <w:lvlText w:val="•"/>
      <w:lvlJc w:val="left"/>
      <w:pPr>
        <w:ind w:left="6187" w:hanging="416"/>
      </w:pPr>
      <w:rPr>
        <w:rFonts w:hint="default"/>
        <w:lang w:val="en-US" w:eastAsia="en-US" w:bidi="en-US"/>
      </w:rPr>
    </w:lvl>
    <w:lvl w:ilvl="7" w:tentative="0">
      <w:start w:val="0"/>
      <w:numFmt w:val="bullet"/>
      <w:lvlText w:val="•"/>
      <w:lvlJc w:val="left"/>
      <w:pPr>
        <w:ind w:left="7182" w:hanging="416"/>
      </w:pPr>
      <w:rPr>
        <w:rFonts w:hint="default"/>
        <w:lang w:val="en-US" w:eastAsia="en-US" w:bidi="en-US"/>
      </w:rPr>
    </w:lvl>
    <w:lvl w:ilvl="8" w:tentative="0">
      <w:start w:val="0"/>
      <w:numFmt w:val="bullet"/>
      <w:lvlText w:val="•"/>
      <w:lvlJc w:val="left"/>
      <w:pPr>
        <w:ind w:left="8176" w:hanging="416"/>
      </w:pPr>
      <w:rPr>
        <w:rFonts w:hint="default"/>
        <w:lang w:val="en-US" w:eastAsia="en-US" w:bidi="en-US"/>
      </w:rPr>
    </w:lvl>
  </w:abstractNum>
  <w:abstractNum w:abstractNumId="28">
    <w:nsid w:val="A0C93552"/>
    <w:multiLevelType w:val="multilevel"/>
    <w:tmpl w:val="A0C93552"/>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29">
    <w:nsid w:val="A0F05207"/>
    <w:multiLevelType w:val="multilevel"/>
    <w:tmpl w:val="A0F05207"/>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30">
    <w:nsid w:val="A5435042"/>
    <w:multiLevelType w:val="multilevel"/>
    <w:tmpl w:val="A5435042"/>
    <w:lvl w:ilvl="0" w:tentative="0">
      <w:start w:val="3"/>
      <w:numFmt w:val="decimal"/>
      <w:lvlText w:val="%1"/>
      <w:lvlJc w:val="left"/>
      <w:pPr>
        <w:ind w:left="2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214" w:hanging="420"/>
      </w:pPr>
      <w:rPr>
        <w:rFonts w:hint="default"/>
        <w:lang w:val="en-US" w:eastAsia="en-US" w:bidi="en-US"/>
      </w:rPr>
    </w:lvl>
    <w:lvl w:ilvl="2" w:tentative="0">
      <w:start w:val="0"/>
      <w:numFmt w:val="bullet"/>
      <w:lvlText w:val="•"/>
      <w:lvlJc w:val="left"/>
      <w:pPr>
        <w:ind w:left="2209" w:hanging="420"/>
      </w:pPr>
      <w:rPr>
        <w:rFonts w:hint="default"/>
        <w:lang w:val="en-US" w:eastAsia="en-US" w:bidi="en-US"/>
      </w:rPr>
    </w:lvl>
    <w:lvl w:ilvl="3" w:tentative="0">
      <w:start w:val="0"/>
      <w:numFmt w:val="bullet"/>
      <w:lvlText w:val="•"/>
      <w:lvlJc w:val="left"/>
      <w:pPr>
        <w:ind w:left="3203" w:hanging="420"/>
      </w:pPr>
      <w:rPr>
        <w:rFonts w:hint="default"/>
        <w:lang w:val="en-US" w:eastAsia="en-US" w:bidi="en-US"/>
      </w:rPr>
    </w:lvl>
    <w:lvl w:ilvl="4" w:tentative="0">
      <w:start w:val="0"/>
      <w:numFmt w:val="bullet"/>
      <w:lvlText w:val="•"/>
      <w:lvlJc w:val="left"/>
      <w:pPr>
        <w:ind w:left="4198" w:hanging="420"/>
      </w:pPr>
      <w:rPr>
        <w:rFonts w:hint="default"/>
        <w:lang w:val="en-US" w:eastAsia="en-US" w:bidi="en-US"/>
      </w:rPr>
    </w:lvl>
    <w:lvl w:ilvl="5" w:tentative="0">
      <w:start w:val="0"/>
      <w:numFmt w:val="bullet"/>
      <w:lvlText w:val="•"/>
      <w:lvlJc w:val="left"/>
      <w:pPr>
        <w:ind w:left="5193" w:hanging="420"/>
      </w:pPr>
      <w:rPr>
        <w:rFonts w:hint="default"/>
        <w:lang w:val="en-US" w:eastAsia="en-US" w:bidi="en-US"/>
      </w:rPr>
    </w:lvl>
    <w:lvl w:ilvl="6" w:tentative="0">
      <w:start w:val="0"/>
      <w:numFmt w:val="bullet"/>
      <w:lvlText w:val="•"/>
      <w:lvlJc w:val="left"/>
      <w:pPr>
        <w:ind w:left="6187" w:hanging="420"/>
      </w:pPr>
      <w:rPr>
        <w:rFonts w:hint="default"/>
        <w:lang w:val="en-US" w:eastAsia="en-US" w:bidi="en-US"/>
      </w:rPr>
    </w:lvl>
    <w:lvl w:ilvl="7" w:tentative="0">
      <w:start w:val="0"/>
      <w:numFmt w:val="bullet"/>
      <w:lvlText w:val="•"/>
      <w:lvlJc w:val="left"/>
      <w:pPr>
        <w:ind w:left="7182" w:hanging="420"/>
      </w:pPr>
      <w:rPr>
        <w:rFonts w:hint="default"/>
        <w:lang w:val="en-US" w:eastAsia="en-US" w:bidi="en-US"/>
      </w:rPr>
    </w:lvl>
    <w:lvl w:ilvl="8" w:tentative="0">
      <w:start w:val="0"/>
      <w:numFmt w:val="bullet"/>
      <w:lvlText w:val="•"/>
      <w:lvlJc w:val="left"/>
      <w:pPr>
        <w:ind w:left="8176" w:hanging="420"/>
      </w:pPr>
      <w:rPr>
        <w:rFonts w:hint="default"/>
        <w:lang w:val="en-US" w:eastAsia="en-US" w:bidi="en-US"/>
      </w:rPr>
    </w:lvl>
  </w:abstractNum>
  <w:abstractNum w:abstractNumId="31">
    <w:nsid w:val="A97D620A"/>
    <w:multiLevelType w:val="multilevel"/>
    <w:tmpl w:val="A97D620A"/>
    <w:lvl w:ilvl="0" w:tentative="0">
      <w:start w:val="1"/>
      <w:numFmt w:val="decimal"/>
      <w:lvlText w:val="%1"/>
      <w:lvlJc w:val="left"/>
      <w:pPr>
        <w:ind w:left="105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970" w:hanging="420"/>
      </w:pPr>
      <w:rPr>
        <w:rFonts w:hint="default"/>
        <w:lang w:val="en-US" w:eastAsia="en-US" w:bidi="en-US"/>
      </w:rPr>
    </w:lvl>
    <w:lvl w:ilvl="2" w:tentative="0">
      <w:start w:val="0"/>
      <w:numFmt w:val="bullet"/>
      <w:lvlText w:val="•"/>
      <w:lvlJc w:val="left"/>
      <w:pPr>
        <w:ind w:left="2881" w:hanging="420"/>
      </w:pPr>
      <w:rPr>
        <w:rFonts w:hint="default"/>
        <w:lang w:val="en-US" w:eastAsia="en-US" w:bidi="en-US"/>
      </w:rPr>
    </w:lvl>
    <w:lvl w:ilvl="3" w:tentative="0">
      <w:start w:val="0"/>
      <w:numFmt w:val="bullet"/>
      <w:lvlText w:val="•"/>
      <w:lvlJc w:val="left"/>
      <w:pPr>
        <w:ind w:left="3791" w:hanging="420"/>
      </w:pPr>
      <w:rPr>
        <w:rFonts w:hint="default"/>
        <w:lang w:val="en-US" w:eastAsia="en-US" w:bidi="en-US"/>
      </w:rPr>
    </w:lvl>
    <w:lvl w:ilvl="4" w:tentative="0">
      <w:start w:val="0"/>
      <w:numFmt w:val="bullet"/>
      <w:lvlText w:val="•"/>
      <w:lvlJc w:val="left"/>
      <w:pPr>
        <w:ind w:left="4702" w:hanging="420"/>
      </w:pPr>
      <w:rPr>
        <w:rFonts w:hint="default"/>
        <w:lang w:val="en-US" w:eastAsia="en-US" w:bidi="en-US"/>
      </w:rPr>
    </w:lvl>
    <w:lvl w:ilvl="5" w:tentative="0">
      <w:start w:val="0"/>
      <w:numFmt w:val="bullet"/>
      <w:lvlText w:val="•"/>
      <w:lvlJc w:val="left"/>
      <w:pPr>
        <w:ind w:left="5613" w:hanging="420"/>
      </w:pPr>
      <w:rPr>
        <w:rFonts w:hint="default"/>
        <w:lang w:val="en-US" w:eastAsia="en-US" w:bidi="en-US"/>
      </w:rPr>
    </w:lvl>
    <w:lvl w:ilvl="6" w:tentative="0">
      <w:start w:val="0"/>
      <w:numFmt w:val="bullet"/>
      <w:lvlText w:val="•"/>
      <w:lvlJc w:val="left"/>
      <w:pPr>
        <w:ind w:left="6523" w:hanging="420"/>
      </w:pPr>
      <w:rPr>
        <w:rFonts w:hint="default"/>
        <w:lang w:val="en-US" w:eastAsia="en-US" w:bidi="en-US"/>
      </w:rPr>
    </w:lvl>
    <w:lvl w:ilvl="7" w:tentative="0">
      <w:start w:val="0"/>
      <w:numFmt w:val="bullet"/>
      <w:lvlText w:val="•"/>
      <w:lvlJc w:val="left"/>
      <w:pPr>
        <w:ind w:left="7434" w:hanging="420"/>
      </w:pPr>
      <w:rPr>
        <w:rFonts w:hint="default"/>
        <w:lang w:val="en-US" w:eastAsia="en-US" w:bidi="en-US"/>
      </w:rPr>
    </w:lvl>
    <w:lvl w:ilvl="8" w:tentative="0">
      <w:start w:val="0"/>
      <w:numFmt w:val="bullet"/>
      <w:lvlText w:val="•"/>
      <w:lvlJc w:val="left"/>
      <w:pPr>
        <w:ind w:left="8344" w:hanging="420"/>
      </w:pPr>
      <w:rPr>
        <w:rFonts w:hint="default"/>
        <w:lang w:val="en-US" w:eastAsia="en-US" w:bidi="en-US"/>
      </w:rPr>
    </w:lvl>
  </w:abstractNum>
  <w:abstractNum w:abstractNumId="32">
    <w:nsid w:val="A9AC3AA7"/>
    <w:multiLevelType w:val="multilevel"/>
    <w:tmpl w:val="A9AC3AA7"/>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33">
    <w:nsid w:val="AAF3F3FA"/>
    <w:multiLevelType w:val="multilevel"/>
    <w:tmpl w:val="AAF3F3FA"/>
    <w:lvl w:ilvl="0" w:tentative="0">
      <w:start w:val="1"/>
      <w:numFmt w:val="decimal"/>
      <w:lvlText w:val="%1"/>
      <w:lvlJc w:val="left"/>
      <w:pPr>
        <w:ind w:left="212" w:hanging="416"/>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214" w:hanging="416"/>
      </w:pPr>
      <w:rPr>
        <w:rFonts w:hint="default"/>
        <w:lang w:val="en-US" w:eastAsia="en-US" w:bidi="en-US"/>
      </w:rPr>
    </w:lvl>
    <w:lvl w:ilvl="2" w:tentative="0">
      <w:start w:val="0"/>
      <w:numFmt w:val="bullet"/>
      <w:lvlText w:val="•"/>
      <w:lvlJc w:val="left"/>
      <w:pPr>
        <w:ind w:left="2209" w:hanging="416"/>
      </w:pPr>
      <w:rPr>
        <w:rFonts w:hint="default"/>
        <w:lang w:val="en-US" w:eastAsia="en-US" w:bidi="en-US"/>
      </w:rPr>
    </w:lvl>
    <w:lvl w:ilvl="3" w:tentative="0">
      <w:start w:val="0"/>
      <w:numFmt w:val="bullet"/>
      <w:lvlText w:val="•"/>
      <w:lvlJc w:val="left"/>
      <w:pPr>
        <w:ind w:left="3203" w:hanging="416"/>
      </w:pPr>
      <w:rPr>
        <w:rFonts w:hint="default"/>
        <w:lang w:val="en-US" w:eastAsia="en-US" w:bidi="en-US"/>
      </w:rPr>
    </w:lvl>
    <w:lvl w:ilvl="4" w:tentative="0">
      <w:start w:val="0"/>
      <w:numFmt w:val="bullet"/>
      <w:lvlText w:val="•"/>
      <w:lvlJc w:val="left"/>
      <w:pPr>
        <w:ind w:left="4198" w:hanging="416"/>
      </w:pPr>
      <w:rPr>
        <w:rFonts w:hint="default"/>
        <w:lang w:val="en-US" w:eastAsia="en-US" w:bidi="en-US"/>
      </w:rPr>
    </w:lvl>
    <w:lvl w:ilvl="5" w:tentative="0">
      <w:start w:val="0"/>
      <w:numFmt w:val="bullet"/>
      <w:lvlText w:val="•"/>
      <w:lvlJc w:val="left"/>
      <w:pPr>
        <w:ind w:left="5193" w:hanging="416"/>
      </w:pPr>
      <w:rPr>
        <w:rFonts w:hint="default"/>
        <w:lang w:val="en-US" w:eastAsia="en-US" w:bidi="en-US"/>
      </w:rPr>
    </w:lvl>
    <w:lvl w:ilvl="6" w:tentative="0">
      <w:start w:val="0"/>
      <w:numFmt w:val="bullet"/>
      <w:lvlText w:val="•"/>
      <w:lvlJc w:val="left"/>
      <w:pPr>
        <w:ind w:left="6187" w:hanging="416"/>
      </w:pPr>
      <w:rPr>
        <w:rFonts w:hint="default"/>
        <w:lang w:val="en-US" w:eastAsia="en-US" w:bidi="en-US"/>
      </w:rPr>
    </w:lvl>
    <w:lvl w:ilvl="7" w:tentative="0">
      <w:start w:val="0"/>
      <w:numFmt w:val="bullet"/>
      <w:lvlText w:val="•"/>
      <w:lvlJc w:val="left"/>
      <w:pPr>
        <w:ind w:left="7182" w:hanging="416"/>
      </w:pPr>
      <w:rPr>
        <w:rFonts w:hint="default"/>
        <w:lang w:val="en-US" w:eastAsia="en-US" w:bidi="en-US"/>
      </w:rPr>
    </w:lvl>
    <w:lvl w:ilvl="8" w:tentative="0">
      <w:start w:val="0"/>
      <w:numFmt w:val="bullet"/>
      <w:lvlText w:val="•"/>
      <w:lvlJc w:val="left"/>
      <w:pPr>
        <w:ind w:left="8176" w:hanging="416"/>
      </w:pPr>
      <w:rPr>
        <w:rFonts w:hint="default"/>
        <w:lang w:val="en-US" w:eastAsia="en-US" w:bidi="en-US"/>
      </w:rPr>
    </w:lvl>
  </w:abstractNum>
  <w:abstractNum w:abstractNumId="34">
    <w:nsid w:val="B0082E4F"/>
    <w:multiLevelType w:val="multilevel"/>
    <w:tmpl w:val="B0082E4F"/>
    <w:lvl w:ilvl="0" w:tentative="0">
      <w:start w:val="8"/>
      <w:numFmt w:val="decimal"/>
      <w:lvlText w:val="%1"/>
      <w:lvlJc w:val="left"/>
      <w:pPr>
        <w:ind w:left="112" w:hanging="411"/>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114" w:hanging="411"/>
      </w:pPr>
      <w:rPr>
        <w:rFonts w:hint="default"/>
        <w:lang w:val="en-US" w:eastAsia="en-US" w:bidi="en-US"/>
      </w:rPr>
    </w:lvl>
    <w:lvl w:ilvl="2" w:tentative="0">
      <w:start w:val="0"/>
      <w:numFmt w:val="bullet"/>
      <w:lvlText w:val="•"/>
      <w:lvlJc w:val="left"/>
      <w:pPr>
        <w:ind w:left="2109" w:hanging="411"/>
      </w:pPr>
      <w:rPr>
        <w:rFonts w:hint="default"/>
        <w:lang w:val="en-US" w:eastAsia="en-US" w:bidi="en-US"/>
      </w:rPr>
    </w:lvl>
    <w:lvl w:ilvl="3" w:tentative="0">
      <w:start w:val="0"/>
      <w:numFmt w:val="bullet"/>
      <w:lvlText w:val="•"/>
      <w:lvlJc w:val="left"/>
      <w:pPr>
        <w:ind w:left="3103" w:hanging="411"/>
      </w:pPr>
      <w:rPr>
        <w:rFonts w:hint="default"/>
        <w:lang w:val="en-US" w:eastAsia="en-US" w:bidi="en-US"/>
      </w:rPr>
    </w:lvl>
    <w:lvl w:ilvl="4" w:tentative="0">
      <w:start w:val="0"/>
      <w:numFmt w:val="bullet"/>
      <w:lvlText w:val="•"/>
      <w:lvlJc w:val="left"/>
      <w:pPr>
        <w:ind w:left="4098" w:hanging="411"/>
      </w:pPr>
      <w:rPr>
        <w:rFonts w:hint="default"/>
        <w:lang w:val="en-US" w:eastAsia="en-US" w:bidi="en-US"/>
      </w:rPr>
    </w:lvl>
    <w:lvl w:ilvl="5" w:tentative="0">
      <w:start w:val="0"/>
      <w:numFmt w:val="bullet"/>
      <w:lvlText w:val="•"/>
      <w:lvlJc w:val="left"/>
      <w:pPr>
        <w:ind w:left="5093" w:hanging="411"/>
      </w:pPr>
      <w:rPr>
        <w:rFonts w:hint="default"/>
        <w:lang w:val="en-US" w:eastAsia="en-US" w:bidi="en-US"/>
      </w:rPr>
    </w:lvl>
    <w:lvl w:ilvl="6" w:tentative="0">
      <w:start w:val="0"/>
      <w:numFmt w:val="bullet"/>
      <w:lvlText w:val="•"/>
      <w:lvlJc w:val="left"/>
      <w:pPr>
        <w:ind w:left="6087" w:hanging="411"/>
      </w:pPr>
      <w:rPr>
        <w:rFonts w:hint="default"/>
        <w:lang w:val="en-US" w:eastAsia="en-US" w:bidi="en-US"/>
      </w:rPr>
    </w:lvl>
    <w:lvl w:ilvl="7" w:tentative="0">
      <w:start w:val="0"/>
      <w:numFmt w:val="bullet"/>
      <w:lvlText w:val="•"/>
      <w:lvlJc w:val="left"/>
      <w:pPr>
        <w:ind w:left="7082" w:hanging="411"/>
      </w:pPr>
      <w:rPr>
        <w:rFonts w:hint="default"/>
        <w:lang w:val="en-US" w:eastAsia="en-US" w:bidi="en-US"/>
      </w:rPr>
    </w:lvl>
    <w:lvl w:ilvl="8" w:tentative="0">
      <w:start w:val="0"/>
      <w:numFmt w:val="bullet"/>
      <w:lvlText w:val="•"/>
      <w:lvlJc w:val="left"/>
      <w:pPr>
        <w:ind w:left="8076" w:hanging="411"/>
      </w:pPr>
      <w:rPr>
        <w:rFonts w:hint="default"/>
        <w:lang w:val="en-US" w:eastAsia="en-US" w:bidi="en-US"/>
      </w:rPr>
    </w:lvl>
  </w:abstractNum>
  <w:abstractNum w:abstractNumId="35">
    <w:nsid w:val="B08374AC"/>
    <w:multiLevelType w:val="multilevel"/>
    <w:tmpl w:val="B08374AC"/>
    <w:lvl w:ilvl="0" w:tentative="0">
      <w:start w:val="4"/>
      <w:numFmt w:val="decimal"/>
      <w:lvlText w:val="%1"/>
      <w:lvlJc w:val="left"/>
      <w:pPr>
        <w:ind w:left="1052" w:hanging="840"/>
        <w:jc w:val="left"/>
      </w:pPr>
      <w:rPr>
        <w:rFonts w:hint="default"/>
        <w:lang w:val="en-US" w:eastAsia="en-US" w:bidi="en-US"/>
      </w:rPr>
    </w:lvl>
    <w:lvl w:ilvl="1" w:tentative="0">
      <w:start w:val="1"/>
      <w:numFmt w:val="decimal"/>
      <w:lvlText w:val="%1.%2"/>
      <w:lvlJc w:val="left"/>
      <w:pPr>
        <w:ind w:left="1052" w:hanging="840"/>
        <w:jc w:val="left"/>
      </w:pPr>
      <w:rPr>
        <w:rFonts w:hint="default"/>
        <w:lang w:val="en-US" w:eastAsia="en-US" w:bidi="en-US"/>
      </w:rPr>
    </w:lvl>
    <w:lvl w:ilvl="2" w:tentative="0">
      <w:start w:val="32"/>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1052" w:hanging="420"/>
        <w:jc w:val="left"/>
      </w:pPr>
      <w:rPr>
        <w:rFonts w:hint="default" w:ascii="宋体" w:hAnsi="宋体" w:eastAsia="宋体" w:cs="宋体"/>
        <w:w w:val="99"/>
        <w:sz w:val="21"/>
        <w:szCs w:val="21"/>
        <w:lang w:val="en-US" w:eastAsia="en-US" w:bidi="en-US"/>
      </w:rPr>
    </w:lvl>
    <w:lvl w:ilvl="4" w:tentative="0">
      <w:start w:val="0"/>
      <w:numFmt w:val="bullet"/>
      <w:lvlText w:val="•"/>
      <w:lvlJc w:val="left"/>
      <w:pPr>
        <w:ind w:left="4702" w:hanging="420"/>
      </w:pPr>
      <w:rPr>
        <w:rFonts w:hint="default"/>
        <w:lang w:val="en-US" w:eastAsia="en-US" w:bidi="en-US"/>
      </w:rPr>
    </w:lvl>
    <w:lvl w:ilvl="5" w:tentative="0">
      <w:start w:val="0"/>
      <w:numFmt w:val="bullet"/>
      <w:lvlText w:val="•"/>
      <w:lvlJc w:val="left"/>
      <w:pPr>
        <w:ind w:left="5613" w:hanging="420"/>
      </w:pPr>
      <w:rPr>
        <w:rFonts w:hint="default"/>
        <w:lang w:val="en-US" w:eastAsia="en-US" w:bidi="en-US"/>
      </w:rPr>
    </w:lvl>
    <w:lvl w:ilvl="6" w:tentative="0">
      <w:start w:val="0"/>
      <w:numFmt w:val="bullet"/>
      <w:lvlText w:val="•"/>
      <w:lvlJc w:val="left"/>
      <w:pPr>
        <w:ind w:left="6523" w:hanging="420"/>
      </w:pPr>
      <w:rPr>
        <w:rFonts w:hint="default"/>
        <w:lang w:val="en-US" w:eastAsia="en-US" w:bidi="en-US"/>
      </w:rPr>
    </w:lvl>
    <w:lvl w:ilvl="7" w:tentative="0">
      <w:start w:val="0"/>
      <w:numFmt w:val="bullet"/>
      <w:lvlText w:val="•"/>
      <w:lvlJc w:val="left"/>
      <w:pPr>
        <w:ind w:left="7434" w:hanging="420"/>
      </w:pPr>
      <w:rPr>
        <w:rFonts w:hint="default"/>
        <w:lang w:val="en-US" w:eastAsia="en-US" w:bidi="en-US"/>
      </w:rPr>
    </w:lvl>
    <w:lvl w:ilvl="8" w:tentative="0">
      <w:start w:val="0"/>
      <w:numFmt w:val="bullet"/>
      <w:lvlText w:val="•"/>
      <w:lvlJc w:val="left"/>
      <w:pPr>
        <w:ind w:left="8344" w:hanging="420"/>
      </w:pPr>
      <w:rPr>
        <w:rFonts w:hint="default"/>
        <w:lang w:val="en-US" w:eastAsia="en-US" w:bidi="en-US"/>
      </w:rPr>
    </w:lvl>
  </w:abstractNum>
  <w:abstractNum w:abstractNumId="36">
    <w:nsid w:val="B0ED9BEA"/>
    <w:multiLevelType w:val="multilevel"/>
    <w:tmpl w:val="B0ED9BEA"/>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37">
    <w:nsid w:val="B0F1ACD9"/>
    <w:multiLevelType w:val="multilevel"/>
    <w:tmpl w:val="B0F1ACD9"/>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38">
    <w:nsid w:val="B15ABE86"/>
    <w:multiLevelType w:val="multilevel"/>
    <w:tmpl w:val="B15ABE86"/>
    <w:lvl w:ilvl="0" w:tentative="0">
      <w:start w:val="1"/>
      <w:numFmt w:val="decimal"/>
      <w:lvlText w:val="%1"/>
      <w:lvlJc w:val="left"/>
      <w:pPr>
        <w:ind w:left="1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114" w:hanging="420"/>
      </w:pPr>
      <w:rPr>
        <w:rFonts w:hint="default"/>
        <w:lang w:val="en-US" w:eastAsia="en-US" w:bidi="en-US"/>
      </w:rPr>
    </w:lvl>
    <w:lvl w:ilvl="2" w:tentative="0">
      <w:start w:val="0"/>
      <w:numFmt w:val="bullet"/>
      <w:lvlText w:val="•"/>
      <w:lvlJc w:val="left"/>
      <w:pPr>
        <w:ind w:left="2109" w:hanging="420"/>
      </w:pPr>
      <w:rPr>
        <w:rFonts w:hint="default"/>
        <w:lang w:val="en-US" w:eastAsia="en-US" w:bidi="en-US"/>
      </w:rPr>
    </w:lvl>
    <w:lvl w:ilvl="3" w:tentative="0">
      <w:start w:val="0"/>
      <w:numFmt w:val="bullet"/>
      <w:lvlText w:val="•"/>
      <w:lvlJc w:val="left"/>
      <w:pPr>
        <w:ind w:left="3103" w:hanging="420"/>
      </w:pPr>
      <w:rPr>
        <w:rFonts w:hint="default"/>
        <w:lang w:val="en-US" w:eastAsia="en-US" w:bidi="en-US"/>
      </w:rPr>
    </w:lvl>
    <w:lvl w:ilvl="4" w:tentative="0">
      <w:start w:val="0"/>
      <w:numFmt w:val="bullet"/>
      <w:lvlText w:val="•"/>
      <w:lvlJc w:val="left"/>
      <w:pPr>
        <w:ind w:left="4098" w:hanging="420"/>
      </w:pPr>
      <w:rPr>
        <w:rFonts w:hint="default"/>
        <w:lang w:val="en-US" w:eastAsia="en-US" w:bidi="en-US"/>
      </w:rPr>
    </w:lvl>
    <w:lvl w:ilvl="5" w:tentative="0">
      <w:start w:val="0"/>
      <w:numFmt w:val="bullet"/>
      <w:lvlText w:val="•"/>
      <w:lvlJc w:val="left"/>
      <w:pPr>
        <w:ind w:left="5093" w:hanging="420"/>
      </w:pPr>
      <w:rPr>
        <w:rFonts w:hint="default"/>
        <w:lang w:val="en-US" w:eastAsia="en-US" w:bidi="en-US"/>
      </w:rPr>
    </w:lvl>
    <w:lvl w:ilvl="6" w:tentative="0">
      <w:start w:val="0"/>
      <w:numFmt w:val="bullet"/>
      <w:lvlText w:val="•"/>
      <w:lvlJc w:val="left"/>
      <w:pPr>
        <w:ind w:left="6087" w:hanging="420"/>
      </w:pPr>
      <w:rPr>
        <w:rFonts w:hint="default"/>
        <w:lang w:val="en-US" w:eastAsia="en-US" w:bidi="en-US"/>
      </w:rPr>
    </w:lvl>
    <w:lvl w:ilvl="7" w:tentative="0">
      <w:start w:val="0"/>
      <w:numFmt w:val="bullet"/>
      <w:lvlText w:val="•"/>
      <w:lvlJc w:val="left"/>
      <w:pPr>
        <w:ind w:left="7082" w:hanging="420"/>
      </w:pPr>
      <w:rPr>
        <w:rFonts w:hint="default"/>
        <w:lang w:val="en-US" w:eastAsia="en-US" w:bidi="en-US"/>
      </w:rPr>
    </w:lvl>
    <w:lvl w:ilvl="8" w:tentative="0">
      <w:start w:val="0"/>
      <w:numFmt w:val="bullet"/>
      <w:lvlText w:val="•"/>
      <w:lvlJc w:val="left"/>
      <w:pPr>
        <w:ind w:left="8076" w:hanging="420"/>
      </w:pPr>
      <w:rPr>
        <w:rFonts w:hint="default"/>
        <w:lang w:val="en-US" w:eastAsia="en-US" w:bidi="en-US"/>
      </w:rPr>
    </w:lvl>
  </w:abstractNum>
  <w:abstractNum w:abstractNumId="39">
    <w:nsid w:val="B1CC6FF1"/>
    <w:multiLevelType w:val="multilevel"/>
    <w:tmpl w:val="B1CC6FF1"/>
    <w:lvl w:ilvl="0" w:tentative="0">
      <w:start w:val="2"/>
      <w:numFmt w:val="decimal"/>
      <w:lvlText w:val="%1"/>
      <w:lvlJc w:val="left"/>
      <w:pPr>
        <w:ind w:left="1060"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970" w:hanging="420"/>
      </w:pPr>
      <w:rPr>
        <w:rFonts w:hint="default"/>
        <w:lang w:val="en-US" w:eastAsia="en-US" w:bidi="en-US"/>
      </w:rPr>
    </w:lvl>
    <w:lvl w:ilvl="2" w:tentative="0">
      <w:start w:val="0"/>
      <w:numFmt w:val="bullet"/>
      <w:lvlText w:val="•"/>
      <w:lvlJc w:val="left"/>
      <w:pPr>
        <w:ind w:left="2881" w:hanging="420"/>
      </w:pPr>
      <w:rPr>
        <w:rFonts w:hint="default"/>
        <w:lang w:val="en-US" w:eastAsia="en-US" w:bidi="en-US"/>
      </w:rPr>
    </w:lvl>
    <w:lvl w:ilvl="3" w:tentative="0">
      <w:start w:val="0"/>
      <w:numFmt w:val="bullet"/>
      <w:lvlText w:val="•"/>
      <w:lvlJc w:val="left"/>
      <w:pPr>
        <w:ind w:left="3791" w:hanging="420"/>
      </w:pPr>
      <w:rPr>
        <w:rFonts w:hint="default"/>
        <w:lang w:val="en-US" w:eastAsia="en-US" w:bidi="en-US"/>
      </w:rPr>
    </w:lvl>
    <w:lvl w:ilvl="4" w:tentative="0">
      <w:start w:val="0"/>
      <w:numFmt w:val="bullet"/>
      <w:lvlText w:val="•"/>
      <w:lvlJc w:val="left"/>
      <w:pPr>
        <w:ind w:left="4702" w:hanging="420"/>
      </w:pPr>
      <w:rPr>
        <w:rFonts w:hint="default"/>
        <w:lang w:val="en-US" w:eastAsia="en-US" w:bidi="en-US"/>
      </w:rPr>
    </w:lvl>
    <w:lvl w:ilvl="5" w:tentative="0">
      <w:start w:val="0"/>
      <w:numFmt w:val="bullet"/>
      <w:lvlText w:val="•"/>
      <w:lvlJc w:val="left"/>
      <w:pPr>
        <w:ind w:left="5613" w:hanging="420"/>
      </w:pPr>
      <w:rPr>
        <w:rFonts w:hint="default"/>
        <w:lang w:val="en-US" w:eastAsia="en-US" w:bidi="en-US"/>
      </w:rPr>
    </w:lvl>
    <w:lvl w:ilvl="6" w:tentative="0">
      <w:start w:val="0"/>
      <w:numFmt w:val="bullet"/>
      <w:lvlText w:val="•"/>
      <w:lvlJc w:val="left"/>
      <w:pPr>
        <w:ind w:left="6523" w:hanging="420"/>
      </w:pPr>
      <w:rPr>
        <w:rFonts w:hint="default"/>
        <w:lang w:val="en-US" w:eastAsia="en-US" w:bidi="en-US"/>
      </w:rPr>
    </w:lvl>
    <w:lvl w:ilvl="7" w:tentative="0">
      <w:start w:val="0"/>
      <w:numFmt w:val="bullet"/>
      <w:lvlText w:val="•"/>
      <w:lvlJc w:val="left"/>
      <w:pPr>
        <w:ind w:left="7434" w:hanging="420"/>
      </w:pPr>
      <w:rPr>
        <w:rFonts w:hint="default"/>
        <w:lang w:val="en-US" w:eastAsia="en-US" w:bidi="en-US"/>
      </w:rPr>
    </w:lvl>
    <w:lvl w:ilvl="8" w:tentative="0">
      <w:start w:val="0"/>
      <w:numFmt w:val="bullet"/>
      <w:lvlText w:val="•"/>
      <w:lvlJc w:val="left"/>
      <w:pPr>
        <w:ind w:left="8344" w:hanging="420"/>
      </w:pPr>
      <w:rPr>
        <w:rFonts w:hint="default"/>
        <w:lang w:val="en-US" w:eastAsia="en-US" w:bidi="en-US"/>
      </w:rPr>
    </w:lvl>
  </w:abstractNum>
  <w:abstractNum w:abstractNumId="40">
    <w:nsid w:val="B23A94A9"/>
    <w:multiLevelType w:val="multilevel"/>
    <w:tmpl w:val="B23A94A9"/>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41">
    <w:nsid w:val="B4E02BC3"/>
    <w:multiLevelType w:val="multilevel"/>
    <w:tmpl w:val="B4E02BC3"/>
    <w:lvl w:ilvl="0" w:tentative="0">
      <w:start w:val="4"/>
      <w:numFmt w:val="decimal"/>
      <w:lvlText w:val="%1"/>
      <w:lvlJc w:val="left"/>
      <w:pPr>
        <w:ind w:left="1052" w:hanging="840"/>
        <w:jc w:val="left"/>
      </w:pPr>
      <w:rPr>
        <w:rFonts w:hint="default"/>
        <w:lang w:val="en-US" w:eastAsia="en-US" w:bidi="en-US"/>
      </w:rPr>
    </w:lvl>
    <w:lvl w:ilvl="1" w:tentative="0">
      <w:start w:val="2"/>
      <w:numFmt w:val="decimal"/>
      <w:lvlText w:val="%1.%2"/>
      <w:lvlJc w:val="left"/>
      <w:pPr>
        <w:ind w:left="1052" w:hanging="840"/>
        <w:jc w:val="left"/>
      </w:pPr>
      <w:rPr>
        <w:rFonts w:hint="default"/>
        <w:lang w:val="en-US" w:eastAsia="en-US" w:bidi="en-US"/>
      </w:rPr>
    </w:lvl>
    <w:lvl w:ilvl="2" w:tentative="0">
      <w:start w:val="2"/>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212" w:hanging="420"/>
        <w:jc w:val="left"/>
      </w:pPr>
      <w:rPr>
        <w:rFonts w:hint="default" w:ascii="宋体" w:hAnsi="宋体" w:eastAsia="宋体" w:cs="宋体"/>
        <w:w w:val="99"/>
        <w:sz w:val="21"/>
        <w:szCs w:val="21"/>
        <w:lang w:val="en-US" w:eastAsia="en-US" w:bidi="en-US"/>
      </w:rPr>
    </w:lvl>
    <w:lvl w:ilvl="4" w:tentative="0">
      <w:start w:val="0"/>
      <w:numFmt w:val="bullet"/>
      <w:lvlText w:val="•"/>
      <w:lvlJc w:val="left"/>
      <w:pPr>
        <w:ind w:left="4095" w:hanging="420"/>
      </w:pPr>
      <w:rPr>
        <w:rFonts w:hint="default"/>
        <w:lang w:val="en-US" w:eastAsia="en-US" w:bidi="en-US"/>
      </w:rPr>
    </w:lvl>
    <w:lvl w:ilvl="5" w:tentative="0">
      <w:start w:val="0"/>
      <w:numFmt w:val="bullet"/>
      <w:lvlText w:val="•"/>
      <w:lvlJc w:val="left"/>
      <w:pPr>
        <w:ind w:left="5107" w:hanging="420"/>
      </w:pPr>
      <w:rPr>
        <w:rFonts w:hint="default"/>
        <w:lang w:val="en-US" w:eastAsia="en-US" w:bidi="en-US"/>
      </w:rPr>
    </w:lvl>
    <w:lvl w:ilvl="6" w:tentative="0">
      <w:start w:val="0"/>
      <w:numFmt w:val="bullet"/>
      <w:lvlText w:val="•"/>
      <w:lvlJc w:val="left"/>
      <w:pPr>
        <w:ind w:left="6118" w:hanging="420"/>
      </w:pPr>
      <w:rPr>
        <w:rFonts w:hint="default"/>
        <w:lang w:val="en-US" w:eastAsia="en-US" w:bidi="en-US"/>
      </w:rPr>
    </w:lvl>
    <w:lvl w:ilvl="7" w:tentative="0">
      <w:start w:val="0"/>
      <w:numFmt w:val="bullet"/>
      <w:lvlText w:val="•"/>
      <w:lvlJc w:val="left"/>
      <w:pPr>
        <w:ind w:left="7130" w:hanging="420"/>
      </w:pPr>
      <w:rPr>
        <w:rFonts w:hint="default"/>
        <w:lang w:val="en-US" w:eastAsia="en-US" w:bidi="en-US"/>
      </w:rPr>
    </w:lvl>
    <w:lvl w:ilvl="8" w:tentative="0">
      <w:start w:val="0"/>
      <w:numFmt w:val="bullet"/>
      <w:lvlText w:val="•"/>
      <w:lvlJc w:val="left"/>
      <w:pPr>
        <w:ind w:left="8142" w:hanging="420"/>
      </w:pPr>
      <w:rPr>
        <w:rFonts w:hint="default"/>
        <w:lang w:val="en-US" w:eastAsia="en-US" w:bidi="en-US"/>
      </w:rPr>
    </w:lvl>
  </w:abstractNum>
  <w:abstractNum w:abstractNumId="42">
    <w:nsid w:val="B53F3350"/>
    <w:multiLevelType w:val="multilevel"/>
    <w:tmpl w:val="B53F3350"/>
    <w:lvl w:ilvl="0" w:tentative="0">
      <w:start w:val="5"/>
      <w:numFmt w:val="decimal"/>
      <w:lvlText w:val="%1"/>
      <w:lvlJc w:val="left"/>
      <w:pPr>
        <w:ind w:left="1052" w:hanging="840"/>
        <w:jc w:val="left"/>
      </w:pPr>
      <w:rPr>
        <w:rFonts w:hint="default"/>
        <w:lang w:val="en-US" w:eastAsia="en-US" w:bidi="en-US"/>
      </w:rPr>
    </w:lvl>
    <w:lvl w:ilvl="1" w:tentative="0">
      <w:start w:val="2"/>
      <w:numFmt w:val="decimal"/>
      <w:lvlText w:val="%1.%2"/>
      <w:lvlJc w:val="left"/>
      <w:pPr>
        <w:ind w:left="1052" w:hanging="840"/>
        <w:jc w:val="left"/>
      </w:pPr>
      <w:rPr>
        <w:rFonts w:hint="default"/>
        <w:lang w:val="en-US" w:eastAsia="en-US" w:bidi="en-US"/>
      </w:rPr>
    </w:lvl>
    <w:lvl w:ilvl="2" w:tentative="0">
      <w:start w:val="1"/>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791" w:hanging="840"/>
      </w:pPr>
      <w:rPr>
        <w:rFonts w:hint="default"/>
        <w:lang w:val="en-US" w:eastAsia="en-US" w:bidi="en-US"/>
      </w:rPr>
    </w:lvl>
    <w:lvl w:ilvl="4" w:tentative="0">
      <w:start w:val="0"/>
      <w:numFmt w:val="bullet"/>
      <w:lvlText w:val="•"/>
      <w:lvlJc w:val="left"/>
      <w:pPr>
        <w:ind w:left="4702" w:hanging="840"/>
      </w:pPr>
      <w:rPr>
        <w:rFonts w:hint="default"/>
        <w:lang w:val="en-US" w:eastAsia="en-US" w:bidi="en-US"/>
      </w:rPr>
    </w:lvl>
    <w:lvl w:ilvl="5" w:tentative="0">
      <w:start w:val="0"/>
      <w:numFmt w:val="bullet"/>
      <w:lvlText w:val="•"/>
      <w:lvlJc w:val="left"/>
      <w:pPr>
        <w:ind w:left="5613" w:hanging="840"/>
      </w:pPr>
      <w:rPr>
        <w:rFonts w:hint="default"/>
        <w:lang w:val="en-US" w:eastAsia="en-US" w:bidi="en-US"/>
      </w:rPr>
    </w:lvl>
    <w:lvl w:ilvl="6" w:tentative="0">
      <w:start w:val="0"/>
      <w:numFmt w:val="bullet"/>
      <w:lvlText w:val="•"/>
      <w:lvlJc w:val="left"/>
      <w:pPr>
        <w:ind w:left="6523" w:hanging="840"/>
      </w:pPr>
      <w:rPr>
        <w:rFonts w:hint="default"/>
        <w:lang w:val="en-US" w:eastAsia="en-US" w:bidi="en-US"/>
      </w:rPr>
    </w:lvl>
    <w:lvl w:ilvl="7" w:tentative="0">
      <w:start w:val="0"/>
      <w:numFmt w:val="bullet"/>
      <w:lvlText w:val="•"/>
      <w:lvlJc w:val="left"/>
      <w:pPr>
        <w:ind w:left="7434" w:hanging="840"/>
      </w:pPr>
      <w:rPr>
        <w:rFonts w:hint="default"/>
        <w:lang w:val="en-US" w:eastAsia="en-US" w:bidi="en-US"/>
      </w:rPr>
    </w:lvl>
    <w:lvl w:ilvl="8" w:tentative="0">
      <w:start w:val="0"/>
      <w:numFmt w:val="bullet"/>
      <w:lvlText w:val="•"/>
      <w:lvlJc w:val="left"/>
      <w:pPr>
        <w:ind w:left="8344" w:hanging="840"/>
      </w:pPr>
      <w:rPr>
        <w:rFonts w:hint="default"/>
        <w:lang w:val="en-US" w:eastAsia="en-US" w:bidi="en-US"/>
      </w:rPr>
    </w:lvl>
  </w:abstractNum>
  <w:abstractNum w:abstractNumId="43">
    <w:nsid w:val="B5601969"/>
    <w:multiLevelType w:val="multilevel"/>
    <w:tmpl w:val="B5601969"/>
    <w:lvl w:ilvl="0" w:tentative="0">
      <w:start w:val="7"/>
      <w:numFmt w:val="decimal"/>
      <w:lvlText w:val="%1"/>
      <w:lvlJc w:val="left"/>
      <w:pPr>
        <w:ind w:left="112" w:hanging="852"/>
        <w:jc w:val="left"/>
      </w:pPr>
      <w:rPr>
        <w:rFonts w:hint="default"/>
        <w:lang w:val="en-US" w:eastAsia="en-US" w:bidi="en-US"/>
      </w:rPr>
    </w:lvl>
    <w:lvl w:ilvl="1" w:tentative="0">
      <w:start w:val="2"/>
      <w:numFmt w:val="decimal"/>
      <w:lvlText w:val="%1.%2"/>
      <w:lvlJc w:val="left"/>
      <w:pPr>
        <w:ind w:left="112" w:hanging="852"/>
        <w:jc w:val="left"/>
      </w:pPr>
      <w:rPr>
        <w:rFonts w:hint="default"/>
        <w:lang w:val="en-US" w:eastAsia="en-US" w:bidi="en-US"/>
      </w:rPr>
    </w:lvl>
    <w:lvl w:ilvl="2" w:tentative="0">
      <w:start w:val="11"/>
      <w:numFmt w:val="decimal"/>
      <w:lvlText w:val="%1.%2.%3"/>
      <w:lvlJc w:val="left"/>
      <w:pPr>
        <w:ind w:left="112" w:hanging="852"/>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960" w:hanging="420"/>
        <w:jc w:val="left"/>
      </w:pPr>
      <w:rPr>
        <w:rFonts w:hint="default" w:ascii="宋体" w:hAnsi="宋体" w:eastAsia="宋体" w:cs="宋体"/>
        <w:w w:val="99"/>
        <w:sz w:val="21"/>
        <w:szCs w:val="21"/>
        <w:lang w:val="en-US" w:eastAsia="en-US" w:bidi="en-US"/>
      </w:rPr>
    </w:lvl>
    <w:lvl w:ilvl="4" w:tentative="0">
      <w:start w:val="0"/>
      <w:numFmt w:val="bullet"/>
      <w:lvlText w:val="•"/>
      <w:lvlJc w:val="left"/>
      <w:pPr>
        <w:ind w:left="3962" w:hanging="420"/>
      </w:pPr>
      <w:rPr>
        <w:rFonts w:hint="default"/>
        <w:lang w:val="en-US" w:eastAsia="en-US" w:bidi="en-US"/>
      </w:rPr>
    </w:lvl>
    <w:lvl w:ilvl="5" w:tentative="0">
      <w:start w:val="0"/>
      <w:numFmt w:val="bullet"/>
      <w:lvlText w:val="•"/>
      <w:lvlJc w:val="left"/>
      <w:pPr>
        <w:ind w:left="4962" w:hanging="420"/>
      </w:pPr>
      <w:rPr>
        <w:rFonts w:hint="default"/>
        <w:lang w:val="en-US" w:eastAsia="en-US" w:bidi="en-US"/>
      </w:rPr>
    </w:lvl>
    <w:lvl w:ilvl="6" w:tentative="0">
      <w:start w:val="0"/>
      <w:numFmt w:val="bullet"/>
      <w:lvlText w:val="•"/>
      <w:lvlJc w:val="left"/>
      <w:pPr>
        <w:ind w:left="5963" w:hanging="420"/>
      </w:pPr>
      <w:rPr>
        <w:rFonts w:hint="default"/>
        <w:lang w:val="en-US" w:eastAsia="en-US" w:bidi="en-US"/>
      </w:rPr>
    </w:lvl>
    <w:lvl w:ilvl="7" w:tentative="0">
      <w:start w:val="0"/>
      <w:numFmt w:val="bullet"/>
      <w:lvlText w:val="•"/>
      <w:lvlJc w:val="left"/>
      <w:pPr>
        <w:ind w:left="6964" w:hanging="420"/>
      </w:pPr>
      <w:rPr>
        <w:rFonts w:hint="default"/>
        <w:lang w:val="en-US" w:eastAsia="en-US" w:bidi="en-US"/>
      </w:rPr>
    </w:lvl>
    <w:lvl w:ilvl="8" w:tentative="0">
      <w:start w:val="0"/>
      <w:numFmt w:val="bullet"/>
      <w:lvlText w:val="•"/>
      <w:lvlJc w:val="left"/>
      <w:pPr>
        <w:ind w:left="7964" w:hanging="420"/>
      </w:pPr>
      <w:rPr>
        <w:rFonts w:hint="default"/>
        <w:lang w:val="en-US" w:eastAsia="en-US" w:bidi="en-US"/>
      </w:rPr>
    </w:lvl>
  </w:abstractNum>
  <w:abstractNum w:abstractNumId="44">
    <w:nsid w:val="B5CF74F5"/>
    <w:multiLevelType w:val="multilevel"/>
    <w:tmpl w:val="B5CF74F5"/>
    <w:lvl w:ilvl="0" w:tentative="0">
      <w:start w:val="1"/>
      <w:numFmt w:val="decimal"/>
      <w:lvlText w:val="%1"/>
      <w:lvlJc w:val="left"/>
      <w:pPr>
        <w:ind w:left="112" w:hanging="420"/>
        <w:jc w:val="left"/>
      </w:pPr>
      <w:rPr>
        <w:rFonts w:hint="default" w:ascii="宋体" w:hAnsi="宋体" w:eastAsia="宋体" w:cs="宋体"/>
        <w:w w:val="99"/>
        <w:sz w:val="21"/>
        <w:szCs w:val="21"/>
        <w:lang w:val="en-US" w:eastAsia="en-US" w:bidi="en-US"/>
      </w:rPr>
    </w:lvl>
    <w:lvl w:ilvl="1" w:tentative="0">
      <w:start w:val="8"/>
      <w:numFmt w:val="decimal"/>
      <w:lvlText w:val="%2"/>
      <w:lvlJc w:val="left"/>
      <w:pPr>
        <w:ind w:left="4500" w:hanging="420"/>
        <w:jc w:val="left"/>
      </w:pPr>
      <w:rPr>
        <w:rFonts w:hint="default" w:ascii="宋体" w:hAnsi="宋体" w:eastAsia="宋体" w:cs="宋体"/>
        <w:b/>
        <w:bCs/>
        <w:w w:val="98"/>
        <w:sz w:val="32"/>
        <w:szCs w:val="32"/>
        <w:lang w:val="en-US" w:eastAsia="en-US" w:bidi="en-US"/>
      </w:rPr>
    </w:lvl>
    <w:lvl w:ilvl="2" w:tentative="0">
      <w:start w:val="1"/>
      <w:numFmt w:val="decimal"/>
      <w:lvlText w:val="%2.%3"/>
      <w:lvlJc w:val="left"/>
      <w:pPr>
        <w:ind w:left="4723" w:hanging="42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5375" w:hanging="420"/>
      </w:pPr>
      <w:rPr>
        <w:rFonts w:hint="default"/>
        <w:lang w:val="en-US" w:eastAsia="en-US" w:bidi="en-US"/>
      </w:rPr>
    </w:lvl>
    <w:lvl w:ilvl="4" w:tentative="0">
      <w:start w:val="0"/>
      <w:numFmt w:val="bullet"/>
      <w:lvlText w:val="•"/>
      <w:lvlJc w:val="left"/>
      <w:pPr>
        <w:ind w:left="6031" w:hanging="420"/>
      </w:pPr>
      <w:rPr>
        <w:rFonts w:hint="default"/>
        <w:lang w:val="en-US" w:eastAsia="en-US" w:bidi="en-US"/>
      </w:rPr>
    </w:lvl>
    <w:lvl w:ilvl="5" w:tentative="0">
      <w:start w:val="0"/>
      <w:numFmt w:val="bullet"/>
      <w:lvlText w:val="•"/>
      <w:lvlJc w:val="left"/>
      <w:pPr>
        <w:ind w:left="6687" w:hanging="420"/>
      </w:pPr>
      <w:rPr>
        <w:rFonts w:hint="default"/>
        <w:lang w:val="en-US" w:eastAsia="en-US" w:bidi="en-US"/>
      </w:rPr>
    </w:lvl>
    <w:lvl w:ilvl="6" w:tentative="0">
      <w:start w:val="0"/>
      <w:numFmt w:val="bullet"/>
      <w:lvlText w:val="•"/>
      <w:lvlJc w:val="left"/>
      <w:pPr>
        <w:ind w:left="7343" w:hanging="420"/>
      </w:pPr>
      <w:rPr>
        <w:rFonts w:hint="default"/>
        <w:lang w:val="en-US" w:eastAsia="en-US" w:bidi="en-US"/>
      </w:rPr>
    </w:lvl>
    <w:lvl w:ilvl="7" w:tentative="0">
      <w:start w:val="0"/>
      <w:numFmt w:val="bullet"/>
      <w:lvlText w:val="•"/>
      <w:lvlJc w:val="left"/>
      <w:pPr>
        <w:ind w:left="7998" w:hanging="420"/>
      </w:pPr>
      <w:rPr>
        <w:rFonts w:hint="default"/>
        <w:lang w:val="en-US" w:eastAsia="en-US" w:bidi="en-US"/>
      </w:rPr>
    </w:lvl>
    <w:lvl w:ilvl="8" w:tentative="0">
      <w:start w:val="0"/>
      <w:numFmt w:val="bullet"/>
      <w:lvlText w:val="•"/>
      <w:lvlJc w:val="left"/>
      <w:pPr>
        <w:ind w:left="8654" w:hanging="420"/>
      </w:pPr>
      <w:rPr>
        <w:rFonts w:hint="default"/>
        <w:lang w:val="en-US" w:eastAsia="en-US" w:bidi="en-US"/>
      </w:rPr>
    </w:lvl>
  </w:abstractNum>
  <w:abstractNum w:abstractNumId="45">
    <w:nsid w:val="B5E306ED"/>
    <w:multiLevelType w:val="multilevel"/>
    <w:tmpl w:val="B5E306ED"/>
    <w:lvl w:ilvl="0" w:tentative="0">
      <w:start w:val="3"/>
      <w:numFmt w:val="decimal"/>
      <w:lvlText w:val="%1"/>
      <w:lvlJc w:val="left"/>
      <w:pPr>
        <w:ind w:left="212" w:hanging="840"/>
        <w:jc w:val="left"/>
      </w:pPr>
      <w:rPr>
        <w:rFonts w:hint="default"/>
        <w:lang w:val="en-US" w:eastAsia="en-US" w:bidi="en-US"/>
      </w:rPr>
    </w:lvl>
    <w:lvl w:ilvl="1" w:tentative="0">
      <w:start w:val="0"/>
      <w:numFmt w:val="decimal"/>
      <w:lvlText w:val="%1.%2"/>
      <w:lvlJc w:val="left"/>
      <w:pPr>
        <w:ind w:left="212" w:hanging="840"/>
        <w:jc w:val="left"/>
      </w:pPr>
      <w:rPr>
        <w:rFonts w:hint="default"/>
        <w:lang w:val="en-US" w:eastAsia="en-US" w:bidi="en-US"/>
      </w:rPr>
    </w:lvl>
    <w:lvl w:ilvl="2" w:tentative="0">
      <w:start w:val="1"/>
      <w:numFmt w:val="decimal"/>
      <w:lvlText w:val="%1.%2.%3"/>
      <w:lvlJc w:val="left"/>
      <w:pPr>
        <w:ind w:left="21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203" w:hanging="840"/>
      </w:pPr>
      <w:rPr>
        <w:rFonts w:hint="default"/>
        <w:lang w:val="en-US" w:eastAsia="en-US" w:bidi="en-US"/>
      </w:rPr>
    </w:lvl>
    <w:lvl w:ilvl="4" w:tentative="0">
      <w:start w:val="0"/>
      <w:numFmt w:val="bullet"/>
      <w:lvlText w:val="•"/>
      <w:lvlJc w:val="left"/>
      <w:pPr>
        <w:ind w:left="4198" w:hanging="840"/>
      </w:pPr>
      <w:rPr>
        <w:rFonts w:hint="default"/>
        <w:lang w:val="en-US" w:eastAsia="en-US" w:bidi="en-US"/>
      </w:rPr>
    </w:lvl>
    <w:lvl w:ilvl="5" w:tentative="0">
      <w:start w:val="0"/>
      <w:numFmt w:val="bullet"/>
      <w:lvlText w:val="•"/>
      <w:lvlJc w:val="left"/>
      <w:pPr>
        <w:ind w:left="5193" w:hanging="840"/>
      </w:pPr>
      <w:rPr>
        <w:rFonts w:hint="default"/>
        <w:lang w:val="en-US" w:eastAsia="en-US" w:bidi="en-US"/>
      </w:rPr>
    </w:lvl>
    <w:lvl w:ilvl="6" w:tentative="0">
      <w:start w:val="0"/>
      <w:numFmt w:val="bullet"/>
      <w:lvlText w:val="•"/>
      <w:lvlJc w:val="left"/>
      <w:pPr>
        <w:ind w:left="6187" w:hanging="840"/>
      </w:pPr>
      <w:rPr>
        <w:rFonts w:hint="default"/>
        <w:lang w:val="en-US" w:eastAsia="en-US" w:bidi="en-US"/>
      </w:rPr>
    </w:lvl>
    <w:lvl w:ilvl="7" w:tentative="0">
      <w:start w:val="0"/>
      <w:numFmt w:val="bullet"/>
      <w:lvlText w:val="•"/>
      <w:lvlJc w:val="left"/>
      <w:pPr>
        <w:ind w:left="7182" w:hanging="840"/>
      </w:pPr>
      <w:rPr>
        <w:rFonts w:hint="default"/>
        <w:lang w:val="en-US" w:eastAsia="en-US" w:bidi="en-US"/>
      </w:rPr>
    </w:lvl>
    <w:lvl w:ilvl="8" w:tentative="0">
      <w:start w:val="0"/>
      <w:numFmt w:val="bullet"/>
      <w:lvlText w:val="•"/>
      <w:lvlJc w:val="left"/>
      <w:pPr>
        <w:ind w:left="8176" w:hanging="840"/>
      </w:pPr>
      <w:rPr>
        <w:rFonts w:hint="default"/>
        <w:lang w:val="en-US" w:eastAsia="en-US" w:bidi="en-US"/>
      </w:rPr>
    </w:lvl>
  </w:abstractNum>
  <w:abstractNum w:abstractNumId="46">
    <w:nsid w:val="B88D21A8"/>
    <w:multiLevelType w:val="multilevel"/>
    <w:tmpl w:val="B88D21A8"/>
    <w:lvl w:ilvl="0" w:tentative="0">
      <w:start w:val="7"/>
      <w:numFmt w:val="decimal"/>
      <w:lvlText w:val="%1"/>
      <w:lvlJc w:val="left"/>
      <w:pPr>
        <w:ind w:left="1052" w:hanging="840"/>
        <w:jc w:val="left"/>
      </w:pPr>
      <w:rPr>
        <w:rFonts w:hint="default"/>
        <w:lang w:val="en-US" w:eastAsia="en-US" w:bidi="en-US"/>
      </w:rPr>
    </w:lvl>
    <w:lvl w:ilvl="1" w:tentative="0">
      <w:start w:val="1"/>
      <w:numFmt w:val="decimal"/>
      <w:lvlText w:val="%1.%2"/>
      <w:lvlJc w:val="left"/>
      <w:pPr>
        <w:ind w:left="1052" w:hanging="840"/>
        <w:jc w:val="left"/>
      </w:pPr>
      <w:rPr>
        <w:rFonts w:hint="default"/>
        <w:lang w:val="en-US" w:eastAsia="en-US" w:bidi="en-US"/>
      </w:rPr>
    </w:lvl>
    <w:lvl w:ilvl="2" w:tentative="0">
      <w:start w:val="1"/>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791" w:hanging="840"/>
      </w:pPr>
      <w:rPr>
        <w:rFonts w:hint="default"/>
        <w:lang w:val="en-US" w:eastAsia="en-US" w:bidi="en-US"/>
      </w:rPr>
    </w:lvl>
    <w:lvl w:ilvl="4" w:tentative="0">
      <w:start w:val="0"/>
      <w:numFmt w:val="bullet"/>
      <w:lvlText w:val="•"/>
      <w:lvlJc w:val="left"/>
      <w:pPr>
        <w:ind w:left="4702" w:hanging="840"/>
      </w:pPr>
      <w:rPr>
        <w:rFonts w:hint="default"/>
        <w:lang w:val="en-US" w:eastAsia="en-US" w:bidi="en-US"/>
      </w:rPr>
    </w:lvl>
    <w:lvl w:ilvl="5" w:tentative="0">
      <w:start w:val="0"/>
      <w:numFmt w:val="bullet"/>
      <w:lvlText w:val="•"/>
      <w:lvlJc w:val="left"/>
      <w:pPr>
        <w:ind w:left="5613" w:hanging="840"/>
      </w:pPr>
      <w:rPr>
        <w:rFonts w:hint="default"/>
        <w:lang w:val="en-US" w:eastAsia="en-US" w:bidi="en-US"/>
      </w:rPr>
    </w:lvl>
    <w:lvl w:ilvl="6" w:tentative="0">
      <w:start w:val="0"/>
      <w:numFmt w:val="bullet"/>
      <w:lvlText w:val="•"/>
      <w:lvlJc w:val="left"/>
      <w:pPr>
        <w:ind w:left="6523" w:hanging="840"/>
      </w:pPr>
      <w:rPr>
        <w:rFonts w:hint="default"/>
        <w:lang w:val="en-US" w:eastAsia="en-US" w:bidi="en-US"/>
      </w:rPr>
    </w:lvl>
    <w:lvl w:ilvl="7" w:tentative="0">
      <w:start w:val="0"/>
      <w:numFmt w:val="bullet"/>
      <w:lvlText w:val="•"/>
      <w:lvlJc w:val="left"/>
      <w:pPr>
        <w:ind w:left="7434" w:hanging="840"/>
      </w:pPr>
      <w:rPr>
        <w:rFonts w:hint="default"/>
        <w:lang w:val="en-US" w:eastAsia="en-US" w:bidi="en-US"/>
      </w:rPr>
    </w:lvl>
    <w:lvl w:ilvl="8" w:tentative="0">
      <w:start w:val="0"/>
      <w:numFmt w:val="bullet"/>
      <w:lvlText w:val="•"/>
      <w:lvlJc w:val="left"/>
      <w:pPr>
        <w:ind w:left="8344" w:hanging="840"/>
      </w:pPr>
      <w:rPr>
        <w:rFonts w:hint="default"/>
        <w:lang w:val="en-US" w:eastAsia="en-US" w:bidi="en-US"/>
      </w:rPr>
    </w:lvl>
  </w:abstractNum>
  <w:abstractNum w:abstractNumId="47">
    <w:nsid w:val="B8CEF35B"/>
    <w:multiLevelType w:val="multilevel"/>
    <w:tmpl w:val="B8CEF35B"/>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48">
    <w:nsid w:val="B99465BD"/>
    <w:multiLevelType w:val="multilevel"/>
    <w:tmpl w:val="B99465BD"/>
    <w:lvl w:ilvl="0" w:tentative="0">
      <w:start w:val="2"/>
      <w:numFmt w:val="decimal"/>
      <w:lvlText w:val="%1"/>
      <w:lvlJc w:val="left"/>
      <w:pPr>
        <w:ind w:left="95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870" w:hanging="420"/>
      </w:pPr>
      <w:rPr>
        <w:rFonts w:hint="default"/>
        <w:lang w:val="en-US" w:eastAsia="en-US" w:bidi="en-US"/>
      </w:rPr>
    </w:lvl>
    <w:lvl w:ilvl="2" w:tentative="0">
      <w:start w:val="0"/>
      <w:numFmt w:val="bullet"/>
      <w:lvlText w:val="•"/>
      <w:lvlJc w:val="left"/>
      <w:pPr>
        <w:ind w:left="2781" w:hanging="420"/>
      </w:pPr>
      <w:rPr>
        <w:rFonts w:hint="default"/>
        <w:lang w:val="en-US" w:eastAsia="en-US" w:bidi="en-US"/>
      </w:rPr>
    </w:lvl>
    <w:lvl w:ilvl="3" w:tentative="0">
      <w:start w:val="0"/>
      <w:numFmt w:val="bullet"/>
      <w:lvlText w:val="•"/>
      <w:lvlJc w:val="left"/>
      <w:pPr>
        <w:ind w:left="3691" w:hanging="420"/>
      </w:pPr>
      <w:rPr>
        <w:rFonts w:hint="default"/>
        <w:lang w:val="en-US" w:eastAsia="en-US" w:bidi="en-US"/>
      </w:rPr>
    </w:lvl>
    <w:lvl w:ilvl="4" w:tentative="0">
      <w:start w:val="0"/>
      <w:numFmt w:val="bullet"/>
      <w:lvlText w:val="•"/>
      <w:lvlJc w:val="left"/>
      <w:pPr>
        <w:ind w:left="4602" w:hanging="420"/>
      </w:pPr>
      <w:rPr>
        <w:rFonts w:hint="default"/>
        <w:lang w:val="en-US" w:eastAsia="en-US" w:bidi="en-US"/>
      </w:rPr>
    </w:lvl>
    <w:lvl w:ilvl="5" w:tentative="0">
      <w:start w:val="0"/>
      <w:numFmt w:val="bullet"/>
      <w:lvlText w:val="•"/>
      <w:lvlJc w:val="left"/>
      <w:pPr>
        <w:ind w:left="5513" w:hanging="420"/>
      </w:pPr>
      <w:rPr>
        <w:rFonts w:hint="default"/>
        <w:lang w:val="en-US" w:eastAsia="en-US" w:bidi="en-US"/>
      </w:rPr>
    </w:lvl>
    <w:lvl w:ilvl="6" w:tentative="0">
      <w:start w:val="0"/>
      <w:numFmt w:val="bullet"/>
      <w:lvlText w:val="•"/>
      <w:lvlJc w:val="left"/>
      <w:pPr>
        <w:ind w:left="6423" w:hanging="420"/>
      </w:pPr>
      <w:rPr>
        <w:rFonts w:hint="default"/>
        <w:lang w:val="en-US" w:eastAsia="en-US" w:bidi="en-US"/>
      </w:rPr>
    </w:lvl>
    <w:lvl w:ilvl="7" w:tentative="0">
      <w:start w:val="0"/>
      <w:numFmt w:val="bullet"/>
      <w:lvlText w:val="•"/>
      <w:lvlJc w:val="left"/>
      <w:pPr>
        <w:ind w:left="7334" w:hanging="420"/>
      </w:pPr>
      <w:rPr>
        <w:rFonts w:hint="default"/>
        <w:lang w:val="en-US" w:eastAsia="en-US" w:bidi="en-US"/>
      </w:rPr>
    </w:lvl>
    <w:lvl w:ilvl="8" w:tentative="0">
      <w:start w:val="0"/>
      <w:numFmt w:val="bullet"/>
      <w:lvlText w:val="•"/>
      <w:lvlJc w:val="left"/>
      <w:pPr>
        <w:ind w:left="8244" w:hanging="420"/>
      </w:pPr>
      <w:rPr>
        <w:rFonts w:hint="default"/>
        <w:lang w:val="en-US" w:eastAsia="en-US" w:bidi="en-US"/>
      </w:rPr>
    </w:lvl>
  </w:abstractNum>
  <w:abstractNum w:abstractNumId="49">
    <w:nsid w:val="BA550FDB"/>
    <w:multiLevelType w:val="multilevel"/>
    <w:tmpl w:val="BA550FDB"/>
    <w:lvl w:ilvl="0" w:tentative="0">
      <w:start w:val="4"/>
      <w:numFmt w:val="decimal"/>
      <w:lvlText w:val="%1"/>
      <w:lvlJc w:val="left"/>
      <w:pPr>
        <w:ind w:left="112" w:hanging="423"/>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114" w:hanging="423"/>
      </w:pPr>
      <w:rPr>
        <w:rFonts w:hint="default"/>
        <w:lang w:val="en-US" w:eastAsia="en-US" w:bidi="en-US"/>
      </w:rPr>
    </w:lvl>
    <w:lvl w:ilvl="2" w:tentative="0">
      <w:start w:val="0"/>
      <w:numFmt w:val="bullet"/>
      <w:lvlText w:val="•"/>
      <w:lvlJc w:val="left"/>
      <w:pPr>
        <w:ind w:left="2109" w:hanging="423"/>
      </w:pPr>
      <w:rPr>
        <w:rFonts w:hint="default"/>
        <w:lang w:val="en-US" w:eastAsia="en-US" w:bidi="en-US"/>
      </w:rPr>
    </w:lvl>
    <w:lvl w:ilvl="3" w:tentative="0">
      <w:start w:val="0"/>
      <w:numFmt w:val="bullet"/>
      <w:lvlText w:val="•"/>
      <w:lvlJc w:val="left"/>
      <w:pPr>
        <w:ind w:left="3103" w:hanging="423"/>
      </w:pPr>
      <w:rPr>
        <w:rFonts w:hint="default"/>
        <w:lang w:val="en-US" w:eastAsia="en-US" w:bidi="en-US"/>
      </w:rPr>
    </w:lvl>
    <w:lvl w:ilvl="4" w:tentative="0">
      <w:start w:val="0"/>
      <w:numFmt w:val="bullet"/>
      <w:lvlText w:val="•"/>
      <w:lvlJc w:val="left"/>
      <w:pPr>
        <w:ind w:left="4098" w:hanging="423"/>
      </w:pPr>
      <w:rPr>
        <w:rFonts w:hint="default"/>
        <w:lang w:val="en-US" w:eastAsia="en-US" w:bidi="en-US"/>
      </w:rPr>
    </w:lvl>
    <w:lvl w:ilvl="5" w:tentative="0">
      <w:start w:val="0"/>
      <w:numFmt w:val="bullet"/>
      <w:lvlText w:val="•"/>
      <w:lvlJc w:val="left"/>
      <w:pPr>
        <w:ind w:left="5093" w:hanging="423"/>
      </w:pPr>
      <w:rPr>
        <w:rFonts w:hint="default"/>
        <w:lang w:val="en-US" w:eastAsia="en-US" w:bidi="en-US"/>
      </w:rPr>
    </w:lvl>
    <w:lvl w:ilvl="6" w:tentative="0">
      <w:start w:val="0"/>
      <w:numFmt w:val="bullet"/>
      <w:lvlText w:val="•"/>
      <w:lvlJc w:val="left"/>
      <w:pPr>
        <w:ind w:left="6087" w:hanging="423"/>
      </w:pPr>
      <w:rPr>
        <w:rFonts w:hint="default"/>
        <w:lang w:val="en-US" w:eastAsia="en-US" w:bidi="en-US"/>
      </w:rPr>
    </w:lvl>
    <w:lvl w:ilvl="7" w:tentative="0">
      <w:start w:val="0"/>
      <w:numFmt w:val="bullet"/>
      <w:lvlText w:val="•"/>
      <w:lvlJc w:val="left"/>
      <w:pPr>
        <w:ind w:left="7082" w:hanging="423"/>
      </w:pPr>
      <w:rPr>
        <w:rFonts w:hint="default"/>
        <w:lang w:val="en-US" w:eastAsia="en-US" w:bidi="en-US"/>
      </w:rPr>
    </w:lvl>
    <w:lvl w:ilvl="8" w:tentative="0">
      <w:start w:val="0"/>
      <w:numFmt w:val="bullet"/>
      <w:lvlText w:val="•"/>
      <w:lvlJc w:val="left"/>
      <w:pPr>
        <w:ind w:left="8076" w:hanging="423"/>
      </w:pPr>
      <w:rPr>
        <w:rFonts w:hint="default"/>
        <w:lang w:val="en-US" w:eastAsia="en-US" w:bidi="en-US"/>
      </w:rPr>
    </w:lvl>
  </w:abstractNum>
  <w:abstractNum w:abstractNumId="50">
    <w:nsid w:val="BB64CFA9"/>
    <w:multiLevelType w:val="multilevel"/>
    <w:tmpl w:val="BB64CFA9"/>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51">
    <w:nsid w:val="BC837A95"/>
    <w:multiLevelType w:val="multilevel"/>
    <w:tmpl w:val="BC837A95"/>
    <w:lvl w:ilvl="0" w:tentative="0">
      <w:start w:val="3"/>
      <w:numFmt w:val="decimal"/>
      <w:lvlText w:val="%1"/>
      <w:lvlJc w:val="left"/>
      <w:pPr>
        <w:ind w:left="1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114" w:hanging="420"/>
      </w:pPr>
      <w:rPr>
        <w:rFonts w:hint="default"/>
        <w:lang w:val="en-US" w:eastAsia="en-US" w:bidi="en-US"/>
      </w:rPr>
    </w:lvl>
    <w:lvl w:ilvl="2" w:tentative="0">
      <w:start w:val="0"/>
      <w:numFmt w:val="bullet"/>
      <w:lvlText w:val="•"/>
      <w:lvlJc w:val="left"/>
      <w:pPr>
        <w:ind w:left="2109" w:hanging="420"/>
      </w:pPr>
      <w:rPr>
        <w:rFonts w:hint="default"/>
        <w:lang w:val="en-US" w:eastAsia="en-US" w:bidi="en-US"/>
      </w:rPr>
    </w:lvl>
    <w:lvl w:ilvl="3" w:tentative="0">
      <w:start w:val="0"/>
      <w:numFmt w:val="bullet"/>
      <w:lvlText w:val="•"/>
      <w:lvlJc w:val="left"/>
      <w:pPr>
        <w:ind w:left="3103" w:hanging="420"/>
      </w:pPr>
      <w:rPr>
        <w:rFonts w:hint="default"/>
        <w:lang w:val="en-US" w:eastAsia="en-US" w:bidi="en-US"/>
      </w:rPr>
    </w:lvl>
    <w:lvl w:ilvl="4" w:tentative="0">
      <w:start w:val="0"/>
      <w:numFmt w:val="bullet"/>
      <w:lvlText w:val="•"/>
      <w:lvlJc w:val="left"/>
      <w:pPr>
        <w:ind w:left="4098" w:hanging="420"/>
      </w:pPr>
      <w:rPr>
        <w:rFonts w:hint="default"/>
        <w:lang w:val="en-US" w:eastAsia="en-US" w:bidi="en-US"/>
      </w:rPr>
    </w:lvl>
    <w:lvl w:ilvl="5" w:tentative="0">
      <w:start w:val="0"/>
      <w:numFmt w:val="bullet"/>
      <w:lvlText w:val="•"/>
      <w:lvlJc w:val="left"/>
      <w:pPr>
        <w:ind w:left="5093" w:hanging="420"/>
      </w:pPr>
      <w:rPr>
        <w:rFonts w:hint="default"/>
        <w:lang w:val="en-US" w:eastAsia="en-US" w:bidi="en-US"/>
      </w:rPr>
    </w:lvl>
    <w:lvl w:ilvl="6" w:tentative="0">
      <w:start w:val="0"/>
      <w:numFmt w:val="bullet"/>
      <w:lvlText w:val="•"/>
      <w:lvlJc w:val="left"/>
      <w:pPr>
        <w:ind w:left="6087" w:hanging="420"/>
      </w:pPr>
      <w:rPr>
        <w:rFonts w:hint="default"/>
        <w:lang w:val="en-US" w:eastAsia="en-US" w:bidi="en-US"/>
      </w:rPr>
    </w:lvl>
    <w:lvl w:ilvl="7" w:tentative="0">
      <w:start w:val="0"/>
      <w:numFmt w:val="bullet"/>
      <w:lvlText w:val="•"/>
      <w:lvlJc w:val="left"/>
      <w:pPr>
        <w:ind w:left="7082" w:hanging="420"/>
      </w:pPr>
      <w:rPr>
        <w:rFonts w:hint="default"/>
        <w:lang w:val="en-US" w:eastAsia="en-US" w:bidi="en-US"/>
      </w:rPr>
    </w:lvl>
    <w:lvl w:ilvl="8" w:tentative="0">
      <w:start w:val="0"/>
      <w:numFmt w:val="bullet"/>
      <w:lvlText w:val="•"/>
      <w:lvlJc w:val="left"/>
      <w:pPr>
        <w:ind w:left="8076" w:hanging="420"/>
      </w:pPr>
      <w:rPr>
        <w:rFonts w:hint="default"/>
        <w:lang w:val="en-US" w:eastAsia="en-US" w:bidi="en-US"/>
      </w:rPr>
    </w:lvl>
  </w:abstractNum>
  <w:abstractNum w:abstractNumId="52">
    <w:nsid w:val="BCECA0B4"/>
    <w:multiLevelType w:val="multilevel"/>
    <w:tmpl w:val="BCECA0B4"/>
    <w:lvl w:ilvl="0" w:tentative="0">
      <w:start w:val="1"/>
      <w:numFmt w:val="decimal"/>
      <w:lvlText w:val="%1"/>
      <w:lvlJc w:val="left"/>
      <w:pPr>
        <w:ind w:left="21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214" w:hanging="416"/>
      </w:pPr>
      <w:rPr>
        <w:rFonts w:hint="default"/>
        <w:lang w:val="en-US" w:eastAsia="en-US" w:bidi="en-US"/>
      </w:rPr>
    </w:lvl>
    <w:lvl w:ilvl="2" w:tentative="0">
      <w:start w:val="0"/>
      <w:numFmt w:val="bullet"/>
      <w:lvlText w:val="•"/>
      <w:lvlJc w:val="left"/>
      <w:pPr>
        <w:ind w:left="2209" w:hanging="416"/>
      </w:pPr>
      <w:rPr>
        <w:rFonts w:hint="default"/>
        <w:lang w:val="en-US" w:eastAsia="en-US" w:bidi="en-US"/>
      </w:rPr>
    </w:lvl>
    <w:lvl w:ilvl="3" w:tentative="0">
      <w:start w:val="0"/>
      <w:numFmt w:val="bullet"/>
      <w:lvlText w:val="•"/>
      <w:lvlJc w:val="left"/>
      <w:pPr>
        <w:ind w:left="3203" w:hanging="416"/>
      </w:pPr>
      <w:rPr>
        <w:rFonts w:hint="default"/>
        <w:lang w:val="en-US" w:eastAsia="en-US" w:bidi="en-US"/>
      </w:rPr>
    </w:lvl>
    <w:lvl w:ilvl="4" w:tentative="0">
      <w:start w:val="0"/>
      <w:numFmt w:val="bullet"/>
      <w:lvlText w:val="•"/>
      <w:lvlJc w:val="left"/>
      <w:pPr>
        <w:ind w:left="4198" w:hanging="416"/>
      </w:pPr>
      <w:rPr>
        <w:rFonts w:hint="default"/>
        <w:lang w:val="en-US" w:eastAsia="en-US" w:bidi="en-US"/>
      </w:rPr>
    </w:lvl>
    <w:lvl w:ilvl="5" w:tentative="0">
      <w:start w:val="0"/>
      <w:numFmt w:val="bullet"/>
      <w:lvlText w:val="•"/>
      <w:lvlJc w:val="left"/>
      <w:pPr>
        <w:ind w:left="5193" w:hanging="416"/>
      </w:pPr>
      <w:rPr>
        <w:rFonts w:hint="default"/>
        <w:lang w:val="en-US" w:eastAsia="en-US" w:bidi="en-US"/>
      </w:rPr>
    </w:lvl>
    <w:lvl w:ilvl="6" w:tentative="0">
      <w:start w:val="0"/>
      <w:numFmt w:val="bullet"/>
      <w:lvlText w:val="•"/>
      <w:lvlJc w:val="left"/>
      <w:pPr>
        <w:ind w:left="6187" w:hanging="416"/>
      </w:pPr>
      <w:rPr>
        <w:rFonts w:hint="default"/>
        <w:lang w:val="en-US" w:eastAsia="en-US" w:bidi="en-US"/>
      </w:rPr>
    </w:lvl>
    <w:lvl w:ilvl="7" w:tentative="0">
      <w:start w:val="0"/>
      <w:numFmt w:val="bullet"/>
      <w:lvlText w:val="•"/>
      <w:lvlJc w:val="left"/>
      <w:pPr>
        <w:ind w:left="7182" w:hanging="416"/>
      </w:pPr>
      <w:rPr>
        <w:rFonts w:hint="default"/>
        <w:lang w:val="en-US" w:eastAsia="en-US" w:bidi="en-US"/>
      </w:rPr>
    </w:lvl>
    <w:lvl w:ilvl="8" w:tentative="0">
      <w:start w:val="0"/>
      <w:numFmt w:val="bullet"/>
      <w:lvlText w:val="•"/>
      <w:lvlJc w:val="left"/>
      <w:pPr>
        <w:ind w:left="8176" w:hanging="416"/>
      </w:pPr>
      <w:rPr>
        <w:rFonts w:hint="default"/>
        <w:lang w:val="en-US" w:eastAsia="en-US" w:bidi="en-US"/>
      </w:rPr>
    </w:lvl>
  </w:abstractNum>
  <w:abstractNum w:abstractNumId="53">
    <w:nsid w:val="BDA1395C"/>
    <w:multiLevelType w:val="multilevel"/>
    <w:tmpl w:val="BDA1395C"/>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54">
    <w:nsid w:val="BE8A4F4C"/>
    <w:multiLevelType w:val="multilevel"/>
    <w:tmpl w:val="BE8A4F4C"/>
    <w:lvl w:ilvl="0" w:tentative="0">
      <w:start w:val="7"/>
      <w:numFmt w:val="decimal"/>
      <w:lvlText w:val="%1"/>
      <w:lvlJc w:val="left"/>
      <w:pPr>
        <w:ind w:left="212" w:hanging="840"/>
        <w:jc w:val="left"/>
      </w:pPr>
      <w:rPr>
        <w:rFonts w:hint="default"/>
        <w:lang w:val="en-US" w:eastAsia="en-US" w:bidi="en-US"/>
      </w:rPr>
    </w:lvl>
    <w:lvl w:ilvl="1" w:tentative="0">
      <w:start w:val="3"/>
      <w:numFmt w:val="decimal"/>
      <w:lvlText w:val="%1.%2"/>
      <w:lvlJc w:val="left"/>
      <w:pPr>
        <w:ind w:left="212" w:hanging="840"/>
        <w:jc w:val="left"/>
      </w:pPr>
      <w:rPr>
        <w:rFonts w:hint="default"/>
        <w:lang w:val="en-US" w:eastAsia="en-US" w:bidi="en-US"/>
      </w:rPr>
    </w:lvl>
    <w:lvl w:ilvl="2" w:tentative="0">
      <w:start w:val="1"/>
      <w:numFmt w:val="decimal"/>
      <w:lvlText w:val="%1.%2.%3"/>
      <w:lvlJc w:val="left"/>
      <w:pPr>
        <w:ind w:left="21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203" w:hanging="840"/>
      </w:pPr>
      <w:rPr>
        <w:rFonts w:hint="default"/>
        <w:lang w:val="en-US" w:eastAsia="en-US" w:bidi="en-US"/>
      </w:rPr>
    </w:lvl>
    <w:lvl w:ilvl="4" w:tentative="0">
      <w:start w:val="0"/>
      <w:numFmt w:val="bullet"/>
      <w:lvlText w:val="•"/>
      <w:lvlJc w:val="left"/>
      <w:pPr>
        <w:ind w:left="4198" w:hanging="840"/>
      </w:pPr>
      <w:rPr>
        <w:rFonts w:hint="default"/>
        <w:lang w:val="en-US" w:eastAsia="en-US" w:bidi="en-US"/>
      </w:rPr>
    </w:lvl>
    <w:lvl w:ilvl="5" w:tentative="0">
      <w:start w:val="0"/>
      <w:numFmt w:val="bullet"/>
      <w:lvlText w:val="•"/>
      <w:lvlJc w:val="left"/>
      <w:pPr>
        <w:ind w:left="5193" w:hanging="840"/>
      </w:pPr>
      <w:rPr>
        <w:rFonts w:hint="default"/>
        <w:lang w:val="en-US" w:eastAsia="en-US" w:bidi="en-US"/>
      </w:rPr>
    </w:lvl>
    <w:lvl w:ilvl="6" w:tentative="0">
      <w:start w:val="0"/>
      <w:numFmt w:val="bullet"/>
      <w:lvlText w:val="•"/>
      <w:lvlJc w:val="left"/>
      <w:pPr>
        <w:ind w:left="6187" w:hanging="840"/>
      </w:pPr>
      <w:rPr>
        <w:rFonts w:hint="default"/>
        <w:lang w:val="en-US" w:eastAsia="en-US" w:bidi="en-US"/>
      </w:rPr>
    </w:lvl>
    <w:lvl w:ilvl="7" w:tentative="0">
      <w:start w:val="0"/>
      <w:numFmt w:val="bullet"/>
      <w:lvlText w:val="•"/>
      <w:lvlJc w:val="left"/>
      <w:pPr>
        <w:ind w:left="7182" w:hanging="840"/>
      </w:pPr>
      <w:rPr>
        <w:rFonts w:hint="default"/>
        <w:lang w:val="en-US" w:eastAsia="en-US" w:bidi="en-US"/>
      </w:rPr>
    </w:lvl>
    <w:lvl w:ilvl="8" w:tentative="0">
      <w:start w:val="0"/>
      <w:numFmt w:val="bullet"/>
      <w:lvlText w:val="•"/>
      <w:lvlJc w:val="left"/>
      <w:pPr>
        <w:ind w:left="8176" w:hanging="840"/>
      </w:pPr>
      <w:rPr>
        <w:rFonts w:hint="default"/>
        <w:lang w:val="en-US" w:eastAsia="en-US" w:bidi="en-US"/>
      </w:rPr>
    </w:lvl>
  </w:abstractNum>
  <w:abstractNum w:abstractNumId="55">
    <w:nsid w:val="BE923771"/>
    <w:multiLevelType w:val="multilevel"/>
    <w:tmpl w:val="BE923771"/>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56">
    <w:nsid w:val="BF205925"/>
    <w:multiLevelType w:val="multilevel"/>
    <w:tmpl w:val="BF205925"/>
    <w:lvl w:ilvl="0" w:tentative="0">
      <w:start w:val="2"/>
      <w:numFmt w:val="decimal"/>
      <w:lvlText w:val="%1"/>
      <w:lvlJc w:val="left"/>
      <w:pPr>
        <w:ind w:left="1052" w:hanging="840"/>
        <w:jc w:val="left"/>
      </w:pPr>
      <w:rPr>
        <w:rFonts w:hint="default"/>
        <w:lang w:val="en-US" w:eastAsia="en-US" w:bidi="en-US"/>
      </w:rPr>
    </w:lvl>
    <w:lvl w:ilvl="1" w:tentative="0">
      <w:start w:val="0"/>
      <w:numFmt w:val="decimal"/>
      <w:lvlText w:val="%1.%2"/>
      <w:lvlJc w:val="left"/>
      <w:pPr>
        <w:ind w:left="1052" w:hanging="840"/>
        <w:jc w:val="left"/>
      </w:pPr>
      <w:rPr>
        <w:rFonts w:hint="default"/>
        <w:lang w:val="en-US" w:eastAsia="en-US" w:bidi="en-US"/>
      </w:rPr>
    </w:lvl>
    <w:lvl w:ilvl="2" w:tentative="0">
      <w:start w:val="1"/>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791" w:hanging="840"/>
      </w:pPr>
      <w:rPr>
        <w:rFonts w:hint="default"/>
        <w:lang w:val="en-US" w:eastAsia="en-US" w:bidi="en-US"/>
      </w:rPr>
    </w:lvl>
    <w:lvl w:ilvl="4" w:tentative="0">
      <w:start w:val="0"/>
      <w:numFmt w:val="bullet"/>
      <w:lvlText w:val="•"/>
      <w:lvlJc w:val="left"/>
      <w:pPr>
        <w:ind w:left="4702" w:hanging="840"/>
      </w:pPr>
      <w:rPr>
        <w:rFonts w:hint="default"/>
        <w:lang w:val="en-US" w:eastAsia="en-US" w:bidi="en-US"/>
      </w:rPr>
    </w:lvl>
    <w:lvl w:ilvl="5" w:tentative="0">
      <w:start w:val="0"/>
      <w:numFmt w:val="bullet"/>
      <w:lvlText w:val="•"/>
      <w:lvlJc w:val="left"/>
      <w:pPr>
        <w:ind w:left="5613" w:hanging="840"/>
      </w:pPr>
      <w:rPr>
        <w:rFonts w:hint="default"/>
        <w:lang w:val="en-US" w:eastAsia="en-US" w:bidi="en-US"/>
      </w:rPr>
    </w:lvl>
    <w:lvl w:ilvl="6" w:tentative="0">
      <w:start w:val="0"/>
      <w:numFmt w:val="bullet"/>
      <w:lvlText w:val="•"/>
      <w:lvlJc w:val="left"/>
      <w:pPr>
        <w:ind w:left="6523" w:hanging="840"/>
      </w:pPr>
      <w:rPr>
        <w:rFonts w:hint="default"/>
        <w:lang w:val="en-US" w:eastAsia="en-US" w:bidi="en-US"/>
      </w:rPr>
    </w:lvl>
    <w:lvl w:ilvl="7" w:tentative="0">
      <w:start w:val="0"/>
      <w:numFmt w:val="bullet"/>
      <w:lvlText w:val="•"/>
      <w:lvlJc w:val="left"/>
      <w:pPr>
        <w:ind w:left="7434" w:hanging="840"/>
      </w:pPr>
      <w:rPr>
        <w:rFonts w:hint="default"/>
        <w:lang w:val="en-US" w:eastAsia="en-US" w:bidi="en-US"/>
      </w:rPr>
    </w:lvl>
    <w:lvl w:ilvl="8" w:tentative="0">
      <w:start w:val="0"/>
      <w:numFmt w:val="bullet"/>
      <w:lvlText w:val="•"/>
      <w:lvlJc w:val="left"/>
      <w:pPr>
        <w:ind w:left="8344" w:hanging="840"/>
      </w:pPr>
      <w:rPr>
        <w:rFonts w:hint="default"/>
        <w:lang w:val="en-US" w:eastAsia="en-US" w:bidi="en-US"/>
      </w:rPr>
    </w:lvl>
  </w:abstractNum>
  <w:abstractNum w:abstractNumId="57">
    <w:nsid w:val="BF50FE6B"/>
    <w:multiLevelType w:val="multilevel"/>
    <w:tmpl w:val="BF50FE6B"/>
    <w:lvl w:ilvl="0" w:tentative="0">
      <w:start w:val="1"/>
      <w:numFmt w:val="decimal"/>
      <w:lvlText w:val="%1"/>
      <w:lvlJc w:val="left"/>
      <w:pPr>
        <w:ind w:left="21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214" w:hanging="416"/>
      </w:pPr>
      <w:rPr>
        <w:rFonts w:hint="default"/>
        <w:lang w:val="en-US" w:eastAsia="en-US" w:bidi="en-US"/>
      </w:rPr>
    </w:lvl>
    <w:lvl w:ilvl="2" w:tentative="0">
      <w:start w:val="0"/>
      <w:numFmt w:val="bullet"/>
      <w:lvlText w:val="•"/>
      <w:lvlJc w:val="left"/>
      <w:pPr>
        <w:ind w:left="2209" w:hanging="416"/>
      </w:pPr>
      <w:rPr>
        <w:rFonts w:hint="default"/>
        <w:lang w:val="en-US" w:eastAsia="en-US" w:bidi="en-US"/>
      </w:rPr>
    </w:lvl>
    <w:lvl w:ilvl="3" w:tentative="0">
      <w:start w:val="0"/>
      <w:numFmt w:val="bullet"/>
      <w:lvlText w:val="•"/>
      <w:lvlJc w:val="left"/>
      <w:pPr>
        <w:ind w:left="3203" w:hanging="416"/>
      </w:pPr>
      <w:rPr>
        <w:rFonts w:hint="default"/>
        <w:lang w:val="en-US" w:eastAsia="en-US" w:bidi="en-US"/>
      </w:rPr>
    </w:lvl>
    <w:lvl w:ilvl="4" w:tentative="0">
      <w:start w:val="0"/>
      <w:numFmt w:val="bullet"/>
      <w:lvlText w:val="•"/>
      <w:lvlJc w:val="left"/>
      <w:pPr>
        <w:ind w:left="4198" w:hanging="416"/>
      </w:pPr>
      <w:rPr>
        <w:rFonts w:hint="default"/>
        <w:lang w:val="en-US" w:eastAsia="en-US" w:bidi="en-US"/>
      </w:rPr>
    </w:lvl>
    <w:lvl w:ilvl="5" w:tentative="0">
      <w:start w:val="0"/>
      <w:numFmt w:val="bullet"/>
      <w:lvlText w:val="•"/>
      <w:lvlJc w:val="left"/>
      <w:pPr>
        <w:ind w:left="5193" w:hanging="416"/>
      </w:pPr>
      <w:rPr>
        <w:rFonts w:hint="default"/>
        <w:lang w:val="en-US" w:eastAsia="en-US" w:bidi="en-US"/>
      </w:rPr>
    </w:lvl>
    <w:lvl w:ilvl="6" w:tentative="0">
      <w:start w:val="0"/>
      <w:numFmt w:val="bullet"/>
      <w:lvlText w:val="•"/>
      <w:lvlJc w:val="left"/>
      <w:pPr>
        <w:ind w:left="6187" w:hanging="416"/>
      </w:pPr>
      <w:rPr>
        <w:rFonts w:hint="default"/>
        <w:lang w:val="en-US" w:eastAsia="en-US" w:bidi="en-US"/>
      </w:rPr>
    </w:lvl>
    <w:lvl w:ilvl="7" w:tentative="0">
      <w:start w:val="0"/>
      <w:numFmt w:val="bullet"/>
      <w:lvlText w:val="•"/>
      <w:lvlJc w:val="left"/>
      <w:pPr>
        <w:ind w:left="7182" w:hanging="416"/>
      </w:pPr>
      <w:rPr>
        <w:rFonts w:hint="default"/>
        <w:lang w:val="en-US" w:eastAsia="en-US" w:bidi="en-US"/>
      </w:rPr>
    </w:lvl>
    <w:lvl w:ilvl="8" w:tentative="0">
      <w:start w:val="0"/>
      <w:numFmt w:val="bullet"/>
      <w:lvlText w:val="•"/>
      <w:lvlJc w:val="left"/>
      <w:pPr>
        <w:ind w:left="8176" w:hanging="416"/>
      </w:pPr>
      <w:rPr>
        <w:rFonts w:hint="default"/>
        <w:lang w:val="en-US" w:eastAsia="en-US" w:bidi="en-US"/>
      </w:rPr>
    </w:lvl>
  </w:abstractNum>
  <w:abstractNum w:abstractNumId="58">
    <w:nsid w:val="C0283A65"/>
    <w:multiLevelType w:val="multilevel"/>
    <w:tmpl w:val="C0283A65"/>
    <w:lvl w:ilvl="0" w:tentative="0">
      <w:start w:val="4"/>
      <w:numFmt w:val="decimal"/>
      <w:lvlText w:val="%1"/>
      <w:lvlJc w:val="left"/>
      <w:pPr>
        <w:ind w:left="212" w:hanging="840"/>
        <w:jc w:val="left"/>
      </w:pPr>
      <w:rPr>
        <w:rFonts w:hint="default"/>
        <w:lang w:val="en-US" w:eastAsia="en-US" w:bidi="en-US"/>
      </w:rPr>
    </w:lvl>
    <w:lvl w:ilvl="1" w:tentative="0">
      <w:start w:val="2"/>
      <w:numFmt w:val="decimal"/>
      <w:lvlText w:val="%1.%2"/>
      <w:lvlJc w:val="left"/>
      <w:pPr>
        <w:ind w:left="212" w:hanging="840"/>
        <w:jc w:val="left"/>
      </w:pPr>
      <w:rPr>
        <w:rFonts w:hint="default"/>
        <w:lang w:val="en-US" w:eastAsia="en-US" w:bidi="en-US"/>
      </w:rPr>
    </w:lvl>
    <w:lvl w:ilvl="2" w:tentative="0">
      <w:start w:val="30"/>
      <w:numFmt w:val="decimal"/>
      <w:lvlText w:val="%1.%2.%3"/>
      <w:lvlJc w:val="left"/>
      <w:pPr>
        <w:ind w:left="21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083" w:hanging="840"/>
      </w:pPr>
      <w:rPr>
        <w:rFonts w:hint="default"/>
        <w:lang w:val="en-US" w:eastAsia="en-US" w:bidi="en-US"/>
      </w:rPr>
    </w:lvl>
    <w:lvl w:ilvl="4" w:tentative="0">
      <w:start w:val="0"/>
      <w:numFmt w:val="bullet"/>
      <w:lvlText w:val="•"/>
      <w:lvlJc w:val="left"/>
      <w:pPr>
        <w:ind w:left="4095" w:hanging="840"/>
      </w:pPr>
      <w:rPr>
        <w:rFonts w:hint="default"/>
        <w:lang w:val="en-US" w:eastAsia="en-US" w:bidi="en-US"/>
      </w:rPr>
    </w:lvl>
    <w:lvl w:ilvl="5" w:tentative="0">
      <w:start w:val="0"/>
      <w:numFmt w:val="bullet"/>
      <w:lvlText w:val="•"/>
      <w:lvlJc w:val="left"/>
      <w:pPr>
        <w:ind w:left="5107" w:hanging="840"/>
      </w:pPr>
      <w:rPr>
        <w:rFonts w:hint="default"/>
        <w:lang w:val="en-US" w:eastAsia="en-US" w:bidi="en-US"/>
      </w:rPr>
    </w:lvl>
    <w:lvl w:ilvl="6" w:tentative="0">
      <w:start w:val="0"/>
      <w:numFmt w:val="bullet"/>
      <w:lvlText w:val="•"/>
      <w:lvlJc w:val="left"/>
      <w:pPr>
        <w:ind w:left="6118" w:hanging="840"/>
      </w:pPr>
      <w:rPr>
        <w:rFonts w:hint="default"/>
        <w:lang w:val="en-US" w:eastAsia="en-US" w:bidi="en-US"/>
      </w:rPr>
    </w:lvl>
    <w:lvl w:ilvl="7" w:tentative="0">
      <w:start w:val="0"/>
      <w:numFmt w:val="bullet"/>
      <w:lvlText w:val="•"/>
      <w:lvlJc w:val="left"/>
      <w:pPr>
        <w:ind w:left="7130" w:hanging="840"/>
      </w:pPr>
      <w:rPr>
        <w:rFonts w:hint="default"/>
        <w:lang w:val="en-US" w:eastAsia="en-US" w:bidi="en-US"/>
      </w:rPr>
    </w:lvl>
    <w:lvl w:ilvl="8" w:tentative="0">
      <w:start w:val="0"/>
      <w:numFmt w:val="bullet"/>
      <w:lvlText w:val="•"/>
      <w:lvlJc w:val="left"/>
      <w:pPr>
        <w:ind w:left="8142" w:hanging="840"/>
      </w:pPr>
      <w:rPr>
        <w:rFonts w:hint="default"/>
        <w:lang w:val="en-US" w:eastAsia="en-US" w:bidi="en-US"/>
      </w:rPr>
    </w:lvl>
  </w:abstractNum>
  <w:abstractNum w:abstractNumId="59">
    <w:nsid w:val="C0915F4F"/>
    <w:multiLevelType w:val="multilevel"/>
    <w:tmpl w:val="C0915F4F"/>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60">
    <w:nsid w:val="C4E0D24A"/>
    <w:multiLevelType w:val="multilevel"/>
    <w:tmpl w:val="C4E0D24A"/>
    <w:lvl w:ilvl="0" w:tentative="0">
      <w:start w:val="6"/>
      <w:numFmt w:val="decimal"/>
      <w:lvlText w:val="%1"/>
      <w:lvlJc w:val="left"/>
      <w:pPr>
        <w:ind w:left="212" w:hanging="840"/>
        <w:jc w:val="left"/>
      </w:pPr>
      <w:rPr>
        <w:rFonts w:hint="default"/>
        <w:lang w:val="en-US" w:eastAsia="en-US" w:bidi="en-US"/>
      </w:rPr>
    </w:lvl>
    <w:lvl w:ilvl="1" w:tentative="0">
      <w:start w:val="2"/>
      <w:numFmt w:val="decimal"/>
      <w:lvlText w:val="%1.%2"/>
      <w:lvlJc w:val="left"/>
      <w:pPr>
        <w:ind w:left="212" w:hanging="840"/>
        <w:jc w:val="left"/>
      </w:pPr>
      <w:rPr>
        <w:rFonts w:hint="default"/>
        <w:lang w:val="en-US" w:eastAsia="en-US" w:bidi="en-US"/>
      </w:rPr>
    </w:lvl>
    <w:lvl w:ilvl="2" w:tentative="0">
      <w:start w:val="1"/>
      <w:numFmt w:val="decimal"/>
      <w:lvlText w:val="%1.%2.%3"/>
      <w:lvlJc w:val="left"/>
      <w:pPr>
        <w:ind w:left="21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212" w:hanging="416"/>
        <w:jc w:val="left"/>
      </w:pPr>
      <w:rPr>
        <w:rFonts w:hint="default" w:ascii="宋体" w:hAnsi="宋体" w:eastAsia="宋体" w:cs="宋体"/>
        <w:b/>
        <w:bCs/>
        <w:w w:val="98"/>
        <w:sz w:val="21"/>
        <w:szCs w:val="21"/>
        <w:lang w:val="en-US" w:eastAsia="en-US" w:bidi="en-US"/>
      </w:rPr>
    </w:lvl>
    <w:lvl w:ilvl="4" w:tentative="0">
      <w:start w:val="0"/>
      <w:numFmt w:val="bullet"/>
      <w:lvlText w:val="•"/>
      <w:lvlJc w:val="left"/>
      <w:pPr>
        <w:ind w:left="4198" w:hanging="416"/>
      </w:pPr>
      <w:rPr>
        <w:rFonts w:hint="default"/>
        <w:lang w:val="en-US" w:eastAsia="en-US" w:bidi="en-US"/>
      </w:rPr>
    </w:lvl>
    <w:lvl w:ilvl="5" w:tentative="0">
      <w:start w:val="0"/>
      <w:numFmt w:val="bullet"/>
      <w:lvlText w:val="•"/>
      <w:lvlJc w:val="left"/>
      <w:pPr>
        <w:ind w:left="5193" w:hanging="416"/>
      </w:pPr>
      <w:rPr>
        <w:rFonts w:hint="default"/>
        <w:lang w:val="en-US" w:eastAsia="en-US" w:bidi="en-US"/>
      </w:rPr>
    </w:lvl>
    <w:lvl w:ilvl="6" w:tentative="0">
      <w:start w:val="0"/>
      <w:numFmt w:val="bullet"/>
      <w:lvlText w:val="•"/>
      <w:lvlJc w:val="left"/>
      <w:pPr>
        <w:ind w:left="6187" w:hanging="416"/>
      </w:pPr>
      <w:rPr>
        <w:rFonts w:hint="default"/>
        <w:lang w:val="en-US" w:eastAsia="en-US" w:bidi="en-US"/>
      </w:rPr>
    </w:lvl>
    <w:lvl w:ilvl="7" w:tentative="0">
      <w:start w:val="0"/>
      <w:numFmt w:val="bullet"/>
      <w:lvlText w:val="•"/>
      <w:lvlJc w:val="left"/>
      <w:pPr>
        <w:ind w:left="7182" w:hanging="416"/>
      </w:pPr>
      <w:rPr>
        <w:rFonts w:hint="default"/>
        <w:lang w:val="en-US" w:eastAsia="en-US" w:bidi="en-US"/>
      </w:rPr>
    </w:lvl>
    <w:lvl w:ilvl="8" w:tentative="0">
      <w:start w:val="0"/>
      <w:numFmt w:val="bullet"/>
      <w:lvlText w:val="•"/>
      <w:lvlJc w:val="left"/>
      <w:pPr>
        <w:ind w:left="8176" w:hanging="416"/>
      </w:pPr>
      <w:rPr>
        <w:rFonts w:hint="default"/>
        <w:lang w:val="en-US" w:eastAsia="en-US" w:bidi="en-US"/>
      </w:rPr>
    </w:lvl>
  </w:abstractNum>
  <w:abstractNum w:abstractNumId="61">
    <w:nsid w:val="C8879AEF"/>
    <w:multiLevelType w:val="multilevel"/>
    <w:tmpl w:val="C8879AEF"/>
    <w:lvl w:ilvl="0" w:tentative="0">
      <w:start w:val="1"/>
      <w:numFmt w:val="decimal"/>
      <w:lvlText w:val="%1"/>
      <w:lvlJc w:val="left"/>
      <w:pPr>
        <w:ind w:left="21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214" w:hanging="416"/>
      </w:pPr>
      <w:rPr>
        <w:rFonts w:hint="default"/>
        <w:lang w:val="en-US" w:eastAsia="en-US" w:bidi="en-US"/>
      </w:rPr>
    </w:lvl>
    <w:lvl w:ilvl="2" w:tentative="0">
      <w:start w:val="0"/>
      <w:numFmt w:val="bullet"/>
      <w:lvlText w:val="•"/>
      <w:lvlJc w:val="left"/>
      <w:pPr>
        <w:ind w:left="2209" w:hanging="416"/>
      </w:pPr>
      <w:rPr>
        <w:rFonts w:hint="default"/>
        <w:lang w:val="en-US" w:eastAsia="en-US" w:bidi="en-US"/>
      </w:rPr>
    </w:lvl>
    <w:lvl w:ilvl="3" w:tentative="0">
      <w:start w:val="0"/>
      <w:numFmt w:val="bullet"/>
      <w:lvlText w:val="•"/>
      <w:lvlJc w:val="left"/>
      <w:pPr>
        <w:ind w:left="3203" w:hanging="416"/>
      </w:pPr>
      <w:rPr>
        <w:rFonts w:hint="default"/>
        <w:lang w:val="en-US" w:eastAsia="en-US" w:bidi="en-US"/>
      </w:rPr>
    </w:lvl>
    <w:lvl w:ilvl="4" w:tentative="0">
      <w:start w:val="0"/>
      <w:numFmt w:val="bullet"/>
      <w:lvlText w:val="•"/>
      <w:lvlJc w:val="left"/>
      <w:pPr>
        <w:ind w:left="4198" w:hanging="416"/>
      </w:pPr>
      <w:rPr>
        <w:rFonts w:hint="default"/>
        <w:lang w:val="en-US" w:eastAsia="en-US" w:bidi="en-US"/>
      </w:rPr>
    </w:lvl>
    <w:lvl w:ilvl="5" w:tentative="0">
      <w:start w:val="0"/>
      <w:numFmt w:val="bullet"/>
      <w:lvlText w:val="•"/>
      <w:lvlJc w:val="left"/>
      <w:pPr>
        <w:ind w:left="5193" w:hanging="416"/>
      </w:pPr>
      <w:rPr>
        <w:rFonts w:hint="default"/>
        <w:lang w:val="en-US" w:eastAsia="en-US" w:bidi="en-US"/>
      </w:rPr>
    </w:lvl>
    <w:lvl w:ilvl="6" w:tentative="0">
      <w:start w:val="0"/>
      <w:numFmt w:val="bullet"/>
      <w:lvlText w:val="•"/>
      <w:lvlJc w:val="left"/>
      <w:pPr>
        <w:ind w:left="6187" w:hanging="416"/>
      </w:pPr>
      <w:rPr>
        <w:rFonts w:hint="default"/>
        <w:lang w:val="en-US" w:eastAsia="en-US" w:bidi="en-US"/>
      </w:rPr>
    </w:lvl>
    <w:lvl w:ilvl="7" w:tentative="0">
      <w:start w:val="0"/>
      <w:numFmt w:val="bullet"/>
      <w:lvlText w:val="•"/>
      <w:lvlJc w:val="left"/>
      <w:pPr>
        <w:ind w:left="7182" w:hanging="416"/>
      </w:pPr>
      <w:rPr>
        <w:rFonts w:hint="default"/>
        <w:lang w:val="en-US" w:eastAsia="en-US" w:bidi="en-US"/>
      </w:rPr>
    </w:lvl>
    <w:lvl w:ilvl="8" w:tentative="0">
      <w:start w:val="0"/>
      <w:numFmt w:val="bullet"/>
      <w:lvlText w:val="•"/>
      <w:lvlJc w:val="left"/>
      <w:pPr>
        <w:ind w:left="8176" w:hanging="416"/>
      </w:pPr>
      <w:rPr>
        <w:rFonts w:hint="default"/>
        <w:lang w:val="en-US" w:eastAsia="en-US" w:bidi="en-US"/>
      </w:rPr>
    </w:lvl>
  </w:abstractNum>
  <w:abstractNum w:abstractNumId="62">
    <w:nsid w:val="C90D1B09"/>
    <w:multiLevelType w:val="multilevel"/>
    <w:tmpl w:val="C90D1B09"/>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63">
    <w:nsid w:val="C9412743"/>
    <w:multiLevelType w:val="multilevel"/>
    <w:tmpl w:val="C9412743"/>
    <w:lvl w:ilvl="0" w:tentative="0">
      <w:start w:val="5"/>
      <w:numFmt w:val="decimal"/>
      <w:lvlText w:val="%1"/>
      <w:lvlJc w:val="left"/>
      <w:pPr>
        <w:ind w:left="2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214" w:hanging="420"/>
      </w:pPr>
      <w:rPr>
        <w:rFonts w:hint="default"/>
        <w:lang w:val="en-US" w:eastAsia="en-US" w:bidi="en-US"/>
      </w:rPr>
    </w:lvl>
    <w:lvl w:ilvl="2" w:tentative="0">
      <w:start w:val="0"/>
      <w:numFmt w:val="bullet"/>
      <w:lvlText w:val="•"/>
      <w:lvlJc w:val="left"/>
      <w:pPr>
        <w:ind w:left="2209" w:hanging="420"/>
      </w:pPr>
      <w:rPr>
        <w:rFonts w:hint="default"/>
        <w:lang w:val="en-US" w:eastAsia="en-US" w:bidi="en-US"/>
      </w:rPr>
    </w:lvl>
    <w:lvl w:ilvl="3" w:tentative="0">
      <w:start w:val="0"/>
      <w:numFmt w:val="bullet"/>
      <w:lvlText w:val="•"/>
      <w:lvlJc w:val="left"/>
      <w:pPr>
        <w:ind w:left="3203" w:hanging="420"/>
      </w:pPr>
      <w:rPr>
        <w:rFonts w:hint="default"/>
        <w:lang w:val="en-US" w:eastAsia="en-US" w:bidi="en-US"/>
      </w:rPr>
    </w:lvl>
    <w:lvl w:ilvl="4" w:tentative="0">
      <w:start w:val="0"/>
      <w:numFmt w:val="bullet"/>
      <w:lvlText w:val="•"/>
      <w:lvlJc w:val="left"/>
      <w:pPr>
        <w:ind w:left="4198" w:hanging="420"/>
      </w:pPr>
      <w:rPr>
        <w:rFonts w:hint="default"/>
        <w:lang w:val="en-US" w:eastAsia="en-US" w:bidi="en-US"/>
      </w:rPr>
    </w:lvl>
    <w:lvl w:ilvl="5" w:tentative="0">
      <w:start w:val="0"/>
      <w:numFmt w:val="bullet"/>
      <w:lvlText w:val="•"/>
      <w:lvlJc w:val="left"/>
      <w:pPr>
        <w:ind w:left="5193" w:hanging="420"/>
      </w:pPr>
      <w:rPr>
        <w:rFonts w:hint="default"/>
        <w:lang w:val="en-US" w:eastAsia="en-US" w:bidi="en-US"/>
      </w:rPr>
    </w:lvl>
    <w:lvl w:ilvl="6" w:tentative="0">
      <w:start w:val="0"/>
      <w:numFmt w:val="bullet"/>
      <w:lvlText w:val="•"/>
      <w:lvlJc w:val="left"/>
      <w:pPr>
        <w:ind w:left="6187" w:hanging="420"/>
      </w:pPr>
      <w:rPr>
        <w:rFonts w:hint="default"/>
        <w:lang w:val="en-US" w:eastAsia="en-US" w:bidi="en-US"/>
      </w:rPr>
    </w:lvl>
    <w:lvl w:ilvl="7" w:tentative="0">
      <w:start w:val="0"/>
      <w:numFmt w:val="bullet"/>
      <w:lvlText w:val="•"/>
      <w:lvlJc w:val="left"/>
      <w:pPr>
        <w:ind w:left="7182" w:hanging="420"/>
      </w:pPr>
      <w:rPr>
        <w:rFonts w:hint="default"/>
        <w:lang w:val="en-US" w:eastAsia="en-US" w:bidi="en-US"/>
      </w:rPr>
    </w:lvl>
    <w:lvl w:ilvl="8" w:tentative="0">
      <w:start w:val="0"/>
      <w:numFmt w:val="bullet"/>
      <w:lvlText w:val="•"/>
      <w:lvlJc w:val="left"/>
      <w:pPr>
        <w:ind w:left="8176" w:hanging="420"/>
      </w:pPr>
      <w:rPr>
        <w:rFonts w:hint="default"/>
        <w:lang w:val="en-US" w:eastAsia="en-US" w:bidi="en-US"/>
      </w:rPr>
    </w:lvl>
  </w:abstractNum>
  <w:abstractNum w:abstractNumId="64">
    <w:nsid w:val="CB94649F"/>
    <w:multiLevelType w:val="multilevel"/>
    <w:tmpl w:val="CB94649F"/>
    <w:lvl w:ilvl="0" w:tentative="0">
      <w:start w:val="5"/>
      <w:numFmt w:val="decimal"/>
      <w:lvlText w:val="%1"/>
      <w:lvlJc w:val="left"/>
      <w:pPr>
        <w:ind w:left="112" w:hanging="840"/>
        <w:jc w:val="left"/>
      </w:pPr>
      <w:rPr>
        <w:rFonts w:hint="default"/>
        <w:lang w:val="en-US" w:eastAsia="en-US" w:bidi="en-US"/>
      </w:rPr>
    </w:lvl>
    <w:lvl w:ilvl="1" w:tentative="0">
      <w:start w:val="4"/>
      <w:numFmt w:val="decimal"/>
      <w:lvlText w:val="%1.%2"/>
      <w:lvlJc w:val="left"/>
      <w:pPr>
        <w:ind w:left="112" w:hanging="840"/>
        <w:jc w:val="left"/>
      </w:pPr>
      <w:rPr>
        <w:rFonts w:hint="default"/>
        <w:lang w:val="en-US" w:eastAsia="en-US" w:bidi="en-US"/>
      </w:rPr>
    </w:lvl>
    <w:lvl w:ilvl="2" w:tentative="0">
      <w:start w:val="2"/>
      <w:numFmt w:val="decimal"/>
      <w:lvlText w:val="%1.%2.%3"/>
      <w:lvlJc w:val="left"/>
      <w:pPr>
        <w:ind w:left="11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073" w:hanging="840"/>
      </w:pPr>
      <w:rPr>
        <w:rFonts w:hint="default"/>
        <w:lang w:val="en-US" w:eastAsia="en-US" w:bidi="en-US"/>
      </w:rPr>
    </w:lvl>
    <w:lvl w:ilvl="4" w:tentative="0">
      <w:start w:val="0"/>
      <w:numFmt w:val="bullet"/>
      <w:lvlText w:val="•"/>
      <w:lvlJc w:val="left"/>
      <w:pPr>
        <w:ind w:left="4058" w:hanging="840"/>
      </w:pPr>
      <w:rPr>
        <w:rFonts w:hint="default"/>
        <w:lang w:val="en-US" w:eastAsia="en-US" w:bidi="en-US"/>
      </w:rPr>
    </w:lvl>
    <w:lvl w:ilvl="5" w:tentative="0">
      <w:start w:val="0"/>
      <w:numFmt w:val="bullet"/>
      <w:lvlText w:val="•"/>
      <w:lvlJc w:val="left"/>
      <w:pPr>
        <w:ind w:left="5043" w:hanging="840"/>
      </w:pPr>
      <w:rPr>
        <w:rFonts w:hint="default"/>
        <w:lang w:val="en-US" w:eastAsia="en-US" w:bidi="en-US"/>
      </w:rPr>
    </w:lvl>
    <w:lvl w:ilvl="6" w:tentative="0">
      <w:start w:val="0"/>
      <w:numFmt w:val="bullet"/>
      <w:lvlText w:val="•"/>
      <w:lvlJc w:val="left"/>
      <w:pPr>
        <w:ind w:left="6027" w:hanging="840"/>
      </w:pPr>
      <w:rPr>
        <w:rFonts w:hint="default"/>
        <w:lang w:val="en-US" w:eastAsia="en-US" w:bidi="en-US"/>
      </w:rPr>
    </w:lvl>
    <w:lvl w:ilvl="7" w:tentative="0">
      <w:start w:val="0"/>
      <w:numFmt w:val="bullet"/>
      <w:lvlText w:val="•"/>
      <w:lvlJc w:val="left"/>
      <w:pPr>
        <w:ind w:left="7012" w:hanging="840"/>
      </w:pPr>
      <w:rPr>
        <w:rFonts w:hint="default"/>
        <w:lang w:val="en-US" w:eastAsia="en-US" w:bidi="en-US"/>
      </w:rPr>
    </w:lvl>
    <w:lvl w:ilvl="8" w:tentative="0">
      <w:start w:val="0"/>
      <w:numFmt w:val="bullet"/>
      <w:lvlText w:val="•"/>
      <w:lvlJc w:val="left"/>
      <w:pPr>
        <w:ind w:left="7996" w:hanging="840"/>
      </w:pPr>
      <w:rPr>
        <w:rFonts w:hint="default"/>
        <w:lang w:val="en-US" w:eastAsia="en-US" w:bidi="en-US"/>
      </w:rPr>
    </w:lvl>
  </w:abstractNum>
  <w:abstractNum w:abstractNumId="65">
    <w:nsid w:val="CD699D1D"/>
    <w:multiLevelType w:val="multilevel"/>
    <w:tmpl w:val="CD699D1D"/>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66">
    <w:nsid w:val="CF092B84"/>
    <w:multiLevelType w:val="multilevel"/>
    <w:tmpl w:val="CF092B84"/>
    <w:lvl w:ilvl="0" w:tentative="0">
      <w:start w:val="1"/>
      <w:numFmt w:val="decimal"/>
      <w:lvlText w:val="%1"/>
      <w:lvlJc w:val="left"/>
      <w:pPr>
        <w:ind w:left="632" w:hanging="420"/>
        <w:jc w:val="left"/>
      </w:pPr>
      <w:rPr>
        <w:rFonts w:hint="default" w:ascii="宋体" w:hAnsi="宋体" w:eastAsia="宋体" w:cs="宋体"/>
        <w:b/>
        <w:bCs/>
        <w:w w:val="98"/>
        <w:sz w:val="20"/>
        <w:szCs w:val="20"/>
        <w:lang w:val="en-US" w:eastAsia="en-US" w:bidi="en-US"/>
      </w:rPr>
    </w:lvl>
    <w:lvl w:ilvl="1" w:tentative="0">
      <w:start w:val="1"/>
      <w:numFmt w:val="decimal"/>
      <w:lvlText w:val="%1.%2"/>
      <w:lvlJc w:val="left"/>
      <w:pPr>
        <w:ind w:left="1052" w:hanging="629"/>
        <w:jc w:val="left"/>
      </w:pPr>
      <w:rPr>
        <w:rFonts w:hint="default" w:ascii="宋体" w:hAnsi="宋体" w:eastAsia="宋体" w:cs="宋体"/>
        <w:spacing w:val="-2"/>
        <w:w w:val="99"/>
        <w:sz w:val="20"/>
        <w:szCs w:val="20"/>
        <w:lang w:val="en-US" w:eastAsia="en-US" w:bidi="en-US"/>
      </w:rPr>
    </w:lvl>
    <w:lvl w:ilvl="2" w:tentative="0">
      <w:start w:val="1"/>
      <w:numFmt w:val="decimal"/>
      <w:lvlText w:val="%3"/>
      <w:lvlJc w:val="left"/>
      <w:pPr>
        <w:ind w:left="4921" w:hanging="420"/>
        <w:jc w:val="right"/>
      </w:pPr>
      <w:rPr>
        <w:rFonts w:hint="default" w:ascii="宋体" w:hAnsi="宋体" w:eastAsia="宋体" w:cs="宋体"/>
        <w:b/>
        <w:bCs/>
        <w:w w:val="98"/>
        <w:sz w:val="32"/>
        <w:szCs w:val="32"/>
        <w:lang w:val="en-US" w:eastAsia="en-US" w:bidi="en-US"/>
      </w:rPr>
    </w:lvl>
    <w:lvl w:ilvl="3" w:tentative="0">
      <w:start w:val="1"/>
      <w:numFmt w:val="decimal"/>
      <w:lvlText w:val="%3.%4"/>
      <w:lvlJc w:val="left"/>
      <w:pPr>
        <w:ind w:left="4532" w:hanging="420"/>
        <w:jc w:val="left"/>
      </w:pPr>
      <w:rPr>
        <w:rFonts w:hint="default" w:ascii="宋体" w:hAnsi="宋体" w:eastAsia="宋体" w:cs="宋体"/>
        <w:b/>
        <w:bCs/>
        <w:spacing w:val="0"/>
        <w:w w:val="98"/>
        <w:sz w:val="21"/>
        <w:szCs w:val="21"/>
        <w:lang w:val="en-US" w:eastAsia="en-US" w:bidi="en-US"/>
      </w:rPr>
    </w:lvl>
    <w:lvl w:ilvl="4" w:tentative="0">
      <w:start w:val="1"/>
      <w:numFmt w:val="upperRoman"/>
      <w:lvlText w:val="%5"/>
      <w:lvlJc w:val="left"/>
      <w:pPr>
        <w:ind w:left="4691" w:hanging="159"/>
        <w:jc w:val="right"/>
      </w:pPr>
      <w:rPr>
        <w:rFonts w:hint="default" w:ascii="黑体" w:hAnsi="黑体" w:eastAsia="黑体" w:cs="黑体"/>
        <w:w w:val="99"/>
        <w:sz w:val="21"/>
        <w:szCs w:val="21"/>
        <w:lang w:val="en-US" w:eastAsia="en-US" w:bidi="en-US"/>
      </w:rPr>
    </w:lvl>
    <w:lvl w:ilvl="5" w:tentative="0">
      <w:start w:val="0"/>
      <w:numFmt w:val="bullet"/>
      <w:lvlText w:val="•"/>
      <w:lvlJc w:val="left"/>
      <w:pPr>
        <w:ind w:left="5794" w:hanging="159"/>
      </w:pPr>
      <w:rPr>
        <w:rFonts w:hint="default"/>
        <w:lang w:val="en-US" w:eastAsia="en-US" w:bidi="en-US"/>
      </w:rPr>
    </w:lvl>
    <w:lvl w:ilvl="6" w:tentative="0">
      <w:start w:val="0"/>
      <w:numFmt w:val="bullet"/>
      <w:lvlText w:val="•"/>
      <w:lvlJc w:val="left"/>
      <w:pPr>
        <w:ind w:left="6668" w:hanging="159"/>
      </w:pPr>
      <w:rPr>
        <w:rFonts w:hint="default"/>
        <w:lang w:val="en-US" w:eastAsia="en-US" w:bidi="en-US"/>
      </w:rPr>
    </w:lvl>
    <w:lvl w:ilvl="7" w:tentative="0">
      <w:start w:val="0"/>
      <w:numFmt w:val="bullet"/>
      <w:lvlText w:val="•"/>
      <w:lvlJc w:val="left"/>
      <w:pPr>
        <w:ind w:left="7543" w:hanging="159"/>
      </w:pPr>
      <w:rPr>
        <w:rFonts w:hint="default"/>
        <w:lang w:val="en-US" w:eastAsia="en-US" w:bidi="en-US"/>
      </w:rPr>
    </w:lvl>
    <w:lvl w:ilvl="8" w:tentative="0">
      <w:start w:val="0"/>
      <w:numFmt w:val="bullet"/>
      <w:lvlText w:val="•"/>
      <w:lvlJc w:val="left"/>
      <w:pPr>
        <w:ind w:left="8417" w:hanging="159"/>
      </w:pPr>
      <w:rPr>
        <w:rFonts w:hint="default"/>
        <w:lang w:val="en-US" w:eastAsia="en-US" w:bidi="en-US"/>
      </w:rPr>
    </w:lvl>
  </w:abstractNum>
  <w:abstractNum w:abstractNumId="67">
    <w:nsid w:val="D1EB1714"/>
    <w:multiLevelType w:val="multilevel"/>
    <w:tmpl w:val="D1EB1714"/>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68">
    <w:nsid w:val="D5F12F34"/>
    <w:multiLevelType w:val="multilevel"/>
    <w:tmpl w:val="D5F12F34"/>
    <w:lvl w:ilvl="0" w:tentative="0">
      <w:start w:val="6"/>
      <w:numFmt w:val="decimal"/>
      <w:lvlText w:val="%1"/>
      <w:lvlJc w:val="left"/>
      <w:pPr>
        <w:ind w:left="964" w:hanging="852"/>
        <w:jc w:val="left"/>
      </w:pPr>
      <w:rPr>
        <w:rFonts w:hint="default"/>
        <w:lang w:val="en-US" w:eastAsia="en-US" w:bidi="en-US"/>
      </w:rPr>
    </w:lvl>
    <w:lvl w:ilvl="1" w:tentative="0">
      <w:start w:val="2"/>
      <w:numFmt w:val="decimal"/>
      <w:lvlText w:val="%1.%2"/>
      <w:lvlJc w:val="left"/>
      <w:pPr>
        <w:ind w:left="964" w:hanging="852"/>
        <w:jc w:val="left"/>
      </w:pPr>
      <w:rPr>
        <w:rFonts w:hint="default"/>
        <w:lang w:val="en-US" w:eastAsia="en-US" w:bidi="en-US"/>
      </w:rPr>
    </w:lvl>
    <w:lvl w:ilvl="2" w:tentative="0">
      <w:start w:val="5"/>
      <w:numFmt w:val="decimal"/>
      <w:lvlText w:val="%1.%2.%3"/>
      <w:lvlJc w:val="left"/>
      <w:pPr>
        <w:ind w:left="964" w:hanging="852"/>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661" w:hanging="852"/>
      </w:pPr>
      <w:rPr>
        <w:rFonts w:hint="default"/>
        <w:lang w:val="en-US" w:eastAsia="en-US" w:bidi="en-US"/>
      </w:rPr>
    </w:lvl>
    <w:lvl w:ilvl="4" w:tentative="0">
      <w:start w:val="0"/>
      <w:numFmt w:val="bullet"/>
      <w:lvlText w:val="•"/>
      <w:lvlJc w:val="left"/>
      <w:pPr>
        <w:ind w:left="4562" w:hanging="852"/>
      </w:pPr>
      <w:rPr>
        <w:rFonts w:hint="default"/>
        <w:lang w:val="en-US" w:eastAsia="en-US" w:bidi="en-US"/>
      </w:rPr>
    </w:lvl>
    <w:lvl w:ilvl="5" w:tentative="0">
      <w:start w:val="0"/>
      <w:numFmt w:val="bullet"/>
      <w:lvlText w:val="•"/>
      <w:lvlJc w:val="left"/>
      <w:pPr>
        <w:ind w:left="5463" w:hanging="852"/>
      </w:pPr>
      <w:rPr>
        <w:rFonts w:hint="default"/>
        <w:lang w:val="en-US" w:eastAsia="en-US" w:bidi="en-US"/>
      </w:rPr>
    </w:lvl>
    <w:lvl w:ilvl="6" w:tentative="0">
      <w:start w:val="0"/>
      <w:numFmt w:val="bullet"/>
      <w:lvlText w:val="•"/>
      <w:lvlJc w:val="left"/>
      <w:pPr>
        <w:ind w:left="6363" w:hanging="852"/>
      </w:pPr>
      <w:rPr>
        <w:rFonts w:hint="default"/>
        <w:lang w:val="en-US" w:eastAsia="en-US" w:bidi="en-US"/>
      </w:rPr>
    </w:lvl>
    <w:lvl w:ilvl="7" w:tentative="0">
      <w:start w:val="0"/>
      <w:numFmt w:val="bullet"/>
      <w:lvlText w:val="•"/>
      <w:lvlJc w:val="left"/>
      <w:pPr>
        <w:ind w:left="7264" w:hanging="852"/>
      </w:pPr>
      <w:rPr>
        <w:rFonts w:hint="default"/>
        <w:lang w:val="en-US" w:eastAsia="en-US" w:bidi="en-US"/>
      </w:rPr>
    </w:lvl>
    <w:lvl w:ilvl="8" w:tentative="0">
      <w:start w:val="0"/>
      <w:numFmt w:val="bullet"/>
      <w:lvlText w:val="•"/>
      <w:lvlJc w:val="left"/>
      <w:pPr>
        <w:ind w:left="8164" w:hanging="852"/>
      </w:pPr>
      <w:rPr>
        <w:rFonts w:hint="default"/>
        <w:lang w:val="en-US" w:eastAsia="en-US" w:bidi="en-US"/>
      </w:rPr>
    </w:lvl>
  </w:abstractNum>
  <w:abstractNum w:abstractNumId="69">
    <w:nsid w:val="D7936317"/>
    <w:multiLevelType w:val="multilevel"/>
    <w:tmpl w:val="D7936317"/>
    <w:lvl w:ilvl="0" w:tentative="0">
      <w:start w:val="1"/>
      <w:numFmt w:val="decimal"/>
      <w:lvlText w:val="%1"/>
      <w:lvlJc w:val="left"/>
      <w:pPr>
        <w:ind w:left="212" w:hanging="420"/>
        <w:jc w:val="left"/>
      </w:pPr>
      <w:rPr>
        <w:rFonts w:hint="default"/>
        <w:w w:val="99"/>
        <w:lang w:val="en-US" w:eastAsia="en-US" w:bidi="en-US"/>
      </w:rPr>
    </w:lvl>
    <w:lvl w:ilvl="1" w:tentative="0">
      <w:start w:val="0"/>
      <w:numFmt w:val="bullet"/>
      <w:lvlText w:val="•"/>
      <w:lvlJc w:val="left"/>
      <w:pPr>
        <w:ind w:left="1214" w:hanging="420"/>
      </w:pPr>
      <w:rPr>
        <w:rFonts w:hint="default"/>
        <w:lang w:val="en-US" w:eastAsia="en-US" w:bidi="en-US"/>
      </w:rPr>
    </w:lvl>
    <w:lvl w:ilvl="2" w:tentative="0">
      <w:start w:val="0"/>
      <w:numFmt w:val="bullet"/>
      <w:lvlText w:val="•"/>
      <w:lvlJc w:val="left"/>
      <w:pPr>
        <w:ind w:left="2209" w:hanging="420"/>
      </w:pPr>
      <w:rPr>
        <w:rFonts w:hint="default"/>
        <w:lang w:val="en-US" w:eastAsia="en-US" w:bidi="en-US"/>
      </w:rPr>
    </w:lvl>
    <w:lvl w:ilvl="3" w:tentative="0">
      <w:start w:val="0"/>
      <w:numFmt w:val="bullet"/>
      <w:lvlText w:val="•"/>
      <w:lvlJc w:val="left"/>
      <w:pPr>
        <w:ind w:left="3203" w:hanging="420"/>
      </w:pPr>
      <w:rPr>
        <w:rFonts w:hint="default"/>
        <w:lang w:val="en-US" w:eastAsia="en-US" w:bidi="en-US"/>
      </w:rPr>
    </w:lvl>
    <w:lvl w:ilvl="4" w:tentative="0">
      <w:start w:val="0"/>
      <w:numFmt w:val="bullet"/>
      <w:lvlText w:val="•"/>
      <w:lvlJc w:val="left"/>
      <w:pPr>
        <w:ind w:left="4198" w:hanging="420"/>
      </w:pPr>
      <w:rPr>
        <w:rFonts w:hint="default"/>
        <w:lang w:val="en-US" w:eastAsia="en-US" w:bidi="en-US"/>
      </w:rPr>
    </w:lvl>
    <w:lvl w:ilvl="5" w:tentative="0">
      <w:start w:val="0"/>
      <w:numFmt w:val="bullet"/>
      <w:lvlText w:val="•"/>
      <w:lvlJc w:val="left"/>
      <w:pPr>
        <w:ind w:left="5193" w:hanging="420"/>
      </w:pPr>
      <w:rPr>
        <w:rFonts w:hint="default"/>
        <w:lang w:val="en-US" w:eastAsia="en-US" w:bidi="en-US"/>
      </w:rPr>
    </w:lvl>
    <w:lvl w:ilvl="6" w:tentative="0">
      <w:start w:val="0"/>
      <w:numFmt w:val="bullet"/>
      <w:lvlText w:val="•"/>
      <w:lvlJc w:val="left"/>
      <w:pPr>
        <w:ind w:left="6187" w:hanging="420"/>
      </w:pPr>
      <w:rPr>
        <w:rFonts w:hint="default"/>
        <w:lang w:val="en-US" w:eastAsia="en-US" w:bidi="en-US"/>
      </w:rPr>
    </w:lvl>
    <w:lvl w:ilvl="7" w:tentative="0">
      <w:start w:val="0"/>
      <w:numFmt w:val="bullet"/>
      <w:lvlText w:val="•"/>
      <w:lvlJc w:val="left"/>
      <w:pPr>
        <w:ind w:left="7182" w:hanging="420"/>
      </w:pPr>
      <w:rPr>
        <w:rFonts w:hint="default"/>
        <w:lang w:val="en-US" w:eastAsia="en-US" w:bidi="en-US"/>
      </w:rPr>
    </w:lvl>
    <w:lvl w:ilvl="8" w:tentative="0">
      <w:start w:val="0"/>
      <w:numFmt w:val="bullet"/>
      <w:lvlText w:val="•"/>
      <w:lvlJc w:val="left"/>
      <w:pPr>
        <w:ind w:left="8176" w:hanging="420"/>
      </w:pPr>
      <w:rPr>
        <w:rFonts w:hint="default"/>
        <w:lang w:val="en-US" w:eastAsia="en-US" w:bidi="en-US"/>
      </w:rPr>
    </w:lvl>
  </w:abstractNum>
  <w:abstractNum w:abstractNumId="70">
    <w:nsid w:val="D7D140E4"/>
    <w:multiLevelType w:val="multilevel"/>
    <w:tmpl w:val="D7D140E4"/>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71">
    <w:nsid w:val="D7F9FE59"/>
    <w:multiLevelType w:val="multilevel"/>
    <w:tmpl w:val="D7F9FE59"/>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72">
    <w:nsid w:val="DAD3A854"/>
    <w:multiLevelType w:val="multilevel"/>
    <w:tmpl w:val="DAD3A854"/>
    <w:lvl w:ilvl="0" w:tentative="0">
      <w:start w:val="1"/>
      <w:numFmt w:val="decimal"/>
      <w:lvlText w:val="%1"/>
      <w:lvlJc w:val="left"/>
      <w:pPr>
        <w:ind w:left="1052" w:hanging="416"/>
        <w:jc w:val="right"/>
      </w:pPr>
      <w:rPr>
        <w:rFonts w:hint="default"/>
        <w:b/>
        <w:bCs/>
        <w:w w:val="98"/>
        <w:lang w:val="en-US" w:eastAsia="en-US" w:bidi="en-US"/>
      </w:rPr>
    </w:lvl>
    <w:lvl w:ilvl="1" w:tentative="0">
      <w:start w:val="1"/>
      <w:numFmt w:val="decimal"/>
      <w:lvlText w:val="%1.%2"/>
      <w:lvlJc w:val="left"/>
      <w:pPr>
        <w:ind w:left="4823" w:hanging="420"/>
        <w:jc w:val="left"/>
      </w:pPr>
      <w:rPr>
        <w:rFonts w:hint="default" w:ascii="宋体" w:hAnsi="宋体" w:eastAsia="宋体" w:cs="宋体"/>
        <w:b/>
        <w:bCs/>
        <w:spacing w:val="0"/>
        <w:w w:val="98"/>
        <w:sz w:val="21"/>
        <w:szCs w:val="21"/>
        <w:lang w:val="en-US" w:eastAsia="en-US" w:bidi="en-US"/>
      </w:rPr>
    </w:lvl>
    <w:lvl w:ilvl="2" w:tentative="0">
      <w:start w:val="0"/>
      <w:numFmt w:val="bullet"/>
      <w:lvlText w:val="•"/>
      <w:lvlJc w:val="left"/>
      <w:pPr>
        <w:ind w:left="5414" w:hanging="420"/>
      </w:pPr>
      <w:rPr>
        <w:rFonts w:hint="default"/>
        <w:lang w:val="en-US" w:eastAsia="en-US" w:bidi="en-US"/>
      </w:rPr>
    </w:lvl>
    <w:lvl w:ilvl="3" w:tentative="0">
      <w:start w:val="0"/>
      <w:numFmt w:val="bullet"/>
      <w:lvlText w:val="•"/>
      <w:lvlJc w:val="left"/>
      <w:pPr>
        <w:ind w:left="6008" w:hanging="420"/>
      </w:pPr>
      <w:rPr>
        <w:rFonts w:hint="default"/>
        <w:lang w:val="en-US" w:eastAsia="en-US" w:bidi="en-US"/>
      </w:rPr>
    </w:lvl>
    <w:lvl w:ilvl="4" w:tentative="0">
      <w:start w:val="0"/>
      <w:numFmt w:val="bullet"/>
      <w:lvlText w:val="•"/>
      <w:lvlJc w:val="left"/>
      <w:pPr>
        <w:ind w:left="6602" w:hanging="420"/>
      </w:pPr>
      <w:rPr>
        <w:rFonts w:hint="default"/>
        <w:lang w:val="en-US" w:eastAsia="en-US" w:bidi="en-US"/>
      </w:rPr>
    </w:lvl>
    <w:lvl w:ilvl="5" w:tentative="0">
      <w:start w:val="0"/>
      <w:numFmt w:val="bullet"/>
      <w:lvlText w:val="•"/>
      <w:lvlJc w:val="left"/>
      <w:pPr>
        <w:ind w:left="7196" w:hanging="420"/>
      </w:pPr>
      <w:rPr>
        <w:rFonts w:hint="default"/>
        <w:lang w:val="en-US" w:eastAsia="en-US" w:bidi="en-US"/>
      </w:rPr>
    </w:lvl>
    <w:lvl w:ilvl="6" w:tentative="0">
      <w:start w:val="0"/>
      <w:numFmt w:val="bullet"/>
      <w:lvlText w:val="•"/>
      <w:lvlJc w:val="left"/>
      <w:pPr>
        <w:ind w:left="7790" w:hanging="420"/>
      </w:pPr>
      <w:rPr>
        <w:rFonts w:hint="default"/>
        <w:lang w:val="en-US" w:eastAsia="en-US" w:bidi="en-US"/>
      </w:rPr>
    </w:lvl>
    <w:lvl w:ilvl="7" w:tentative="0">
      <w:start w:val="0"/>
      <w:numFmt w:val="bullet"/>
      <w:lvlText w:val="•"/>
      <w:lvlJc w:val="left"/>
      <w:pPr>
        <w:ind w:left="8384" w:hanging="420"/>
      </w:pPr>
      <w:rPr>
        <w:rFonts w:hint="default"/>
        <w:lang w:val="en-US" w:eastAsia="en-US" w:bidi="en-US"/>
      </w:rPr>
    </w:lvl>
    <w:lvl w:ilvl="8" w:tentative="0">
      <w:start w:val="0"/>
      <w:numFmt w:val="bullet"/>
      <w:lvlText w:val="•"/>
      <w:lvlJc w:val="left"/>
      <w:pPr>
        <w:ind w:left="8978" w:hanging="420"/>
      </w:pPr>
      <w:rPr>
        <w:rFonts w:hint="default"/>
        <w:lang w:val="en-US" w:eastAsia="en-US" w:bidi="en-US"/>
      </w:rPr>
    </w:lvl>
  </w:abstractNum>
  <w:abstractNum w:abstractNumId="73">
    <w:nsid w:val="DAE62134"/>
    <w:multiLevelType w:val="multilevel"/>
    <w:tmpl w:val="DAE62134"/>
    <w:lvl w:ilvl="0" w:tentative="0">
      <w:start w:val="1"/>
      <w:numFmt w:val="decimal"/>
      <w:lvlText w:val="%1"/>
      <w:lvlJc w:val="left"/>
      <w:pPr>
        <w:ind w:left="2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214" w:hanging="420"/>
      </w:pPr>
      <w:rPr>
        <w:rFonts w:hint="default"/>
        <w:lang w:val="en-US" w:eastAsia="en-US" w:bidi="en-US"/>
      </w:rPr>
    </w:lvl>
    <w:lvl w:ilvl="2" w:tentative="0">
      <w:start w:val="0"/>
      <w:numFmt w:val="bullet"/>
      <w:lvlText w:val="•"/>
      <w:lvlJc w:val="left"/>
      <w:pPr>
        <w:ind w:left="2209" w:hanging="420"/>
      </w:pPr>
      <w:rPr>
        <w:rFonts w:hint="default"/>
        <w:lang w:val="en-US" w:eastAsia="en-US" w:bidi="en-US"/>
      </w:rPr>
    </w:lvl>
    <w:lvl w:ilvl="3" w:tentative="0">
      <w:start w:val="0"/>
      <w:numFmt w:val="bullet"/>
      <w:lvlText w:val="•"/>
      <w:lvlJc w:val="left"/>
      <w:pPr>
        <w:ind w:left="3203" w:hanging="420"/>
      </w:pPr>
      <w:rPr>
        <w:rFonts w:hint="default"/>
        <w:lang w:val="en-US" w:eastAsia="en-US" w:bidi="en-US"/>
      </w:rPr>
    </w:lvl>
    <w:lvl w:ilvl="4" w:tentative="0">
      <w:start w:val="0"/>
      <w:numFmt w:val="bullet"/>
      <w:lvlText w:val="•"/>
      <w:lvlJc w:val="left"/>
      <w:pPr>
        <w:ind w:left="4198" w:hanging="420"/>
      </w:pPr>
      <w:rPr>
        <w:rFonts w:hint="default"/>
        <w:lang w:val="en-US" w:eastAsia="en-US" w:bidi="en-US"/>
      </w:rPr>
    </w:lvl>
    <w:lvl w:ilvl="5" w:tentative="0">
      <w:start w:val="0"/>
      <w:numFmt w:val="bullet"/>
      <w:lvlText w:val="•"/>
      <w:lvlJc w:val="left"/>
      <w:pPr>
        <w:ind w:left="5193" w:hanging="420"/>
      </w:pPr>
      <w:rPr>
        <w:rFonts w:hint="default"/>
        <w:lang w:val="en-US" w:eastAsia="en-US" w:bidi="en-US"/>
      </w:rPr>
    </w:lvl>
    <w:lvl w:ilvl="6" w:tentative="0">
      <w:start w:val="0"/>
      <w:numFmt w:val="bullet"/>
      <w:lvlText w:val="•"/>
      <w:lvlJc w:val="left"/>
      <w:pPr>
        <w:ind w:left="6187" w:hanging="420"/>
      </w:pPr>
      <w:rPr>
        <w:rFonts w:hint="default"/>
        <w:lang w:val="en-US" w:eastAsia="en-US" w:bidi="en-US"/>
      </w:rPr>
    </w:lvl>
    <w:lvl w:ilvl="7" w:tentative="0">
      <w:start w:val="0"/>
      <w:numFmt w:val="bullet"/>
      <w:lvlText w:val="•"/>
      <w:lvlJc w:val="left"/>
      <w:pPr>
        <w:ind w:left="7182" w:hanging="420"/>
      </w:pPr>
      <w:rPr>
        <w:rFonts w:hint="default"/>
        <w:lang w:val="en-US" w:eastAsia="en-US" w:bidi="en-US"/>
      </w:rPr>
    </w:lvl>
    <w:lvl w:ilvl="8" w:tentative="0">
      <w:start w:val="0"/>
      <w:numFmt w:val="bullet"/>
      <w:lvlText w:val="•"/>
      <w:lvlJc w:val="left"/>
      <w:pPr>
        <w:ind w:left="8176" w:hanging="420"/>
      </w:pPr>
      <w:rPr>
        <w:rFonts w:hint="default"/>
        <w:lang w:val="en-US" w:eastAsia="en-US" w:bidi="en-US"/>
      </w:rPr>
    </w:lvl>
  </w:abstractNum>
  <w:abstractNum w:abstractNumId="74">
    <w:nsid w:val="DCBA6B53"/>
    <w:multiLevelType w:val="multilevel"/>
    <w:tmpl w:val="DCBA6B53"/>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75">
    <w:nsid w:val="E0294EC7"/>
    <w:multiLevelType w:val="multilevel"/>
    <w:tmpl w:val="E0294EC7"/>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76">
    <w:nsid w:val="E093A4B0"/>
    <w:multiLevelType w:val="multilevel"/>
    <w:tmpl w:val="E093A4B0"/>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77">
    <w:nsid w:val="E43A772E"/>
    <w:multiLevelType w:val="multilevel"/>
    <w:tmpl w:val="E43A772E"/>
    <w:lvl w:ilvl="0" w:tentative="0">
      <w:start w:val="2"/>
      <w:numFmt w:val="decimal"/>
      <w:lvlText w:val="%1"/>
      <w:lvlJc w:val="left"/>
      <w:pPr>
        <w:ind w:left="2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214" w:hanging="420"/>
      </w:pPr>
      <w:rPr>
        <w:rFonts w:hint="default"/>
        <w:lang w:val="en-US" w:eastAsia="en-US" w:bidi="en-US"/>
      </w:rPr>
    </w:lvl>
    <w:lvl w:ilvl="2" w:tentative="0">
      <w:start w:val="0"/>
      <w:numFmt w:val="bullet"/>
      <w:lvlText w:val="•"/>
      <w:lvlJc w:val="left"/>
      <w:pPr>
        <w:ind w:left="2209" w:hanging="420"/>
      </w:pPr>
      <w:rPr>
        <w:rFonts w:hint="default"/>
        <w:lang w:val="en-US" w:eastAsia="en-US" w:bidi="en-US"/>
      </w:rPr>
    </w:lvl>
    <w:lvl w:ilvl="3" w:tentative="0">
      <w:start w:val="0"/>
      <w:numFmt w:val="bullet"/>
      <w:lvlText w:val="•"/>
      <w:lvlJc w:val="left"/>
      <w:pPr>
        <w:ind w:left="3203" w:hanging="420"/>
      </w:pPr>
      <w:rPr>
        <w:rFonts w:hint="default"/>
        <w:lang w:val="en-US" w:eastAsia="en-US" w:bidi="en-US"/>
      </w:rPr>
    </w:lvl>
    <w:lvl w:ilvl="4" w:tentative="0">
      <w:start w:val="0"/>
      <w:numFmt w:val="bullet"/>
      <w:lvlText w:val="•"/>
      <w:lvlJc w:val="left"/>
      <w:pPr>
        <w:ind w:left="4198" w:hanging="420"/>
      </w:pPr>
      <w:rPr>
        <w:rFonts w:hint="default"/>
        <w:lang w:val="en-US" w:eastAsia="en-US" w:bidi="en-US"/>
      </w:rPr>
    </w:lvl>
    <w:lvl w:ilvl="5" w:tentative="0">
      <w:start w:val="0"/>
      <w:numFmt w:val="bullet"/>
      <w:lvlText w:val="•"/>
      <w:lvlJc w:val="left"/>
      <w:pPr>
        <w:ind w:left="5193" w:hanging="420"/>
      </w:pPr>
      <w:rPr>
        <w:rFonts w:hint="default"/>
        <w:lang w:val="en-US" w:eastAsia="en-US" w:bidi="en-US"/>
      </w:rPr>
    </w:lvl>
    <w:lvl w:ilvl="6" w:tentative="0">
      <w:start w:val="0"/>
      <w:numFmt w:val="bullet"/>
      <w:lvlText w:val="•"/>
      <w:lvlJc w:val="left"/>
      <w:pPr>
        <w:ind w:left="6187" w:hanging="420"/>
      </w:pPr>
      <w:rPr>
        <w:rFonts w:hint="default"/>
        <w:lang w:val="en-US" w:eastAsia="en-US" w:bidi="en-US"/>
      </w:rPr>
    </w:lvl>
    <w:lvl w:ilvl="7" w:tentative="0">
      <w:start w:val="0"/>
      <w:numFmt w:val="bullet"/>
      <w:lvlText w:val="•"/>
      <w:lvlJc w:val="left"/>
      <w:pPr>
        <w:ind w:left="7182" w:hanging="420"/>
      </w:pPr>
      <w:rPr>
        <w:rFonts w:hint="default"/>
        <w:lang w:val="en-US" w:eastAsia="en-US" w:bidi="en-US"/>
      </w:rPr>
    </w:lvl>
    <w:lvl w:ilvl="8" w:tentative="0">
      <w:start w:val="0"/>
      <w:numFmt w:val="bullet"/>
      <w:lvlText w:val="•"/>
      <w:lvlJc w:val="left"/>
      <w:pPr>
        <w:ind w:left="8176" w:hanging="420"/>
      </w:pPr>
      <w:rPr>
        <w:rFonts w:hint="default"/>
        <w:lang w:val="en-US" w:eastAsia="en-US" w:bidi="en-US"/>
      </w:rPr>
    </w:lvl>
  </w:abstractNum>
  <w:abstractNum w:abstractNumId="78">
    <w:nsid w:val="E504947C"/>
    <w:multiLevelType w:val="multilevel"/>
    <w:tmpl w:val="E504947C"/>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79">
    <w:nsid w:val="E52D9448"/>
    <w:multiLevelType w:val="multilevel"/>
    <w:tmpl w:val="E52D9448"/>
    <w:lvl w:ilvl="0" w:tentative="0">
      <w:start w:val="2"/>
      <w:numFmt w:val="decimal"/>
      <w:lvlText w:val="%1)"/>
      <w:lvlJc w:val="left"/>
      <w:pPr>
        <w:ind w:left="424" w:hanging="212"/>
        <w:jc w:val="left"/>
      </w:pPr>
      <w:rPr>
        <w:rFonts w:hint="default" w:ascii="宋体" w:hAnsi="宋体" w:eastAsia="宋体" w:cs="宋体"/>
        <w:spacing w:val="1"/>
        <w:w w:val="99"/>
        <w:sz w:val="19"/>
        <w:szCs w:val="19"/>
        <w:lang w:val="en-US" w:eastAsia="en-US" w:bidi="en-US"/>
      </w:rPr>
    </w:lvl>
    <w:lvl w:ilvl="1" w:tentative="0">
      <w:start w:val="0"/>
      <w:numFmt w:val="bullet"/>
      <w:lvlText w:val="•"/>
      <w:lvlJc w:val="left"/>
      <w:pPr>
        <w:ind w:left="1394" w:hanging="212"/>
      </w:pPr>
      <w:rPr>
        <w:rFonts w:hint="default"/>
        <w:lang w:val="en-US" w:eastAsia="en-US" w:bidi="en-US"/>
      </w:rPr>
    </w:lvl>
    <w:lvl w:ilvl="2" w:tentative="0">
      <w:start w:val="0"/>
      <w:numFmt w:val="bullet"/>
      <w:lvlText w:val="•"/>
      <w:lvlJc w:val="left"/>
      <w:pPr>
        <w:ind w:left="2369" w:hanging="212"/>
      </w:pPr>
      <w:rPr>
        <w:rFonts w:hint="default"/>
        <w:lang w:val="en-US" w:eastAsia="en-US" w:bidi="en-US"/>
      </w:rPr>
    </w:lvl>
    <w:lvl w:ilvl="3" w:tentative="0">
      <w:start w:val="0"/>
      <w:numFmt w:val="bullet"/>
      <w:lvlText w:val="•"/>
      <w:lvlJc w:val="left"/>
      <w:pPr>
        <w:ind w:left="3343" w:hanging="212"/>
      </w:pPr>
      <w:rPr>
        <w:rFonts w:hint="default"/>
        <w:lang w:val="en-US" w:eastAsia="en-US" w:bidi="en-US"/>
      </w:rPr>
    </w:lvl>
    <w:lvl w:ilvl="4" w:tentative="0">
      <w:start w:val="0"/>
      <w:numFmt w:val="bullet"/>
      <w:lvlText w:val="•"/>
      <w:lvlJc w:val="left"/>
      <w:pPr>
        <w:ind w:left="4318" w:hanging="212"/>
      </w:pPr>
      <w:rPr>
        <w:rFonts w:hint="default"/>
        <w:lang w:val="en-US" w:eastAsia="en-US" w:bidi="en-US"/>
      </w:rPr>
    </w:lvl>
    <w:lvl w:ilvl="5" w:tentative="0">
      <w:start w:val="0"/>
      <w:numFmt w:val="bullet"/>
      <w:lvlText w:val="•"/>
      <w:lvlJc w:val="left"/>
      <w:pPr>
        <w:ind w:left="5293" w:hanging="212"/>
      </w:pPr>
      <w:rPr>
        <w:rFonts w:hint="default"/>
        <w:lang w:val="en-US" w:eastAsia="en-US" w:bidi="en-US"/>
      </w:rPr>
    </w:lvl>
    <w:lvl w:ilvl="6" w:tentative="0">
      <w:start w:val="0"/>
      <w:numFmt w:val="bullet"/>
      <w:lvlText w:val="•"/>
      <w:lvlJc w:val="left"/>
      <w:pPr>
        <w:ind w:left="6267" w:hanging="212"/>
      </w:pPr>
      <w:rPr>
        <w:rFonts w:hint="default"/>
        <w:lang w:val="en-US" w:eastAsia="en-US" w:bidi="en-US"/>
      </w:rPr>
    </w:lvl>
    <w:lvl w:ilvl="7" w:tentative="0">
      <w:start w:val="0"/>
      <w:numFmt w:val="bullet"/>
      <w:lvlText w:val="•"/>
      <w:lvlJc w:val="left"/>
      <w:pPr>
        <w:ind w:left="7242" w:hanging="212"/>
      </w:pPr>
      <w:rPr>
        <w:rFonts w:hint="default"/>
        <w:lang w:val="en-US" w:eastAsia="en-US" w:bidi="en-US"/>
      </w:rPr>
    </w:lvl>
    <w:lvl w:ilvl="8" w:tentative="0">
      <w:start w:val="0"/>
      <w:numFmt w:val="bullet"/>
      <w:lvlText w:val="•"/>
      <w:lvlJc w:val="left"/>
      <w:pPr>
        <w:ind w:left="8216" w:hanging="212"/>
      </w:pPr>
      <w:rPr>
        <w:rFonts w:hint="default"/>
        <w:lang w:val="en-US" w:eastAsia="en-US" w:bidi="en-US"/>
      </w:rPr>
    </w:lvl>
  </w:abstractNum>
  <w:abstractNum w:abstractNumId="80">
    <w:nsid w:val="E7B27C5B"/>
    <w:multiLevelType w:val="multilevel"/>
    <w:tmpl w:val="E7B27C5B"/>
    <w:lvl w:ilvl="0" w:tentative="0">
      <w:start w:val="7"/>
      <w:numFmt w:val="decimal"/>
      <w:lvlText w:val="%1"/>
      <w:lvlJc w:val="left"/>
      <w:pPr>
        <w:ind w:left="212" w:hanging="840"/>
        <w:jc w:val="left"/>
      </w:pPr>
      <w:rPr>
        <w:rFonts w:hint="default"/>
        <w:lang w:val="en-US" w:eastAsia="en-US" w:bidi="en-US"/>
      </w:rPr>
    </w:lvl>
    <w:lvl w:ilvl="1" w:tentative="0">
      <w:start w:val="2"/>
      <w:numFmt w:val="decimal"/>
      <w:lvlText w:val="%1.%2"/>
      <w:lvlJc w:val="left"/>
      <w:pPr>
        <w:ind w:left="212" w:hanging="840"/>
        <w:jc w:val="left"/>
      </w:pPr>
      <w:rPr>
        <w:rFonts w:hint="default"/>
        <w:lang w:val="en-US" w:eastAsia="en-US" w:bidi="en-US"/>
      </w:rPr>
    </w:lvl>
    <w:lvl w:ilvl="2" w:tentative="0">
      <w:start w:val="1"/>
      <w:numFmt w:val="decimal"/>
      <w:lvlText w:val="%1.%2.%3"/>
      <w:lvlJc w:val="left"/>
      <w:pPr>
        <w:ind w:left="21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212" w:hanging="418"/>
        <w:jc w:val="left"/>
      </w:pPr>
      <w:rPr>
        <w:rFonts w:hint="default"/>
        <w:b/>
        <w:bCs/>
        <w:w w:val="98"/>
        <w:lang w:val="en-US" w:eastAsia="en-US" w:bidi="en-US"/>
      </w:rPr>
    </w:lvl>
    <w:lvl w:ilvl="4" w:tentative="0">
      <w:start w:val="0"/>
      <w:numFmt w:val="bullet"/>
      <w:lvlText w:val="•"/>
      <w:lvlJc w:val="left"/>
      <w:pPr>
        <w:ind w:left="4198" w:hanging="418"/>
      </w:pPr>
      <w:rPr>
        <w:rFonts w:hint="default"/>
        <w:lang w:val="en-US" w:eastAsia="en-US" w:bidi="en-US"/>
      </w:rPr>
    </w:lvl>
    <w:lvl w:ilvl="5" w:tentative="0">
      <w:start w:val="0"/>
      <w:numFmt w:val="bullet"/>
      <w:lvlText w:val="•"/>
      <w:lvlJc w:val="left"/>
      <w:pPr>
        <w:ind w:left="5193" w:hanging="418"/>
      </w:pPr>
      <w:rPr>
        <w:rFonts w:hint="default"/>
        <w:lang w:val="en-US" w:eastAsia="en-US" w:bidi="en-US"/>
      </w:rPr>
    </w:lvl>
    <w:lvl w:ilvl="6" w:tentative="0">
      <w:start w:val="0"/>
      <w:numFmt w:val="bullet"/>
      <w:lvlText w:val="•"/>
      <w:lvlJc w:val="left"/>
      <w:pPr>
        <w:ind w:left="6187" w:hanging="418"/>
      </w:pPr>
      <w:rPr>
        <w:rFonts w:hint="default"/>
        <w:lang w:val="en-US" w:eastAsia="en-US" w:bidi="en-US"/>
      </w:rPr>
    </w:lvl>
    <w:lvl w:ilvl="7" w:tentative="0">
      <w:start w:val="0"/>
      <w:numFmt w:val="bullet"/>
      <w:lvlText w:val="•"/>
      <w:lvlJc w:val="left"/>
      <w:pPr>
        <w:ind w:left="7182" w:hanging="418"/>
      </w:pPr>
      <w:rPr>
        <w:rFonts w:hint="default"/>
        <w:lang w:val="en-US" w:eastAsia="en-US" w:bidi="en-US"/>
      </w:rPr>
    </w:lvl>
    <w:lvl w:ilvl="8" w:tentative="0">
      <w:start w:val="0"/>
      <w:numFmt w:val="bullet"/>
      <w:lvlText w:val="•"/>
      <w:lvlJc w:val="left"/>
      <w:pPr>
        <w:ind w:left="8176" w:hanging="418"/>
      </w:pPr>
      <w:rPr>
        <w:rFonts w:hint="default"/>
        <w:lang w:val="en-US" w:eastAsia="en-US" w:bidi="en-US"/>
      </w:rPr>
    </w:lvl>
  </w:abstractNum>
  <w:abstractNum w:abstractNumId="81">
    <w:nsid w:val="E93EBC56"/>
    <w:multiLevelType w:val="multilevel"/>
    <w:tmpl w:val="E93EBC56"/>
    <w:lvl w:ilvl="0" w:tentative="0">
      <w:start w:val="1"/>
      <w:numFmt w:val="decimal"/>
      <w:lvlText w:val="%1"/>
      <w:lvlJc w:val="left"/>
      <w:pPr>
        <w:ind w:left="957" w:hanging="420"/>
        <w:jc w:val="left"/>
      </w:pPr>
      <w:rPr>
        <w:rFonts w:hint="default" w:ascii="宋体" w:hAnsi="宋体" w:eastAsia="宋体" w:cs="宋体"/>
        <w:w w:val="99"/>
        <w:sz w:val="21"/>
        <w:szCs w:val="21"/>
        <w:lang w:val="en-US" w:eastAsia="en-US" w:bidi="en-US"/>
      </w:rPr>
    </w:lvl>
    <w:lvl w:ilvl="1" w:tentative="0">
      <w:start w:val="1"/>
      <w:numFmt w:val="upperRoman"/>
      <w:lvlText w:val="%2"/>
      <w:lvlJc w:val="left"/>
      <w:pPr>
        <w:ind w:left="4591" w:hanging="159"/>
        <w:jc w:val="right"/>
      </w:pPr>
      <w:rPr>
        <w:rFonts w:hint="default" w:ascii="黑体" w:hAnsi="黑体" w:eastAsia="黑体" w:cs="黑体"/>
        <w:w w:val="99"/>
        <w:sz w:val="21"/>
        <w:szCs w:val="21"/>
        <w:lang w:val="en-US" w:eastAsia="en-US" w:bidi="en-US"/>
      </w:rPr>
    </w:lvl>
    <w:lvl w:ilvl="2" w:tentative="0">
      <w:start w:val="0"/>
      <w:numFmt w:val="bullet"/>
      <w:lvlText w:val="•"/>
      <w:lvlJc w:val="left"/>
      <w:pPr>
        <w:ind w:left="5207" w:hanging="159"/>
      </w:pPr>
      <w:rPr>
        <w:rFonts w:hint="default"/>
        <w:lang w:val="en-US" w:eastAsia="en-US" w:bidi="en-US"/>
      </w:rPr>
    </w:lvl>
    <w:lvl w:ilvl="3" w:tentative="0">
      <w:start w:val="0"/>
      <w:numFmt w:val="bullet"/>
      <w:lvlText w:val="•"/>
      <w:lvlJc w:val="left"/>
      <w:pPr>
        <w:ind w:left="5814" w:hanging="159"/>
      </w:pPr>
      <w:rPr>
        <w:rFonts w:hint="default"/>
        <w:lang w:val="en-US" w:eastAsia="en-US" w:bidi="en-US"/>
      </w:rPr>
    </w:lvl>
    <w:lvl w:ilvl="4" w:tentative="0">
      <w:start w:val="0"/>
      <w:numFmt w:val="bullet"/>
      <w:lvlText w:val="•"/>
      <w:lvlJc w:val="left"/>
      <w:pPr>
        <w:ind w:left="6422" w:hanging="159"/>
      </w:pPr>
      <w:rPr>
        <w:rFonts w:hint="default"/>
        <w:lang w:val="en-US" w:eastAsia="en-US" w:bidi="en-US"/>
      </w:rPr>
    </w:lvl>
    <w:lvl w:ilvl="5" w:tentative="0">
      <w:start w:val="0"/>
      <w:numFmt w:val="bullet"/>
      <w:lvlText w:val="•"/>
      <w:lvlJc w:val="left"/>
      <w:pPr>
        <w:ind w:left="7029" w:hanging="159"/>
      </w:pPr>
      <w:rPr>
        <w:rFonts w:hint="default"/>
        <w:lang w:val="en-US" w:eastAsia="en-US" w:bidi="en-US"/>
      </w:rPr>
    </w:lvl>
    <w:lvl w:ilvl="6" w:tentative="0">
      <w:start w:val="0"/>
      <w:numFmt w:val="bullet"/>
      <w:lvlText w:val="•"/>
      <w:lvlJc w:val="left"/>
      <w:pPr>
        <w:ind w:left="7636" w:hanging="159"/>
      </w:pPr>
      <w:rPr>
        <w:rFonts w:hint="default"/>
        <w:lang w:val="en-US" w:eastAsia="en-US" w:bidi="en-US"/>
      </w:rPr>
    </w:lvl>
    <w:lvl w:ilvl="7" w:tentative="0">
      <w:start w:val="0"/>
      <w:numFmt w:val="bullet"/>
      <w:lvlText w:val="•"/>
      <w:lvlJc w:val="left"/>
      <w:pPr>
        <w:ind w:left="8244" w:hanging="159"/>
      </w:pPr>
      <w:rPr>
        <w:rFonts w:hint="default"/>
        <w:lang w:val="en-US" w:eastAsia="en-US" w:bidi="en-US"/>
      </w:rPr>
    </w:lvl>
    <w:lvl w:ilvl="8" w:tentative="0">
      <w:start w:val="0"/>
      <w:numFmt w:val="bullet"/>
      <w:lvlText w:val="•"/>
      <w:lvlJc w:val="left"/>
      <w:pPr>
        <w:ind w:left="8851" w:hanging="159"/>
      </w:pPr>
      <w:rPr>
        <w:rFonts w:hint="default"/>
        <w:lang w:val="en-US" w:eastAsia="en-US" w:bidi="en-US"/>
      </w:rPr>
    </w:lvl>
  </w:abstractNum>
  <w:abstractNum w:abstractNumId="82">
    <w:nsid w:val="EA28CC15"/>
    <w:multiLevelType w:val="multilevel"/>
    <w:tmpl w:val="EA28CC15"/>
    <w:lvl w:ilvl="0" w:tentative="0">
      <w:start w:val="1"/>
      <w:numFmt w:val="decimal"/>
      <w:lvlText w:val="%1"/>
      <w:lvlJc w:val="left"/>
      <w:pPr>
        <w:ind w:left="1052" w:hanging="413"/>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970" w:hanging="413"/>
      </w:pPr>
      <w:rPr>
        <w:rFonts w:hint="default"/>
        <w:lang w:val="en-US" w:eastAsia="en-US" w:bidi="en-US"/>
      </w:rPr>
    </w:lvl>
    <w:lvl w:ilvl="2" w:tentative="0">
      <w:start w:val="0"/>
      <w:numFmt w:val="bullet"/>
      <w:lvlText w:val="•"/>
      <w:lvlJc w:val="left"/>
      <w:pPr>
        <w:ind w:left="2881" w:hanging="413"/>
      </w:pPr>
      <w:rPr>
        <w:rFonts w:hint="default"/>
        <w:lang w:val="en-US" w:eastAsia="en-US" w:bidi="en-US"/>
      </w:rPr>
    </w:lvl>
    <w:lvl w:ilvl="3" w:tentative="0">
      <w:start w:val="0"/>
      <w:numFmt w:val="bullet"/>
      <w:lvlText w:val="•"/>
      <w:lvlJc w:val="left"/>
      <w:pPr>
        <w:ind w:left="3791" w:hanging="413"/>
      </w:pPr>
      <w:rPr>
        <w:rFonts w:hint="default"/>
        <w:lang w:val="en-US" w:eastAsia="en-US" w:bidi="en-US"/>
      </w:rPr>
    </w:lvl>
    <w:lvl w:ilvl="4" w:tentative="0">
      <w:start w:val="0"/>
      <w:numFmt w:val="bullet"/>
      <w:lvlText w:val="•"/>
      <w:lvlJc w:val="left"/>
      <w:pPr>
        <w:ind w:left="4702" w:hanging="413"/>
      </w:pPr>
      <w:rPr>
        <w:rFonts w:hint="default"/>
        <w:lang w:val="en-US" w:eastAsia="en-US" w:bidi="en-US"/>
      </w:rPr>
    </w:lvl>
    <w:lvl w:ilvl="5" w:tentative="0">
      <w:start w:val="0"/>
      <w:numFmt w:val="bullet"/>
      <w:lvlText w:val="•"/>
      <w:lvlJc w:val="left"/>
      <w:pPr>
        <w:ind w:left="5613" w:hanging="413"/>
      </w:pPr>
      <w:rPr>
        <w:rFonts w:hint="default"/>
        <w:lang w:val="en-US" w:eastAsia="en-US" w:bidi="en-US"/>
      </w:rPr>
    </w:lvl>
    <w:lvl w:ilvl="6" w:tentative="0">
      <w:start w:val="0"/>
      <w:numFmt w:val="bullet"/>
      <w:lvlText w:val="•"/>
      <w:lvlJc w:val="left"/>
      <w:pPr>
        <w:ind w:left="6523" w:hanging="413"/>
      </w:pPr>
      <w:rPr>
        <w:rFonts w:hint="default"/>
        <w:lang w:val="en-US" w:eastAsia="en-US" w:bidi="en-US"/>
      </w:rPr>
    </w:lvl>
    <w:lvl w:ilvl="7" w:tentative="0">
      <w:start w:val="0"/>
      <w:numFmt w:val="bullet"/>
      <w:lvlText w:val="•"/>
      <w:lvlJc w:val="left"/>
      <w:pPr>
        <w:ind w:left="7434" w:hanging="413"/>
      </w:pPr>
      <w:rPr>
        <w:rFonts w:hint="default"/>
        <w:lang w:val="en-US" w:eastAsia="en-US" w:bidi="en-US"/>
      </w:rPr>
    </w:lvl>
    <w:lvl w:ilvl="8" w:tentative="0">
      <w:start w:val="0"/>
      <w:numFmt w:val="bullet"/>
      <w:lvlText w:val="•"/>
      <w:lvlJc w:val="left"/>
      <w:pPr>
        <w:ind w:left="8344" w:hanging="413"/>
      </w:pPr>
      <w:rPr>
        <w:rFonts w:hint="default"/>
        <w:lang w:val="en-US" w:eastAsia="en-US" w:bidi="en-US"/>
      </w:rPr>
    </w:lvl>
  </w:abstractNum>
  <w:abstractNum w:abstractNumId="83">
    <w:nsid w:val="F066642F"/>
    <w:multiLevelType w:val="multilevel"/>
    <w:tmpl w:val="F066642F"/>
    <w:lvl w:ilvl="0" w:tentative="0">
      <w:start w:val="4"/>
      <w:numFmt w:val="decimal"/>
      <w:lvlText w:val="%1"/>
      <w:lvlJc w:val="left"/>
      <w:pPr>
        <w:ind w:left="1052" w:hanging="840"/>
        <w:jc w:val="left"/>
      </w:pPr>
      <w:rPr>
        <w:rFonts w:hint="default"/>
        <w:lang w:val="en-US" w:eastAsia="en-US" w:bidi="en-US"/>
      </w:rPr>
    </w:lvl>
    <w:lvl w:ilvl="1" w:tentative="0">
      <w:start w:val="3"/>
      <w:numFmt w:val="decimal"/>
      <w:lvlText w:val="%1.%2"/>
      <w:lvlJc w:val="left"/>
      <w:pPr>
        <w:ind w:left="1052" w:hanging="840"/>
        <w:jc w:val="left"/>
      </w:pPr>
      <w:rPr>
        <w:rFonts w:hint="default"/>
        <w:lang w:val="en-US" w:eastAsia="en-US" w:bidi="en-US"/>
      </w:rPr>
    </w:lvl>
    <w:lvl w:ilvl="2" w:tentative="0">
      <w:start w:val="1"/>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212" w:hanging="466"/>
        <w:jc w:val="left"/>
      </w:pPr>
      <w:rPr>
        <w:rFonts w:hint="default" w:ascii="宋体" w:hAnsi="宋体" w:eastAsia="宋体" w:cs="宋体"/>
        <w:w w:val="99"/>
        <w:sz w:val="21"/>
        <w:szCs w:val="21"/>
        <w:lang w:val="en-US" w:eastAsia="en-US" w:bidi="en-US"/>
      </w:rPr>
    </w:lvl>
    <w:lvl w:ilvl="4" w:tentative="0">
      <w:start w:val="0"/>
      <w:numFmt w:val="bullet"/>
      <w:lvlText w:val="•"/>
      <w:lvlJc w:val="left"/>
      <w:pPr>
        <w:ind w:left="4095" w:hanging="466"/>
      </w:pPr>
      <w:rPr>
        <w:rFonts w:hint="default"/>
        <w:lang w:val="en-US" w:eastAsia="en-US" w:bidi="en-US"/>
      </w:rPr>
    </w:lvl>
    <w:lvl w:ilvl="5" w:tentative="0">
      <w:start w:val="0"/>
      <w:numFmt w:val="bullet"/>
      <w:lvlText w:val="•"/>
      <w:lvlJc w:val="left"/>
      <w:pPr>
        <w:ind w:left="5107" w:hanging="466"/>
      </w:pPr>
      <w:rPr>
        <w:rFonts w:hint="default"/>
        <w:lang w:val="en-US" w:eastAsia="en-US" w:bidi="en-US"/>
      </w:rPr>
    </w:lvl>
    <w:lvl w:ilvl="6" w:tentative="0">
      <w:start w:val="0"/>
      <w:numFmt w:val="bullet"/>
      <w:lvlText w:val="•"/>
      <w:lvlJc w:val="left"/>
      <w:pPr>
        <w:ind w:left="6118" w:hanging="466"/>
      </w:pPr>
      <w:rPr>
        <w:rFonts w:hint="default"/>
        <w:lang w:val="en-US" w:eastAsia="en-US" w:bidi="en-US"/>
      </w:rPr>
    </w:lvl>
    <w:lvl w:ilvl="7" w:tentative="0">
      <w:start w:val="0"/>
      <w:numFmt w:val="bullet"/>
      <w:lvlText w:val="•"/>
      <w:lvlJc w:val="left"/>
      <w:pPr>
        <w:ind w:left="7130" w:hanging="466"/>
      </w:pPr>
      <w:rPr>
        <w:rFonts w:hint="default"/>
        <w:lang w:val="en-US" w:eastAsia="en-US" w:bidi="en-US"/>
      </w:rPr>
    </w:lvl>
    <w:lvl w:ilvl="8" w:tentative="0">
      <w:start w:val="0"/>
      <w:numFmt w:val="bullet"/>
      <w:lvlText w:val="•"/>
      <w:lvlJc w:val="left"/>
      <w:pPr>
        <w:ind w:left="8142" w:hanging="466"/>
      </w:pPr>
      <w:rPr>
        <w:rFonts w:hint="default"/>
        <w:lang w:val="en-US" w:eastAsia="en-US" w:bidi="en-US"/>
      </w:rPr>
    </w:lvl>
  </w:abstractNum>
  <w:abstractNum w:abstractNumId="84">
    <w:nsid w:val="F0E89278"/>
    <w:multiLevelType w:val="multilevel"/>
    <w:tmpl w:val="F0E89278"/>
    <w:lvl w:ilvl="0" w:tentative="0">
      <w:start w:val="5"/>
      <w:numFmt w:val="decimal"/>
      <w:lvlText w:val="%1"/>
      <w:lvlJc w:val="left"/>
      <w:pPr>
        <w:ind w:left="1052" w:hanging="840"/>
        <w:jc w:val="left"/>
      </w:pPr>
      <w:rPr>
        <w:rFonts w:hint="default"/>
        <w:lang w:val="en-US" w:eastAsia="en-US" w:bidi="en-US"/>
      </w:rPr>
    </w:lvl>
    <w:lvl w:ilvl="1" w:tentative="0">
      <w:start w:val="1"/>
      <w:numFmt w:val="decimal"/>
      <w:lvlText w:val="%1.%2"/>
      <w:lvlJc w:val="left"/>
      <w:pPr>
        <w:ind w:left="1052" w:hanging="840"/>
        <w:jc w:val="left"/>
      </w:pPr>
      <w:rPr>
        <w:rFonts w:hint="default"/>
        <w:lang w:val="en-US" w:eastAsia="en-US" w:bidi="en-US"/>
      </w:rPr>
    </w:lvl>
    <w:lvl w:ilvl="2" w:tentative="0">
      <w:start w:val="1"/>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791" w:hanging="840"/>
      </w:pPr>
      <w:rPr>
        <w:rFonts w:hint="default"/>
        <w:lang w:val="en-US" w:eastAsia="en-US" w:bidi="en-US"/>
      </w:rPr>
    </w:lvl>
    <w:lvl w:ilvl="4" w:tentative="0">
      <w:start w:val="0"/>
      <w:numFmt w:val="bullet"/>
      <w:lvlText w:val="•"/>
      <w:lvlJc w:val="left"/>
      <w:pPr>
        <w:ind w:left="4702" w:hanging="840"/>
      </w:pPr>
      <w:rPr>
        <w:rFonts w:hint="default"/>
        <w:lang w:val="en-US" w:eastAsia="en-US" w:bidi="en-US"/>
      </w:rPr>
    </w:lvl>
    <w:lvl w:ilvl="5" w:tentative="0">
      <w:start w:val="0"/>
      <w:numFmt w:val="bullet"/>
      <w:lvlText w:val="•"/>
      <w:lvlJc w:val="left"/>
      <w:pPr>
        <w:ind w:left="5613" w:hanging="840"/>
      </w:pPr>
      <w:rPr>
        <w:rFonts w:hint="default"/>
        <w:lang w:val="en-US" w:eastAsia="en-US" w:bidi="en-US"/>
      </w:rPr>
    </w:lvl>
    <w:lvl w:ilvl="6" w:tentative="0">
      <w:start w:val="0"/>
      <w:numFmt w:val="bullet"/>
      <w:lvlText w:val="•"/>
      <w:lvlJc w:val="left"/>
      <w:pPr>
        <w:ind w:left="6523" w:hanging="840"/>
      </w:pPr>
      <w:rPr>
        <w:rFonts w:hint="default"/>
        <w:lang w:val="en-US" w:eastAsia="en-US" w:bidi="en-US"/>
      </w:rPr>
    </w:lvl>
    <w:lvl w:ilvl="7" w:tentative="0">
      <w:start w:val="0"/>
      <w:numFmt w:val="bullet"/>
      <w:lvlText w:val="•"/>
      <w:lvlJc w:val="left"/>
      <w:pPr>
        <w:ind w:left="7434" w:hanging="840"/>
      </w:pPr>
      <w:rPr>
        <w:rFonts w:hint="default"/>
        <w:lang w:val="en-US" w:eastAsia="en-US" w:bidi="en-US"/>
      </w:rPr>
    </w:lvl>
    <w:lvl w:ilvl="8" w:tentative="0">
      <w:start w:val="0"/>
      <w:numFmt w:val="bullet"/>
      <w:lvlText w:val="•"/>
      <w:lvlJc w:val="left"/>
      <w:pPr>
        <w:ind w:left="8344" w:hanging="840"/>
      </w:pPr>
      <w:rPr>
        <w:rFonts w:hint="default"/>
        <w:lang w:val="en-US" w:eastAsia="en-US" w:bidi="en-US"/>
      </w:rPr>
    </w:lvl>
  </w:abstractNum>
  <w:abstractNum w:abstractNumId="85">
    <w:nsid w:val="F1FCDEFA"/>
    <w:multiLevelType w:val="multilevel"/>
    <w:tmpl w:val="F1FCDEFA"/>
    <w:lvl w:ilvl="0" w:tentative="0">
      <w:start w:val="1"/>
      <w:numFmt w:val="decimal"/>
      <w:lvlText w:val="%1"/>
      <w:lvlJc w:val="left"/>
      <w:pPr>
        <w:ind w:left="2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214" w:hanging="420"/>
      </w:pPr>
      <w:rPr>
        <w:rFonts w:hint="default"/>
        <w:lang w:val="en-US" w:eastAsia="en-US" w:bidi="en-US"/>
      </w:rPr>
    </w:lvl>
    <w:lvl w:ilvl="2" w:tentative="0">
      <w:start w:val="0"/>
      <w:numFmt w:val="bullet"/>
      <w:lvlText w:val="•"/>
      <w:lvlJc w:val="left"/>
      <w:pPr>
        <w:ind w:left="2209" w:hanging="420"/>
      </w:pPr>
      <w:rPr>
        <w:rFonts w:hint="default"/>
        <w:lang w:val="en-US" w:eastAsia="en-US" w:bidi="en-US"/>
      </w:rPr>
    </w:lvl>
    <w:lvl w:ilvl="3" w:tentative="0">
      <w:start w:val="0"/>
      <w:numFmt w:val="bullet"/>
      <w:lvlText w:val="•"/>
      <w:lvlJc w:val="left"/>
      <w:pPr>
        <w:ind w:left="3203" w:hanging="420"/>
      </w:pPr>
      <w:rPr>
        <w:rFonts w:hint="default"/>
        <w:lang w:val="en-US" w:eastAsia="en-US" w:bidi="en-US"/>
      </w:rPr>
    </w:lvl>
    <w:lvl w:ilvl="4" w:tentative="0">
      <w:start w:val="0"/>
      <w:numFmt w:val="bullet"/>
      <w:lvlText w:val="•"/>
      <w:lvlJc w:val="left"/>
      <w:pPr>
        <w:ind w:left="4198" w:hanging="420"/>
      </w:pPr>
      <w:rPr>
        <w:rFonts w:hint="default"/>
        <w:lang w:val="en-US" w:eastAsia="en-US" w:bidi="en-US"/>
      </w:rPr>
    </w:lvl>
    <w:lvl w:ilvl="5" w:tentative="0">
      <w:start w:val="0"/>
      <w:numFmt w:val="bullet"/>
      <w:lvlText w:val="•"/>
      <w:lvlJc w:val="left"/>
      <w:pPr>
        <w:ind w:left="5193" w:hanging="420"/>
      </w:pPr>
      <w:rPr>
        <w:rFonts w:hint="default"/>
        <w:lang w:val="en-US" w:eastAsia="en-US" w:bidi="en-US"/>
      </w:rPr>
    </w:lvl>
    <w:lvl w:ilvl="6" w:tentative="0">
      <w:start w:val="0"/>
      <w:numFmt w:val="bullet"/>
      <w:lvlText w:val="•"/>
      <w:lvlJc w:val="left"/>
      <w:pPr>
        <w:ind w:left="6187" w:hanging="420"/>
      </w:pPr>
      <w:rPr>
        <w:rFonts w:hint="default"/>
        <w:lang w:val="en-US" w:eastAsia="en-US" w:bidi="en-US"/>
      </w:rPr>
    </w:lvl>
    <w:lvl w:ilvl="7" w:tentative="0">
      <w:start w:val="0"/>
      <w:numFmt w:val="bullet"/>
      <w:lvlText w:val="•"/>
      <w:lvlJc w:val="left"/>
      <w:pPr>
        <w:ind w:left="7182" w:hanging="420"/>
      </w:pPr>
      <w:rPr>
        <w:rFonts w:hint="default"/>
        <w:lang w:val="en-US" w:eastAsia="en-US" w:bidi="en-US"/>
      </w:rPr>
    </w:lvl>
    <w:lvl w:ilvl="8" w:tentative="0">
      <w:start w:val="0"/>
      <w:numFmt w:val="bullet"/>
      <w:lvlText w:val="•"/>
      <w:lvlJc w:val="left"/>
      <w:pPr>
        <w:ind w:left="8176" w:hanging="420"/>
      </w:pPr>
      <w:rPr>
        <w:rFonts w:hint="default"/>
        <w:lang w:val="en-US" w:eastAsia="en-US" w:bidi="en-US"/>
      </w:rPr>
    </w:lvl>
  </w:abstractNum>
  <w:abstractNum w:abstractNumId="86">
    <w:nsid w:val="F237ACA1"/>
    <w:multiLevelType w:val="multilevel"/>
    <w:tmpl w:val="F237ACA1"/>
    <w:lvl w:ilvl="0" w:tentative="0">
      <w:start w:val="5"/>
      <w:numFmt w:val="upperRoman"/>
      <w:lvlText w:val="%1"/>
      <w:lvlJc w:val="left"/>
      <w:pPr>
        <w:ind w:left="4585" w:hanging="156"/>
        <w:jc w:val="right"/>
      </w:pPr>
      <w:rPr>
        <w:rFonts w:hint="default" w:ascii="黑体" w:hAnsi="黑体" w:eastAsia="黑体" w:cs="黑体"/>
        <w:w w:val="99"/>
        <w:sz w:val="21"/>
        <w:szCs w:val="21"/>
        <w:lang w:val="en-US" w:eastAsia="en-US" w:bidi="en-US"/>
      </w:rPr>
    </w:lvl>
    <w:lvl w:ilvl="1" w:tentative="0">
      <w:start w:val="0"/>
      <w:numFmt w:val="bullet"/>
      <w:lvlText w:val="•"/>
      <w:lvlJc w:val="left"/>
      <w:pPr>
        <w:ind w:left="5138" w:hanging="156"/>
      </w:pPr>
      <w:rPr>
        <w:rFonts w:hint="default"/>
        <w:lang w:val="en-US" w:eastAsia="en-US" w:bidi="en-US"/>
      </w:rPr>
    </w:lvl>
    <w:lvl w:ilvl="2" w:tentative="0">
      <w:start w:val="0"/>
      <w:numFmt w:val="bullet"/>
      <w:lvlText w:val="•"/>
      <w:lvlJc w:val="left"/>
      <w:pPr>
        <w:ind w:left="5697" w:hanging="156"/>
      </w:pPr>
      <w:rPr>
        <w:rFonts w:hint="default"/>
        <w:lang w:val="en-US" w:eastAsia="en-US" w:bidi="en-US"/>
      </w:rPr>
    </w:lvl>
    <w:lvl w:ilvl="3" w:tentative="0">
      <w:start w:val="0"/>
      <w:numFmt w:val="bullet"/>
      <w:lvlText w:val="•"/>
      <w:lvlJc w:val="left"/>
      <w:pPr>
        <w:ind w:left="6255" w:hanging="156"/>
      </w:pPr>
      <w:rPr>
        <w:rFonts w:hint="default"/>
        <w:lang w:val="en-US" w:eastAsia="en-US" w:bidi="en-US"/>
      </w:rPr>
    </w:lvl>
    <w:lvl w:ilvl="4" w:tentative="0">
      <w:start w:val="0"/>
      <w:numFmt w:val="bullet"/>
      <w:lvlText w:val="•"/>
      <w:lvlJc w:val="left"/>
      <w:pPr>
        <w:ind w:left="6814" w:hanging="156"/>
      </w:pPr>
      <w:rPr>
        <w:rFonts w:hint="default"/>
        <w:lang w:val="en-US" w:eastAsia="en-US" w:bidi="en-US"/>
      </w:rPr>
    </w:lvl>
    <w:lvl w:ilvl="5" w:tentative="0">
      <w:start w:val="0"/>
      <w:numFmt w:val="bullet"/>
      <w:lvlText w:val="•"/>
      <w:lvlJc w:val="left"/>
      <w:pPr>
        <w:ind w:left="7373" w:hanging="156"/>
      </w:pPr>
      <w:rPr>
        <w:rFonts w:hint="default"/>
        <w:lang w:val="en-US" w:eastAsia="en-US" w:bidi="en-US"/>
      </w:rPr>
    </w:lvl>
    <w:lvl w:ilvl="6" w:tentative="0">
      <w:start w:val="0"/>
      <w:numFmt w:val="bullet"/>
      <w:lvlText w:val="•"/>
      <w:lvlJc w:val="left"/>
      <w:pPr>
        <w:ind w:left="7931" w:hanging="156"/>
      </w:pPr>
      <w:rPr>
        <w:rFonts w:hint="default"/>
        <w:lang w:val="en-US" w:eastAsia="en-US" w:bidi="en-US"/>
      </w:rPr>
    </w:lvl>
    <w:lvl w:ilvl="7" w:tentative="0">
      <w:start w:val="0"/>
      <w:numFmt w:val="bullet"/>
      <w:lvlText w:val="•"/>
      <w:lvlJc w:val="left"/>
      <w:pPr>
        <w:ind w:left="8490" w:hanging="156"/>
      </w:pPr>
      <w:rPr>
        <w:rFonts w:hint="default"/>
        <w:lang w:val="en-US" w:eastAsia="en-US" w:bidi="en-US"/>
      </w:rPr>
    </w:lvl>
    <w:lvl w:ilvl="8" w:tentative="0">
      <w:start w:val="0"/>
      <w:numFmt w:val="bullet"/>
      <w:lvlText w:val="•"/>
      <w:lvlJc w:val="left"/>
      <w:pPr>
        <w:ind w:left="9048" w:hanging="156"/>
      </w:pPr>
      <w:rPr>
        <w:rFonts w:hint="default"/>
        <w:lang w:val="en-US" w:eastAsia="en-US" w:bidi="en-US"/>
      </w:rPr>
    </w:lvl>
  </w:abstractNum>
  <w:abstractNum w:abstractNumId="87">
    <w:nsid w:val="F2A81E1A"/>
    <w:multiLevelType w:val="multilevel"/>
    <w:tmpl w:val="F2A81E1A"/>
    <w:lvl w:ilvl="0" w:tentative="0">
      <w:start w:val="2"/>
      <w:numFmt w:val="decimal"/>
      <w:lvlText w:val="%1"/>
      <w:lvlJc w:val="left"/>
      <w:pPr>
        <w:ind w:left="2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214" w:hanging="420"/>
      </w:pPr>
      <w:rPr>
        <w:rFonts w:hint="default"/>
        <w:lang w:val="en-US" w:eastAsia="en-US" w:bidi="en-US"/>
      </w:rPr>
    </w:lvl>
    <w:lvl w:ilvl="2" w:tentative="0">
      <w:start w:val="0"/>
      <w:numFmt w:val="bullet"/>
      <w:lvlText w:val="•"/>
      <w:lvlJc w:val="left"/>
      <w:pPr>
        <w:ind w:left="2209" w:hanging="420"/>
      </w:pPr>
      <w:rPr>
        <w:rFonts w:hint="default"/>
        <w:lang w:val="en-US" w:eastAsia="en-US" w:bidi="en-US"/>
      </w:rPr>
    </w:lvl>
    <w:lvl w:ilvl="3" w:tentative="0">
      <w:start w:val="0"/>
      <w:numFmt w:val="bullet"/>
      <w:lvlText w:val="•"/>
      <w:lvlJc w:val="left"/>
      <w:pPr>
        <w:ind w:left="3203" w:hanging="420"/>
      </w:pPr>
      <w:rPr>
        <w:rFonts w:hint="default"/>
        <w:lang w:val="en-US" w:eastAsia="en-US" w:bidi="en-US"/>
      </w:rPr>
    </w:lvl>
    <w:lvl w:ilvl="4" w:tentative="0">
      <w:start w:val="0"/>
      <w:numFmt w:val="bullet"/>
      <w:lvlText w:val="•"/>
      <w:lvlJc w:val="left"/>
      <w:pPr>
        <w:ind w:left="4198" w:hanging="420"/>
      </w:pPr>
      <w:rPr>
        <w:rFonts w:hint="default"/>
        <w:lang w:val="en-US" w:eastAsia="en-US" w:bidi="en-US"/>
      </w:rPr>
    </w:lvl>
    <w:lvl w:ilvl="5" w:tentative="0">
      <w:start w:val="0"/>
      <w:numFmt w:val="bullet"/>
      <w:lvlText w:val="•"/>
      <w:lvlJc w:val="left"/>
      <w:pPr>
        <w:ind w:left="5193" w:hanging="420"/>
      </w:pPr>
      <w:rPr>
        <w:rFonts w:hint="default"/>
        <w:lang w:val="en-US" w:eastAsia="en-US" w:bidi="en-US"/>
      </w:rPr>
    </w:lvl>
    <w:lvl w:ilvl="6" w:tentative="0">
      <w:start w:val="0"/>
      <w:numFmt w:val="bullet"/>
      <w:lvlText w:val="•"/>
      <w:lvlJc w:val="left"/>
      <w:pPr>
        <w:ind w:left="6187" w:hanging="420"/>
      </w:pPr>
      <w:rPr>
        <w:rFonts w:hint="default"/>
        <w:lang w:val="en-US" w:eastAsia="en-US" w:bidi="en-US"/>
      </w:rPr>
    </w:lvl>
    <w:lvl w:ilvl="7" w:tentative="0">
      <w:start w:val="0"/>
      <w:numFmt w:val="bullet"/>
      <w:lvlText w:val="•"/>
      <w:lvlJc w:val="left"/>
      <w:pPr>
        <w:ind w:left="7182" w:hanging="420"/>
      </w:pPr>
      <w:rPr>
        <w:rFonts w:hint="default"/>
        <w:lang w:val="en-US" w:eastAsia="en-US" w:bidi="en-US"/>
      </w:rPr>
    </w:lvl>
    <w:lvl w:ilvl="8" w:tentative="0">
      <w:start w:val="0"/>
      <w:numFmt w:val="bullet"/>
      <w:lvlText w:val="•"/>
      <w:lvlJc w:val="left"/>
      <w:pPr>
        <w:ind w:left="8176" w:hanging="420"/>
      </w:pPr>
      <w:rPr>
        <w:rFonts w:hint="default"/>
        <w:lang w:val="en-US" w:eastAsia="en-US" w:bidi="en-US"/>
      </w:rPr>
    </w:lvl>
  </w:abstractNum>
  <w:abstractNum w:abstractNumId="88">
    <w:nsid w:val="F30FC083"/>
    <w:multiLevelType w:val="multilevel"/>
    <w:tmpl w:val="F30FC083"/>
    <w:lvl w:ilvl="0" w:tentative="0">
      <w:start w:val="7"/>
      <w:numFmt w:val="decimal"/>
      <w:lvlText w:val="%1"/>
      <w:lvlJc w:val="left"/>
      <w:pPr>
        <w:ind w:left="4500" w:hanging="420"/>
        <w:jc w:val="left"/>
      </w:pPr>
      <w:rPr>
        <w:rFonts w:hint="default" w:ascii="宋体" w:hAnsi="宋体" w:eastAsia="宋体" w:cs="宋体"/>
        <w:b/>
        <w:bCs/>
        <w:w w:val="98"/>
        <w:sz w:val="32"/>
        <w:szCs w:val="32"/>
        <w:lang w:val="en-US" w:eastAsia="en-US" w:bidi="en-US"/>
      </w:rPr>
    </w:lvl>
    <w:lvl w:ilvl="1" w:tentative="0">
      <w:start w:val="1"/>
      <w:numFmt w:val="decimal"/>
      <w:lvlText w:val="%1.%2"/>
      <w:lvlJc w:val="left"/>
      <w:pPr>
        <w:ind w:left="4723" w:hanging="420"/>
        <w:jc w:val="left"/>
      </w:pPr>
      <w:rPr>
        <w:rFonts w:hint="default" w:ascii="宋体" w:hAnsi="宋体" w:eastAsia="宋体" w:cs="宋体"/>
        <w:b/>
        <w:bCs/>
        <w:spacing w:val="0"/>
        <w:w w:val="98"/>
        <w:sz w:val="21"/>
        <w:szCs w:val="21"/>
        <w:lang w:val="en-US" w:eastAsia="en-US" w:bidi="en-US"/>
      </w:rPr>
    </w:lvl>
    <w:lvl w:ilvl="2" w:tentative="0">
      <w:start w:val="0"/>
      <w:numFmt w:val="bullet"/>
      <w:lvlText w:val="•"/>
      <w:lvlJc w:val="left"/>
      <w:pPr>
        <w:ind w:left="5294" w:hanging="420"/>
      </w:pPr>
      <w:rPr>
        <w:rFonts w:hint="default"/>
        <w:lang w:val="en-US" w:eastAsia="en-US" w:bidi="en-US"/>
      </w:rPr>
    </w:lvl>
    <w:lvl w:ilvl="3" w:tentative="0">
      <w:start w:val="0"/>
      <w:numFmt w:val="bullet"/>
      <w:lvlText w:val="•"/>
      <w:lvlJc w:val="left"/>
      <w:pPr>
        <w:ind w:left="5868" w:hanging="420"/>
      </w:pPr>
      <w:rPr>
        <w:rFonts w:hint="default"/>
        <w:lang w:val="en-US" w:eastAsia="en-US" w:bidi="en-US"/>
      </w:rPr>
    </w:lvl>
    <w:lvl w:ilvl="4" w:tentative="0">
      <w:start w:val="0"/>
      <w:numFmt w:val="bullet"/>
      <w:lvlText w:val="•"/>
      <w:lvlJc w:val="left"/>
      <w:pPr>
        <w:ind w:left="6442" w:hanging="420"/>
      </w:pPr>
      <w:rPr>
        <w:rFonts w:hint="default"/>
        <w:lang w:val="en-US" w:eastAsia="en-US" w:bidi="en-US"/>
      </w:rPr>
    </w:lvl>
    <w:lvl w:ilvl="5" w:tentative="0">
      <w:start w:val="0"/>
      <w:numFmt w:val="bullet"/>
      <w:lvlText w:val="•"/>
      <w:lvlJc w:val="left"/>
      <w:pPr>
        <w:ind w:left="7016" w:hanging="420"/>
      </w:pPr>
      <w:rPr>
        <w:rFonts w:hint="default"/>
        <w:lang w:val="en-US" w:eastAsia="en-US" w:bidi="en-US"/>
      </w:rPr>
    </w:lvl>
    <w:lvl w:ilvl="6" w:tentative="0">
      <w:start w:val="0"/>
      <w:numFmt w:val="bullet"/>
      <w:lvlText w:val="•"/>
      <w:lvlJc w:val="left"/>
      <w:pPr>
        <w:ind w:left="7590" w:hanging="420"/>
      </w:pPr>
      <w:rPr>
        <w:rFonts w:hint="default"/>
        <w:lang w:val="en-US" w:eastAsia="en-US" w:bidi="en-US"/>
      </w:rPr>
    </w:lvl>
    <w:lvl w:ilvl="7" w:tentative="0">
      <w:start w:val="0"/>
      <w:numFmt w:val="bullet"/>
      <w:lvlText w:val="•"/>
      <w:lvlJc w:val="left"/>
      <w:pPr>
        <w:ind w:left="8164" w:hanging="420"/>
      </w:pPr>
      <w:rPr>
        <w:rFonts w:hint="default"/>
        <w:lang w:val="en-US" w:eastAsia="en-US" w:bidi="en-US"/>
      </w:rPr>
    </w:lvl>
    <w:lvl w:ilvl="8" w:tentative="0">
      <w:start w:val="0"/>
      <w:numFmt w:val="bullet"/>
      <w:lvlText w:val="•"/>
      <w:lvlJc w:val="left"/>
      <w:pPr>
        <w:ind w:left="8738" w:hanging="420"/>
      </w:pPr>
      <w:rPr>
        <w:rFonts w:hint="default"/>
        <w:lang w:val="en-US" w:eastAsia="en-US" w:bidi="en-US"/>
      </w:rPr>
    </w:lvl>
  </w:abstractNum>
  <w:abstractNum w:abstractNumId="89">
    <w:nsid w:val="F3A33954"/>
    <w:multiLevelType w:val="multilevel"/>
    <w:tmpl w:val="F3A33954"/>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90">
    <w:nsid w:val="F46CCC20"/>
    <w:multiLevelType w:val="multilevel"/>
    <w:tmpl w:val="F46CCC20"/>
    <w:lvl w:ilvl="0" w:tentative="0">
      <w:start w:val="4"/>
      <w:numFmt w:val="decimal"/>
      <w:lvlText w:val="%1"/>
      <w:lvlJc w:val="left"/>
      <w:pPr>
        <w:ind w:left="1052" w:hanging="840"/>
        <w:jc w:val="left"/>
      </w:pPr>
      <w:rPr>
        <w:rFonts w:hint="default"/>
        <w:lang w:val="en-US" w:eastAsia="en-US" w:bidi="en-US"/>
      </w:rPr>
    </w:lvl>
    <w:lvl w:ilvl="1" w:tentative="0">
      <w:start w:val="1"/>
      <w:numFmt w:val="decimal"/>
      <w:lvlText w:val="%1.%2"/>
      <w:lvlJc w:val="left"/>
      <w:pPr>
        <w:ind w:left="1052" w:hanging="840"/>
        <w:jc w:val="left"/>
      </w:pPr>
      <w:rPr>
        <w:rFonts w:hint="default"/>
        <w:lang w:val="en-US" w:eastAsia="en-US" w:bidi="en-US"/>
      </w:rPr>
    </w:lvl>
    <w:lvl w:ilvl="2" w:tentative="0">
      <w:start w:val="16"/>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212" w:hanging="420"/>
        <w:jc w:val="left"/>
      </w:pPr>
      <w:rPr>
        <w:rFonts w:hint="default" w:ascii="宋体" w:hAnsi="宋体" w:eastAsia="宋体" w:cs="宋体"/>
        <w:w w:val="99"/>
        <w:sz w:val="21"/>
        <w:szCs w:val="21"/>
        <w:lang w:val="en-US" w:eastAsia="en-US" w:bidi="en-US"/>
      </w:rPr>
    </w:lvl>
    <w:lvl w:ilvl="4" w:tentative="0">
      <w:start w:val="0"/>
      <w:numFmt w:val="bullet"/>
      <w:lvlText w:val="•"/>
      <w:lvlJc w:val="left"/>
      <w:pPr>
        <w:ind w:left="4095" w:hanging="420"/>
      </w:pPr>
      <w:rPr>
        <w:rFonts w:hint="default"/>
        <w:lang w:val="en-US" w:eastAsia="en-US" w:bidi="en-US"/>
      </w:rPr>
    </w:lvl>
    <w:lvl w:ilvl="5" w:tentative="0">
      <w:start w:val="0"/>
      <w:numFmt w:val="bullet"/>
      <w:lvlText w:val="•"/>
      <w:lvlJc w:val="left"/>
      <w:pPr>
        <w:ind w:left="5107" w:hanging="420"/>
      </w:pPr>
      <w:rPr>
        <w:rFonts w:hint="default"/>
        <w:lang w:val="en-US" w:eastAsia="en-US" w:bidi="en-US"/>
      </w:rPr>
    </w:lvl>
    <w:lvl w:ilvl="6" w:tentative="0">
      <w:start w:val="0"/>
      <w:numFmt w:val="bullet"/>
      <w:lvlText w:val="•"/>
      <w:lvlJc w:val="left"/>
      <w:pPr>
        <w:ind w:left="6118" w:hanging="420"/>
      </w:pPr>
      <w:rPr>
        <w:rFonts w:hint="default"/>
        <w:lang w:val="en-US" w:eastAsia="en-US" w:bidi="en-US"/>
      </w:rPr>
    </w:lvl>
    <w:lvl w:ilvl="7" w:tentative="0">
      <w:start w:val="0"/>
      <w:numFmt w:val="bullet"/>
      <w:lvlText w:val="•"/>
      <w:lvlJc w:val="left"/>
      <w:pPr>
        <w:ind w:left="7130" w:hanging="420"/>
      </w:pPr>
      <w:rPr>
        <w:rFonts w:hint="default"/>
        <w:lang w:val="en-US" w:eastAsia="en-US" w:bidi="en-US"/>
      </w:rPr>
    </w:lvl>
    <w:lvl w:ilvl="8" w:tentative="0">
      <w:start w:val="0"/>
      <w:numFmt w:val="bullet"/>
      <w:lvlText w:val="•"/>
      <w:lvlJc w:val="left"/>
      <w:pPr>
        <w:ind w:left="8142" w:hanging="420"/>
      </w:pPr>
      <w:rPr>
        <w:rFonts w:hint="default"/>
        <w:lang w:val="en-US" w:eastAsia="en-US" w:bidi="en-US"/>
      </w:rPr>
    </w:lvl>
  </w:abstractNum>
  <w:abstractNum w:abstractNumId="91">
    <w:nsid w:val="F4A942FE"/>
    <w:multiLevelType w:val="multilevel"/>
    <w:tmpl w:val="F4A942FE"/>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92">
    <w:nsid w:val="F4B5D9F5"/>
    <w:multiLevelType w:val="multilevel"/>
    <w:tmpl w:val="F4B5D9F5"/>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93">
    <w:nsid w:val="F585BF25"/>
    <w:multiLevelType w:val="multilevel"/>
    <w:tmpl w:val="F585BF25"/>
    <w:lvl w:ilvl="0" w:tentative="0">
      <w:start w:val="8"/>
      <w:numFmt w:val="decimal"/>
      <w:lvlText w:val="%1"/>
      <w:lvlJc w:val="left"/>
      <w:pPr>
        <w:ind w:left="212" w:hanging="840"/>
        <w:jc w:val="left"/>
      </w:pPr>
      <w:rPr>
        <w:rFonts w:hint="default"/>
        <w:lang w:val="en-US" w:eastAsia="en-US" w:bidi="en-US"/>
      </w:rPr>
    </w:lvl>
    <w:lvl w:ilvl="1" w:tentative="0">
      <w:start w:val="3"/>
      <w:numFmt w:val="decimal"/>
      <w:lvlText w:val="%1.%2"/>
      <w:lvlJc w:val="left"/>
      <w:pPr>
        <w:ind w:left="212" w:hanging="840"/>
        <w:jc w:val="left"/>
      </w:pPr>
      <w:rPr>
        <w:rFonts w:hint="default"/>
        <w:lang w:val="en-US" w:eastAsia="en-US" w:bidi="en-US"/>
      </w:rPr>
    </w:lvl>
    <w:lvl w:ilvl="2" w:tentative="0">
      <w:start w:val="1"/>
      <w:numFmt w:val="decimal"/>
      <w:lvlText w:val="%1.%2.%3"/>
      <w:lvlJc w:val="left"/>
      <w:pPr>
        <w:ind w:left="21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212" w:hanging="416"/>
        <w:jc w:val="left"/>
      </w:pPr>
      <w:rPr>
        <w:rFonts w:hint="default" w:ascii="宋体" w:hAnsi="宋体" w:eastAsia="宋体" w:cs="宋体"/>
        <w:b/>
        <w:bCs/>
        <w:w w:val="98"/>
        <w:sz w:val="21"/>
        <w:szCs w:val="21"/>
        <w:lang w:val="en-US" w:eastAsia="en-US" w:bidi="en-US"/>
      </w:rPr>
    </w:lvl>
    <w:lvl w:ilvl="4" w:tentative="0">
      <w:start w:val="0"/>
      <w:numFmt w:val="bullet"/>
      <w:lvlText w:val="•"/>
      <w:lvlJc w:val="left"/>
      <w:pPr>
        <w:ind w:left="4198" w:hanging="416"/>
      </w:pPr>
      <w:rPr>
        <w:rFonts w:hint="default"/>
        <w:lang w:val="en-US" w:eastAsia="en-US" w:bidi="en-US"/>
      </w:rPr>
    </w:lvl>
    <w:lvl w:ilvl="5" w:tentative="0">
      <w:start w:val="0"/>
      <w:numFmt w:val="bullet"/>
      <w:lvlText w:val="•"/>
      <w:lvlJc w:val="left"/>
      <w:pPr>
        <w:ind w:left="5193" w:hanging="416"/>
      </w:pPr>
      <w:rPr>
        <w:rFonts w:hint="default"/>
        <w:lang w:val="en-US" w:eastAsia="en-US" w:bidi="en-US"/>
      </w:rPr>
    </w:lvl>
    <w:lvl w:ilvl="6" w:tentative="0">
      <w:start w:val="0"/>
      <w:numFmt w:val="bullet"/>
      <w:lvlText w:val="•"/>
      <w:lvlJc w:val="left"/>
      <w:pPr>
        <w:ind w:left="6187" w:hanging="416"/>
      </w:pPr>
      <w:rPr>
        <w:rFonts w:hint="default"/>
        <w:lang w:val="en-US" w:eastAsia="en-US" w:bidi="en-US"/>
      </w:rPr>
    </w:lvl>
    <w:lvl w:ilvl="7" w:tentative="0">
      <w:start w:val="0"/>
      <w:numFmt w:val="bullet"/>
      <w:lvlText w:val="•"/>
      <w:lvlJc w:val="left"/>
      <w:pPr>
        <w:ind w:left="7182" w:hanging="416"/>
      </w:pPr>
      <w:rPr>
        <w:rFonts w:hint="default"/>
        <w:lang w:val="en-US" w:eastAsia="en-US" w:bidi="en-US"/>
      </w:rPr>
    </w:lvl>
    <w:lvl w:ilvl="8" w:tentative="0">
      <w:start w:val="0"/>
      <w:numFmt w:val="bullet"/>
      <w:lvlText w:val="•"/>
      <w:lvlJc w:val="left"/>
      <w:pPr>
        <w:ind w:left="8176" w:hanging="416"/>
      </w:pPr>
      <w:rPr>
        <w:rFonts w:hint="default"/>
        <w:lang w:val="en-US" w:eastAsia="en-US" w:bidi="en-US"/>
      </w:rPr>
    </w:lvl>
  </w:abstractNum>
  <w:abstractNum w:abstractNumId="94">
    <w:nsid w:val="F689643B"/>
    <w:multiLevelType w:val="multilevel"/>
    <w:tmpl w:val="F689643B"/>
    <w:lvl w:ilvl="0" w:tentative="0">
      <w:start w:val="5"/>
      <w:numFmt w:val="decimal"/>
      <w:lvlText w:val="%1"/>
      <w:lvlJc w:val="left"/>
      <w:pPr>
        <w:ind w:left="1052" w:hanging="840"/>
        <w:jc w:val="left"/>
      </w:pPr>
      <w:rPr>
        <w:rFonts w:hint="default"/>
        <w:lang w:val="en-US" w:eastAsia="en-US" w:bidi="en-US"/>
      </w:rPr>
    </w:lvl>
    <w:lvl w:ilvl="1" w:tentative="0">
      <w:start w:val="5"/>
      <w:numFmt w:val="decimal"/>
      <w:lvlText w:val="%1.%2"/>
      <w:lvlJc w:val="left"/>
      <w:pPr>
        <w:ind w:left="1052" w:hanging="840"/>
        <w:jc w:val="left"/>
      </w:pPr>
      <w:rPr>
        <w:rFonts w:hint="default"/>
        <w:lang w:val="en-US" w:eastAsia="en-US" w:bidi="en-US"/>
      </w:rPr>
    </w:lvl>
    <w:lvl w:ilvl="2" w:tentative="0">
      <w:start w:val="1"/>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791" w:hanging="840"/>
      </w:pPr>
      <w:rPr>
        <w:rFonts w:hint="default"/>
        <w:lang w:val="en-US" w:eastAsia="en-US" w:bidi="en-US"/>
      </w:rPr>
    </w:lvl>
    <w:lvl w:ilvl="4" w:tentative="0">
      <w:start w:val="0"/>
      <w:numFmt w:val="bullet"/>
      <w:lvlText w:val="•"/>
      <w:lvlJc w:val="left"/>
      <w:pPr>
        <w:ind w:left="4702" w:hanging="840"/>
      </w:pPr>
      <w:rPr>
        <w:rFonts w:hint="default"/>
        <w:lang w:val="en-US" w:eastAsia="en-US" w:bidi="en-US"/>
      </w:rPr>
    </w:lvl>
    <w:lvl w:ilvl="5" w:tentative="0">
      <w:start w:val="0"/>
      <w:numFmt w:val="bullet"/>
      <w:lvlText w:val="•"/>
      <w:lvlJc w:val="left"/>
      <w:pPr>
        <w:ind w:left="5613" w:hanging="840"/>
      </w:pPr>
      <w:rPr>
        <w:rFonts w:hint="default"/>
        <w:lang w:val="en-US" w:eastAsia="en-US" w:bidi="en-US"/>
      </w:rPr>
    </w:lvl>
    <w:lvl w:ilvl="6" w:tentative="0">
      <w:start w:val="0"/>
      <w:numFmt w:val="bullet"/>
      <w:lvlText w:val="•"/>
      <w:lvlJc w:val="left"/>
      <w:pPr>
        <w:ind w:left="6523" w:hanging="840"/>
      </w:pPr>
      <w:rPr>
        <w:rFonts w:hint="default"/>
        <w:lang w:val="en-US" w:eastAsia="en-US" w:bidi="en-US"/>
      </w:rPr>
    </w:lvl>
    <w:lvl w:ilvl="7" w:tentative="0">
      <w:start w:val="0"/>
      <w:numFmt w:val="bullet"/>
      <w:lvlText w:val="•"/>
      <w:lvlJc w:val="left"/>
      <w:pPr>
        <w:ind w:left="7434" w:hanging="840"/>
      </w:pPr>
      <w:rPr>
        <w:rFonts w:hint="default"/>
        <w:lang w:val="en-US" w:eastAsia="en-US" w:bidi="en-US"/>
      </w:rPr>
    </w:lvl>
    <w:lvl w:ilvl="8" w:tentative="0">
      <w:start w:val="0"/>
      <w:numFmt w:val="bullet"/>
      <w:lvlText w:val="•"/>
      <w:lvlJc w:val="left"/>
      <w:pPr>
        <w:ind w:left="8344" w:hanging="840"/>
      </w:pPr>
      <w:rPr>
        <w:rFonts w:hint="default"/>
        <w:lang w:val="en-US" w:eastAsia="en-US" w:bidi="en-US"/>
      </w:rPr>
    </w:lvl>
  </w:abstractNum>
  <w:abstractNum w:abstractNumId="95">
    <w:nsid w:val="F7735DC9"/>
    <w:multiLevelType w:val="multilevel"/>
    <w:tmpl w:val="F7735DC9"/>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96">
    <w:nsid w:val="F9718D3C"/>
    <w:multiLevelType w:val="multilevel"/>
    <w:tmpl w:val="F9718D3C"/>
    <w:lvl w:ilvl="0" w:tentative="0">
      <w:start w:val="4"/>
      <w:numFmt w:val="decimal"/>
      <w:lvlText w:val="%1"/>
      <w:lvlJc w:val="left"/>
      <w:pPr>
        <w:ind w:left="212" w:hanging="840"/>
        <w:jc w:val="left"/>
      </w:pPr>
      <w:rPr>
        <w:rFonts w:hint="default"/>
        <w:lang w:val="en-US" w:eastAsia="en-US" w:bidi="en-US"/>
      </w:rPr>
    </w:lvl>
    <w:lvl w:ilvl="1" w:tentative="0">
      <w:start w:val="2"/>
      <w:numFmt w:val="decimal"/>
      <w:lvlText w:val="%1.%2"/>
      <w:lvlJc w:val="left"/>
      <w:pPr>
        <w:ind w:left="212" w:hanging="840"/>
        <w:jc w:val="left"/>
      </w:pPr>
      <w:rPr>
        <w:rFonts w:hint="default"/>
        <w:lang w:val="en-US" w:eastAsia="en-US" w:bidi="en-US"/>
      </w:rPr>
    </w:lvl>
    <w:lvl w:ilvl="2" w:tentative="0">
      <w:start w:val="20"/>
      <w:numFmt w:val="decimal"/>
      <w:lvlText w:val="%1.%2.%3"/>
      <w:lvlJc w:val="left"/>
      <w:pPr>
        <w:ind w:left="21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212" w:hanging="420"/>
        <w:jc w:val="left"/>
      </w:pPr>
      <w:rPr>
        <w:rFonts w:hint="default" w:ascii="宋体" w:hAnsi="宋体" w:eastAsia="宋体" w:cs="宋体"/>
        <w:w w:val="99"/>
        <w:sz w:val="21"/>
        <w:szCs w:val="21"/>
        <w:lang w:val="en-US" w:eastAsia="en-US" w:bidi="en-US"/>
      </w:rPr>
    </w:lvl>
    <w:lvl w:ilvl="4" w:tentative="0">
      <w:start w:val="0"/>
      <w:numFmt w:val="bullet"/>
      <w:lvlText w:val="•"/>
      <w:lvlJc w:val="left"/>
      <w:pPr>
        <w:ind w:left="4198" w:hanging="420"/>
      </w:pPr>
      <w:rPr>
        <w:rFonts w:hint="default"/>
        <w:lang w:val="en-US" w:eastAsia="en-US" w:bidi="en-US"/>
      </w:rPr>
    </w:lvl>
    <w:lvl w:ilvl="5" w:tentative="0">
      <w:start w:val="0"/>
      <w:numFmt w:val="bullet"/>
      <w:lvlText w:val="•"/>
      <w:lvlJc w:val="left"/>
      <w:pPr>
        <w:ind w:left="5193" w:hanging="420"/>
      </w:pPr>
      <w:rPr>
        <w:rFonts w:hint="default"/>
        <w:lang w:val="en-US" w:eastAsia="en-US" w:bidi="en-US"/>
      </w:rPr>
    </w:lvl>
    <w:lvl w:ilvl="6" w:tentative="0">
      <w:start w:val="0"/>
      <w:numFmt w:val="bullet"/>
      <w:lvlText w:val="•"/>
      <w:lvlJc w:val="left"/>
      <w:pPr>
        <w:ind w:left="6187" w:hanging="420"/>
      </w:pPr>
      <w:rPr>
        <w:rFonts w:hint="default"/>
        <w:lang w:val="en-US" w:eastAsia="en-US" w:bidi="en-US"/>
      </w:rPr>
    </w:lvl>
    <w:lvl w:ilvl="7" w:tentative="0">
      <w:start w:val="0"/>
      <w:numFmt w:val="bullet"/>
      <w:lvlText w:val="•"/>
      <w:lvlJc w:val="left"/>
      <w:pPr>
        <w:ind w:left="7182" w:hanging="420"/>
      </w:pPr>
      <w:rPr>
        <w:rFonts w:hint="default"/>
        <w:lang w:val="en-US" w:eastAsia="en-US" w:bidi="en-US"/>
      </w:rPr>
    </w:lvl>
    <w:lvl w:ilvl="8" w:tentative="0">
      <w:start w:val="0"/>
      <w:numFmt w:val="bullet"/>
      <w:lvlText w:val="•"/>
      <w:lvlJc w:val="left"/>
      <w:pPr>
        <w:ind w:left="8176" w:hanging="420"/>
      </w:pPr>
      <w:rPr>
        <w:rFonts w:hint="default"/>
        <w:lang w:val="en-US" w:eastAsia="en-US" w:bidi="en-US"/>
      </w:rPr>
    </w:lvl>
  </w:abstractNum>
  <w:abstractNum w:abstractNumId="97">
    <w:nsid w:val="F97CED97"/>
    <w:multiLevelType w:val="multilevel"/>
    <w:tmpl w:val="F97CED97"/>
    <w:lvl w:ilvl="0" w:tentative="0">
      <w:start w:val="1"/>
      <w:numFmt w:val="decimal"/>
      <w:lvlText w:val="%1"/>
      <w:lvlJc w:val="left"/>
      <w:pPr>
        <w:ind w:left="112" w:hanging="423"/>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114" w:hanging="423"/>
      </w:pPr>
      <w:rPr>
        <w:rFonts w:hint="default"/>
        <w:lang w:val="en-US" w:eastAsia="en-US" w:bidi="en-US"/>
      </w:rPr>
    </w:lvl>
    <w:lvl w:ilvl="2" w:tentative="0">
      <w:start w:val="0"/>
      <w:numFmt w:val="bullet"/>
      <w:lvlText w:val="•"/>
      <w:lvlJc w:val="left"/>
      <w:pPr>
        <w:ind w:left="2109" w:hanging="423"/>
      </w:pPr>
      <w:rPr>
        <w:rFonts w:hint="default"/>
        <w:lang w:val="en-US" w:eastAsia="en-US" w:bidi="en-US"/>
      </w:rPr>
    </w:lvl>
    <w:lvl w:ilvl="3" w:tentative="0">
      <w:start w:val="0"/>
      <w:numFmt w:val="bullet"/>
      <w:lvlText w:val="•"/>
      <w:lvlJc w:val="left"/>
      <w:pPr>
        <w:ind w:left="3103" w:hanging="423"/>
      </w:pPr>
      <w:rPr>
        <w:rFonts w:hint="default"/>
        <w:lang w:val="en-US" w:eastAsia="en-US" w:bidi="en-US"/>
      </w:rPr>
    </w:lvl>
    <w:lvl w:ilvl="4" w:tentative="0">
      <w:start w:val="0"/>
      <w:numFmt w:val="bullet"/>
      <w:lvlText w:val="•"/>
      <w:lvlJc w:val="left"/>
      <w:pPr>
        <w:ind w:left="4098" w:hanging="423"/>
      </w:pPr>
      <w:rPr>
        <w:rFonts w:hint="default"/>
        <w:lang w:val="en-US" w:eastAsia="en-US" w:bidi="en-US"/>
      </w:rPr>
    </w:lvl>
    <w:lvl w:ilvl="5" w:tentative="0">
      <w:start w:val="0"/>
      <w:numFmt w:val="bullet"/>
      <w:lvlText w:val="•"/>
      <w:lvlJc w:val="left"/>
      <w:pPr>
        <w:ind w:left="5093" w:hanging="423"/>
      </w:pPr>
      <w:rPr>
        <w:rFonts w:hint="default"/>
        <w:lang w:val="en-US" w:eastAsia="en-US" w:bidi="en-US"/>
      </w:rPr>
    </w:lvl>
    <w:lvl w:ilvl="6" w:tentative="0">
      <w:start w:val="0"/>
      <w:numFmt w:val="bullet"/>
      <w:lvlText w:val="•"/>
      <w:lvlJc w:val="left"/>
      <w:pPr>
        <w:ind w:left="6087" w:hanging="423"/>
      </w:pPr>
      <w:rPr>
        <w:rFonts w:hint="default"/>
        <w:lang w:val="en-US" w:eastAsia="en-US" w:bidi="en-US"/>
      </w:rPr>
    </w:lvl>
    <w:lvl w:ilvl="7" w:tentative="0">
      <w:start w:val="0"/>
      <w:numFmt w:val="bullet"/>
      <w:lvlText w:val="•"/>
      <w:lvlJc w:val="left"/>
      <w:pPr>
        <w:ind w:left="7082" w:hanging="423"/>
      </w:pPr>
      <w:rPr>
        <w:rFonts w:hint="default"/>
        <w:lang w:val="en-US" w:eastAsia="en-US" w:bidi="en-US"/>
      </w:rPr>
    </w:lvl>
    <w:lvl w:ilvl="8" w:tentative="0">
      <w:start w:val="0"/>
      <w:numFmt w:val="bullet"/>
      <w:lvlText w:val="•"/>
      <w:lvlJc w:val="left"/>
      <w:pPr>
        <w:ind w:left="8076" w:hanging="423"/>
      </w:pPr>
      <w:rPr>
        <w:rFonts w:hint="default"/>
        <w:lang w:val="en-US" w:eastAsia="en-US" w:bidi="en-US"/>
      </w:rPr>
    </w:lvl>
  </w:abstractNum>
  <w:abstractNum w:abstractNumId="98">
    <w:nsid w:val="FCC85EE2"/>
    <w:multiLevelType w:val="multilevel"/>
    <w:tmpl w:val="FCC85EE2"/>
    <w:lvl w:ilvl="0" w:tentative="0">
      <w:start w:val="7"/>
      <w:numFmt w:val="decimal"/>
      <w:lvlText w:val="%1"/>
      <w:lvlJc w:val="left"/>
      <w:pPr>
        <w:ind w:left="112" w:hanging="852"/>
        <w:jc w:val="left"/>
      </w:pPr>
      <w:rPr>
        <w:rFonts w:hint="default"/>
        <w:lang w:val="en-US" w:eastAsia="en-US" w:bidi="en-US"/>
      </w:rPr>
    </w:lvl>
    <w:lvl w:ilvl="1" w:tentative="0">
      <w:start w:val="2"/>
      <w:numFmt w:val="decimal"/>
      <w:lvlText w:val="%1.%2"/>
      <w:lvlJc w:val="left"/>
      <w:pPr>
        <w:ind w:left="112" w:hanging="852"/>
        <w:jc w:val="left"/>
      </w:pPr>
      <w:rPr>
        <w:rFonts w:hint="default"/>
        <w:lang w:val="en-US" w:eastAsia="en-US" w:bidi="en-US"/>
      </w:rPr>
    </w:lvl>
    <w:lvl w:ilvl="2" w:tentative="0">
      <w:start w:val="1"/>
      <w:numFmt w:val="decimal"/>
      <w:lvlText w:val="%1.%2.%3"/>
      <w:lvlJc w:val="left"/>
      <w:pPr>
        <w:ind w:left="112" w:hanging="852"/>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112" w:hanging="420"/>
        <w:jc w:val="left"/>
      </w:pPr>
      <w:rPr>
        <w:rFonts w:hint="default" w:ascii="宋体" w:hAnsi="宋体" w:eastAsia="宋体" w:cs="宋体"/>
        <w:w w:val="99"/>
        <w:sz w:val="21"/>
        <w:szCs w:val="21"/>
        <w:lang w:val="en-US" w:eastAsia="en-US" w:bidi="en-US"/>
      </w:rPr>
    </w:lvl>
    <w:lvl w:ilvl="4" w:tentative="0">
      <w:start w:val="0"/>
      <w:numFmt w:val="bullet"/>
      <w:lvlText w:val="•"/>
      <w:lvlJc w:val="left"/>
      <w:pPr>
        <w:ind w:left="4058" w:hanging="420"/>
      </w:pPr>
      <w:rPr>
        <w:rFonts w:hint="default"/>
        <w:lang w:val="en-US" w:eastAsia="en-US" w:bidi="en-US"/>
      </w:rPr>
    </w:lvl>
    <w:lvl w:ilvl="5" w:tentative="0">
      <w:start w:val="0"/>
      <w:numFmt w:val="bullet"/>
      <w:lvlText w:val="•"/>
      <w:lvlJc w:val="left"/>
      <w:pPr>
        <w:ind w:left="5043" w:hanging="420"/>
      </w:pPr>
      <w:rPr>
        <w:rFonts w:hint="default"/>
        <w:lang w:val="en-US" w:eastAsia="en-US" w:bidi="en-US"/>
      </w:rPr>
    </w:lvl>
    <w:lvl w:ilvl="6" w:tentative="0">
      <w:start w:val="0"/>
      <w:numFmt w:val="bullet"/>
      <w:lvlText w:val="•"/>
      <w:lvlJc w:val="left"/>
      <w:pPr>
        <w:ind w:left="6027" w:hanging="420"/>
      </w:pPr>
      <w:rPr>
        <w:rFonts w:hint="default"/>
        <w:lang w:val="en-US" w:eastAsia="en-US" w:bidi="en-US"/>
      </w:rPr>
    </w:lvl>
    <w:lvl w:ilvl="7" w:tentative="0">
      <w:start w:val="0"/>
      <w:numFmt w:val="bullet"/>
      <w:lvlText w:val="•"/>
      <w:lvlJc w:val="left"/>
      <w:pPr>
        <w:ind w:left="7012" w:hanging="420"/>
      </w:pPr>
      <w:rPr>
        <w:rFonts w:hint="default"/>
        <w:lang w:val="en-US" w:eastAsia="en-US" w:bidi="en-US"/>
      </w:rPr>
    </w:lvl>
    <w:lvl w:ilvl="8" w:tentative="0">
      <w:start w:val="0"/>
      <w:numFmt w:val="bullet"/>
      <w:lvlText w:val="•"/>
      <w:lvlJc w:val="left"/>
      <w:pPr>
        <w:ind w:left="7996" w:hanging="420"/>
      </w:pPr>
      <w:rPr>
        <w:rFonts w:hint="default"/>
        <w:lang w:val="en-US" w:eastAsia="en-US" w:bidi="en-US"/>
      </w:rPr>
    </w:lvl>
  </w:abstractNum>
  <w:abstractNum w:abstractNumId="99">
    <w:nsid w:val="FEC2EA36"/>
    <w:multiLevelType w:val="multilevel"/>
    <w:tmpl w:val="FEC2EA36"/>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00">
    <w:nsid w:val="0053208E"/>
    <w:multiLevelType w:val="multilevel"/>
    <w:tmpl w:val="0053208E"/>
    <w:lvl w:ilvl="0" w:tentative="0">
      <w:start w:val="1"/>
      <w:numFmt w:val="decimal"/>
      <w:lvlText w:val="%1"/>
      <w:lvlJc w:val="left"/>
      <w:pPr>
        <w:ind w:left="632" w:hanging="420"/>
        <w:jc w:val="left"/>
      </w:pPr>
      <w:rPr>
        <w:rFonts w:hint="default" w:ascii="宋体" w:hAnsi="宋体" w:eastAsia="宋体" w:cs="宋体"/>
        <w:b/>
        <w:bCs/>
        <w:w w:val="98"/>
        <w:sz w:val="20"/>
        <w:szCs w:val="20"/>
        <w:lang w:val="en-US" w:eastAsia="en-US" w:bidi="en-US"/>
      </w:rPr>
    </w:lvl>
    <w:lvl w:ilvl="1" w:tentative="0">
      <w:start w:val="1"/>
      <w:numFmt w:val="decimal"/>
      <w:lvlText w:val="%1.%2"/>
      <w:lvlJc w:val="left"/>
      <w:pPr>
        <w:ind w:left="1052" w:hanging="629"/>
        <w:jc w:val="left"/>
      </w:pPr>
      <w:rPr>
        <w:rFonts w:hint="default" w:ascii="宋体" w:hAnsi="宋体" w:eastAsia="宋体" w:cs="宋体"/>
        <w:b/>
        <w:bCs/>
        <w:spacing w:val="0"/>
        <w:w w:val="98"/>
        <w:sz w:val="20"/>
        <w:szCs w:val="20"/>
        <w:lang w:val="en-US" w:eastAsia="en-US" w:bidi="en-US"/>
      </w:rPr>
    </w:lvl>
    <w:lvl w:ilvl="2" w:tentative="0">
      <w:start w:val="0"/>
      <w:numFmt w:val="bullet"/>
      <w:lvlText w:val="•"/>
      <w:lvlJc w:val="left"/>
      <w:pPr>
        <w:ind w:left="2071" w:hanging="629"/>
      </w:pPr>
      <w:rPr>
        <w:rFonts w:hint="default"/>
        <w:lang w:val="en-US" w:eastAsia="en-US" w:bidi="en-US"/>
      </w:rPr>
    </w:lvl>
    <w:lvl w:ilvl="3" w:tentative="0">
      <w:start w:val="0"/>
      <w:numFmt w:val="bullet"/>
      <w:lvlText w:val="•"/>
      <w:lvlJc w:val="left"/>
      <w:pPr>
        <w:ind w:left="3083" w:hanging="629"/>
      </w:pPr>
      <w:rPr>
        <w:rFonts w:hint="default"/>
        <w:lang w:val="en-US" w:eastAsia="en-US" w:bidi="en-US"/>
      </w:rPr>
    </w:lvl>
    <w:lvl w:ilvl="4" w:tentative="0">
      <w:start w:val="0"/>
      <w:numFmt w:val="bullet"/>
      <w:lvlText w:val="•"/>
      <w:lvlJc w:val="left"/>
      <w:pPr>
        <w:ind w:left="4095" w:hanging="629"/>
      </w:pPr>
      <w:rPr>
        <w:rFonts w:hint="default"/>
        <w:lang w:val="en-US" w:eastAsia="en-US" w:bidi="en-US"/>
      </w:rPr>
    </w:lvl>
    <w:lvl w:ilvl="5" w:tentative="0">
      <w:start w:val="0"/>
      <w:numFmt w:val="bullet"/>
      <w:lvlText w:val="•"/>
      <w:lvlJc w:val="left"/>
      <w:pPr>
        <w:ind w:left="5107" w:hanging="629"/>
      </w:pPr>
      <w:rPr>
        <w:rFonts w:hint="default"/>
        <w:lang w:val="en-US" w:eastAsia="en-US" w:bidi="en-US"/>
      </w:rPr>
    </w:lvl>
    <w:lvl w:ilvl="6" w:tentative="0">
      <w:start w:val="0"/>
      <w:numFmt w:val="bullet"/>
      <w:lvlText w:val="•"/>
      <w:lvlJc w:val="left"/>
      <w:pPr>
        <w:ind w:left="6118" w:hanging="629"/>
      </w:pPr>
      <w:rPr>
        <w:rFonts w:hint="default"/>
        <w:lang w:val="en-US" w:eastAsia="en-US" w:bidi="en-US"/>
      </w:rPr>
    </w:lvl>
    <w:lvl w:ilvl="7" w:tentative="0">
      <w:start w:val="0"/>
      <w:numFmt w:val="bullet"/>
      <w:lvlText w:val="•"/>
      <w:lvlJc w:val="left"/>
      <w:pPr>
        <w:ind w:left="7130" w:hanging="629"/>
      </w:pPr>
      <w:rPr>
        <w:rFonts w:hint="default"/>
        <w:lang w:val="en-US" w:eastAsia="en-US" w:bidi="en-US"/>
      </w:rPr>
    </w:lvl>
    <w:lvl w:ilvl="8" w:tentative="0">
      <w:start w:val="0"/>
      <w:numFmt w:val="bullet"/>
      <w:lvlText w:val="•"/>
      <w:lvlJc w:val="left"/>
      <w:pPr>
        <w:ind w:left="8142" w:hanging="629"/>
      </w:pPr>
      <w:rPr>
        <w:rFonts w:hint="default"/>
        <w:lang w:val="en-US" w:eastAsia="en-US" w:bidi="en-US"/>
      </w:rPr>
    </w:lvl>
  </w:abstractNum>
  <w:abstractNum w:abstractNumId="101">
    <w:nsid w:val="01836A6D"/>
    <w:multiLevelType w:val="multilevel"/>
    <w:tmpl w:val="01836A6D"/>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02">
    <w:nsid w:val="01D7E1C7"/>
    <w:multiLevelType w:val="multilevel"/>
    <w:tmpl w:val="01D7E1C7"/>
    <w:lvl w:ilvl="0" w:tentative="0">
      <w:start w:val="2"/>
      <w:numFmt w:val="decimal"/>
      <w:lvlText w:val="%1"/>
      <w:lvlJc w:val="left"/>
      <w:pPr>
        <w:ind w:left="212" w:hanging="432"/>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214" w:hanging="432"/>
      </w:pPr>
      <w:rPr>
        <w:rFonts w:hint="default"/>
        <w:lang w:val="en-US" w:eastAsia="en-US" w:bidi="en-US"/>
      </w:rPr>
    </w:lvl>
    <w:lvl w:ilvl="2" w:tentative="0">
      <w:start w:val="0"/>
      <w:numFmt w:val="bullet"/>
      <w:lvlText w:val="•"/>
      <w:lvlJc w:val="left"/>
      <w:pPr>
        <w:ind w:left="2209" w:hanging="432"/>
      </w:pPr>
      <w:rPr>
        <w:rFonts w:hint="default"/>
        <w:lang w:val="en-US" w:eastAsia="en-US" w:bidi="en-US"/>
      </w:rPr>
    </w:lvl>
    <w:lvl w:ilvl="3" w:tentative="0">
      <w:start w:val="0"/>
      <w:numFmt w:val="bullet"/>
      <w:lvlText w:val="•"/>
      <w:lvlJc w:val="left"/>
      <w:pPr>
        <w:ind w:left="3203" w:hanging="432"/>
      </w:pPr>
      <w:rPr>
        <w:rFonts w:hint="default"/>
        <w:lang w:val="en-US" w:eastAsia="en-US" w:bidi="en-US"/>
      </w:rPr>
    </w:lvl>
    <w:lvl w:ilvl="4" w:tentative="0">
      <w:start w:val="0"/>
      <w:numFmt w:val="bullet"/>
      <w:lvlText w:val="•"/>
      <w:lvlJc w:val="left"/>
      <w:pPr>
        <w:ind w:left="4198" w:hanging="432"/>
      </w:pPr>
      <w:rPr>
        <w:rFonts w:hint="default"/>
        <w:lang w:val="en-US" w:eastAsia="en-US" w:bidi="en-US"/>
      </w:rPr>
    </w:lvl>
    <w:lvl w:ilvl="5" w:tentative="0">
      <w:start w:val="0"/>
      <w:numFmt w:val="bullet"/>
      <w:lvlText w:val="•"/>
      <w:lvlJc w:val="left"/>
      <w:pPr>
        <w:ind w:left="5193" w:hanging="432"/>
      </w:pPr>
      <w:rPr>
        <w:rFonts w:hint="default"/>
        <w:lang w:val="en-US" w:eastAsia="en-US" w:bidi="en-US"/>
      </w:rPr>
    </w:lvl>
    <w:lvl w:ilvl="6" w:tentative="0">
      <w:start w:val="0"/>
      <w:numFmt w:val="bullet"/>
      <w:lvlText w:val="•"/>
      <w:lvlJc w:val="left"/>
      <w:pPr>
        <w:ind w:left="6187" w:hanging="432"/>
      </w:pPr>
      <w:rPr>
        <w:rFonts w:hint="default"/>
        <w:lang w:val="en-US" w:eastAsia="en-US" w:bidi="en-US"/>
      </w:rPr>
    </w:lvl>
    <w:lvl w:ilvl="7" w:tentative="0">
      <w:start w:val="0"/>
      <w:numFmt w:val="bullet"/>
      <w:lvlText w:val="•"/>
      <w:lvlJc w:val="left"/>
      <w:pPr>
        <w:ind w:left="7182" w:hanging="432"/>
      </w:pPr>
      <w:rPr>
        <w:rFonts w:hint="default"/>
        <w:lang w:val="en-US" w:eastAsia="en-US" w:bidi="en-US"/>
      </w:rPr>
    </w:lvl>
    <w:lvl w:ilvl="8" w:tentative="0">
      <w:start w:val="0"/>
      <w:numFmt w:val="bullet"/>
      <w:lvlText w:val="•"/>
      <w:lvlJc w:val="left"/>
      <w:pPr>
        <w:ind w:left="8176" w:hanging="432"/>
      </w:pPr>
      <w:rPr>
        <w:rFonts w:hint="default"/>
        <w:lang w:val="en-US" w:eastAsia="en-US" w:bidi="en-US"/>
      </w:rPr>
    </w:lvl>
  </w:abstractNum>
  <w:abstractNum w:abstractNumId="103">
    <w:nsid w:val="0248C179"/>
    <w:multiLevelType w:val="multilevel"/>
    <w:tmpl w:val="0248C179"/>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04">
    <w:nsid w:val="0258E135"/>
    <w:multiLevelType w:val="multilevel"/>
    <w:tmpl w:val="0258E135"/>
    <w:lvl w:ilvl="0" w:tentative="0">
      <w:start w:val="4"/>
      <w:numFmt w:val="decimal"/>
      <w:lvlText w:val="%1"/>
      <w:lvlJc w:val="left"/>
      <w:pPr>
        <w:ind w:left="95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870" w:hanging="420"/>
      </w:pPr>
      <w:rPr>
        <w:rFonts w:hint="default"/>
        <w:lang w:val="en-US" w:eastAsia="en-US" w:bidi="en-US"/>
      </w:rPr>
    </w:lvl>
    <w:lvl w:ilvl="2" w:tentative="0">
      <w:start w:val="0"/>
      <w:numFmt w:val="bullet"/>
      <w:lvlText w:val="•"/>
      <w:lvlJc w:val="left"/>
      <w:pPr>
        <w:ind w:left="2781" w:hanging="420"/>
      </w:pPr>
      <w:rPr>
        <w:rFonts w:hint="default"/>
        <w:lang w:val="en-US" w:eastAsia="en-US" w:bidi="en-US"/>
      </w:rPr>
    </w:lvl>
    <w:lvl w:ilvl="3" w:tentative="0">
      <w:start w:val="0"/>
      <w:numFmt w:val="bullet"/>
      <w:lvlText w:val="•"/>
      <w:lvlJc w:val="left"/>
      <w:pPr>
        <w:ind w:left="3691" w:hanging="420"/>
      </w:pPr>
      <w:rPr>
        <w:rFonts w:hint="default"/>
        <w:lang w:val="en-US" w:eastAsia="en-US" w:bidi="en-US"/>
      </w:rPr>
    </w:lvl>
    <w:lvl w:ilvl="4" w:tentative="0">
      <w:start w:val="0"/>
      <w:numFmt w:val="bullet"/>
      <w:lvlText w:val="•"/>
      <w:lvlJc w:val="left"/>
      <w:pPr>
        <w:ind w:left="4602" w:hanging="420"/>
      </w:pPr>
      <w:rPr>
        <w:rFonts w:hint="default"/>
        <w:lang w:val="en-US" w:eastAsia="en-US" w:bidi="en-US"/>
      </w:rPr>
    </w:lvl>
    <w:lvl w:ilvl="5" w:tentative="0">
      <w:start w:val="0"/>
      <w:numFmt w:val="bullet"/>
      <w:lvlText w:val="•"/>
      <w:lvlJc w:val="left"/>
      <w:pPr>
        <w:ind w:left="5513" w:hanging="420"/>
      </w:pPr>
      <w:rPr>
        <w:rFonts w:hint="default"/>
        <w:lang w:val="en-US" w:eastAsia="en-US" w:bidi="en-US"/>
      </w:rPr>
    </w:lvl>
    <w:lvl w:ilvl="6" w:tentative="0">
      <w:start w:val="0"/>
      <w:numFmt w:val="bullet"/>
      <w:lvlText w:val="•"/>
      <w:lvlJc w:val="left"/>
      <w:pPr>
        <w:ind w:left="6423" w:hanging="420"/>
      </w:pPr>
      <w:rPr>
        <w:rFonts w:hint="default"/>
        <w:lang w:val="en-US" w:eastAsia="en-US" w:bidi="en-US"/>
      </w:rPr>
    </w:lvl>
    <w:lvl w:ilvl="7" w:tentative="0">
      <w:start w:val="0"/>
      <w:numFmt w:val="bullet"/>
      <w:lvlText w:val="•"/>
      <w:lvlJc w:val="left"/>
      <w:pPr>
        <w:ind w:left="7334" w:hanging="420"/>
      </w:pPr>
      <w:rPr>
        <w:rFonts w:hint="default"/>
        <w:lang w:val="en-US" w:eastAsia="en-US" w:bidi="en-US"/>
      </w:rPr>
    </w:lvl>
    <w:lvl w:ilvl="8" w:tentative="0">
      <w:start w:val="0"/>
      <w:numFmt w:val="bullet"/>
      <w:lvlText w:val="•"/>
      <w:lvlJc w:val="left"/>
      <w:pPr>
        <w:ind w:left="8244" w:hanging="420"/>
      </w:pPr>
      <w:rPr>
        <w:rFonts w:hint="default"/>
        <w:lang w:val="en-US" w:eastAsia="en-US" w:bidi="en-US"/>
      </w:rPr>
    </w:lvl>
  </w:abstractNum>
  <w:abstractNum w:abstractNumId="105">
    <w:nsid w:val="03A63A41"/>
    <w:multiLevelType w:val="multilevel"/>
    <w:tmpl w:val="03A63A41"/>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06">
    <w:nsid w:val="03C240C0"/>
    <w:multiLevelType w:val="multilevel"/>
    <w:tmpl w:val="03C240C0"/>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07">
    <w:nsid w:val="03D62ECE"/>
    <w:multiLevelType w:val="multilevel"/>
    <w:tmpl w:val="03D62ECE"/>
    <w:lvl w:ilvl="0" w:tentative="0">
      <w:start w:val="4"/>
      <w:numFmt w:val="decimal"/>
      <w:lvlText w:val="%1"/>
      <w:lvlJc w:val="left"/>
      <w:pPr>
        <w:ind w:left="212" w:hanging="840"/>
        <w:jc w:val="left"/>
      </w:pPr>
      <w:rPr>
        <w:rFonts w:hint="default"/>
        <w:lang w:val="en-US" w:eastAsia="en-US" w:bidi="en-US"/>
      </w:rPr>
    </w:lvl>
    <w:lvl w:ilvl="1" w:tentative="0">
      <w:start w:val="1"/>
      <w:numFmt w:val="decimal"/>
      <w:lvlText w:val="%1.%2"/>
      <w:lvlJc w:val="left"/>
      <w:pPr>
        <w:ind w:left="212" w:hanging="840"/>
        <w:jc w:val="left"/>
      </w:pPr>
      <w:rPr>
        <w:rFonts w:hint="default"/>
        <w:lang w:val="en-US" w:eastAsia="en-US" w:bidi="en-US"/>
      </w:rPr>
    </w:lvl>
    <w:lvl w:ilvl="2" w:tentative="0">
      <w:start w:val="1"/>
      <w:numFmt w:val="decimal"/>
      <w:lvlText w:val="%1.%2.%3"/>
      <w:lvlJc w:val="left"/>
      <w:pPr>
        <w:ind w:left="21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1052" w:hanging="416"/>
        <w:jc w:val="left"/>
      </w:pPr>
      <w:rPr>
        <w:rFonts w:hint="default" w:ascii="宋体" w:hAnsi="宋体" w:eastAsia="宋体" w:cs="宋体"/>
        <w:b/>
        <w:bCs/>
        <w:w w:val="98"/>
        <w:sz w:val="21"/>
        <w:szCs w:val="21"/>
        <w:lang w:val="en-US" w:eastAsia="en-US" w:bidi="en-US"/>
      </w:rPr>
    </w:lvl>
    <w:lvl w:ilvl="4" w:tentative="0">
      <w:start w:val="0"/>
      <w:numFmt w:val="bullet"/>
      <w:lvlText w:val="•"/>
      <w:lvlJc w:val="left"/>
      <w:pPr>
        <w:ind w:left="5271" w:hanging="416"/>
      </w:pPr>
      <w:rPr>
        <w:rFonts w:hint="default"/>
        <w:lang w:val="en-US" w:eastAsia="en-US" w:bidi="en-US"/>
      </w:rPr>
    </w:lvl>
    <w:lvl w:ilvl="5" w:tentative="0">
      <w:start w:val="0"/>
      <w:numFmt w:val="bullet"/>
      <w:lvlText w:val="•"/>
      <w:lvlJc w:val="left"/>
      <w:pPr>
        <w:ind w:left="6087" w:hanging="416"/>
      </w:pPr>
      <w:rPr>
        <w:rFonts w:hint="default"/>
        <w:lang w:val="en-US" w:eastAsia="en-US" w:bidi="en-US"/>
      </w:rPr>
    </w:lvl>
    <w:lvl w:ilvl="6" w:tentative="0">
      <w:start w:val="0"/>
      <w:numFmt w:val="bullet"/>
      <w:lvlText w:val="•"/>
      <w:lvlJc w:val="left"/>
      <w:pPr>
        <w:ind w:left="6903" w:hanging="416"/>
      </w:pPr>
      <w:rPr>
        <w:rFonts w:hint="default"/>
        <w:lang w:val="en-US" w:eastAsia="en-US" w:bidi="en-US"/>
      </w:rPr>
    </w:lvl>
    <w:lvl w:ilvl="7" w:tentative="0">
      <w:start w:val="0"/>
      <w:numFmt w:val="bullet"/>
      <w:lvlText w:val="•"/>
      <w:lvlJc w:val="left"/>
      <w:pPr>
        <w:ind w:left="7718" w:hanging="416"/>
      </w:pPr>
      <w:rPr>
        <w:rFonts w:hint="default"/>
        <w:lang w:val="en-US" w:eastAsia="en-US" w:bidi="en-US"/>
      </w:rPr>
    </w:lvl>
    <w:lvl w:ilvl="8" w:tentative="0">
      <w:start w:val="0"/>
      <w:numFmt w:val="bullet"/>
      <w:lvlText w:val="•"/>
      <w:lvlJc w:val="left"/>
      <w:pPr>
        <w:ind w:left="8534" w:hanging="416"/>
      </w:pPr>
      <w:rPr>
        <w:rFonts w:hint="default"/>
        <w:lang w:val="en-US" w:eastAsia="en-US" w:bidi="en-US"/>
      </w:rPr>
    </w:lvl>
  </w:abstractNum>
  <w:abstractNum w:abstractNumId="108">
    <w:nsid w:val="0709FD3E"/>
    <w:multiLevelType w:val="multilevel"/>
    <w:tmpl w:val="0709FD3E"/>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09">
    <w:nsid w:val="07F5BCC3"/>
    <w:multiLevelType w:val="multilevel"/>
    <w:tmpl w:val="07F5BCC3"/>
    <w:lvl w:ilvl="0" w:tentative="0">
      <w:start w:val="2"/>
      <w:numFmt w:val="decimal"/>
      <w:lvlText w:val="%1"/>
      <w:lvlJc w:val="left"/>
      <w:pPr>
        <w:ind w:left="105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970" w:hanging="420"/>
      </w:pPr>
      <w:rPr>
        <w:rFonts w:hint="default"/>
        <w:lang w:val="en-US" w:eastAsia="en-US" w:bidi="en-US"/>
      </w:rPr>
    </w:lvl>
    <w:lvl w:ilvl="2" w:tentative="0">
      <w:start w:val="0"/>
      <w:numFmt w:val="bullet"/>
      <w:lvlText w:val="•"/>
      <w:lvlJc w:val="left"/>
      <w:pPr>
        <w:ind w:left="2881" w:hanging="420"/>
      </w:pPr>
      <w:rPr>
        <w:rFonts w:hint="default"/>
        <w:lang w:val="en-US" w:eastAsia="en-US" w:bidi="en-US"/>
      </w:rPr>
    </w:lvl>
    <w:lvl w:ilvl="3" w:tentative="0">
      <w:start w:val="0"/>
      <w:numFmt w:val="bullet"/>
      <w:lvlText w:val="•"/>
      <w:lvlJc w:val="left"/>
      <w:pPr>
        <w:ind w:left="3791" w:hanging="420"/>
      </w:pPr>
      <w:rPr>
        <w:rFonts w:hint="default"/>
        <w:lang w:val="en-US" w:eastAsia="en-US" w:bidi="en-US"/>
      </w:rPr>
    </w:lvl>
    <w:lvl w:ilvl="4" w:tentative="0">
      <w:start w:val="0"/>
      <w:numFmt w:val="bullet"/>
      <w:lvlText w:val="•"/>
      <w:lvlJc w:val="left"/>
      <w:pPr>
        <w:ind w:left="4702" w:hanging="420"/>
      </w:pPr>
      <w:rPr>
        <w:rFonts w:hint="default"/>
        <w:lang w:val="en-US" w:eastAsia="en-US" w:bidi="en-US"/>
      </w:rPr>
    </w:lvl>
    <w:lvl w:ilvl="5" w:tentative="0">
      <w:start w:val="0"/>
      <w:numFmt w:val="bullet"/>
      <w:lvlText w:val="•"/>
      <w:lvlJc w:val="left"/>
      <w:pPr>
        <w:ind w:left="5613" w:hanging="420"/>
      </w:pPr>
      <w:rPr>
        <w:rFonts w:hint="default"/>
        <w:lang w:val="en-US" w:eastAsia="en-US" w:bidi="en-US"/>
      </w:rPr>
    </w:lvl>
    <w:lvl w:ilvl="6" w:tentative="0">
      <w:start w:val="0"/>
      <w:numFmt w:val="bullet"/>
      <w:lvlText w:val="•"/>
      <w:lvlJc w:val="left"/>
      <w:pPr>
        <w:ind w:left="6523" w:hanging="420"/>
      </w:pPr>
      <w:rPr>
        <w:rFonts w:hint="default"/>
        <w:lang w:val="en-US" w:eastAsia="en-US" w:bidi="en-US"/>
      </w:rPr>
    </w:lvl>
    <w:lvl w:ilvl="7" w:tentative="0">
      <w:start w:val="0"/>
      <w:numFmt w:val="bullet"/>
      <w:lvlText w:val="•"/>
      <w:lvlJc w:val="left"/>
      <w:pPr>
        <w:ind w:left="7434" w:hanging="420"/>
      </w:pPr>
      <w:rPr>
        <w:rFonts w:hint="default"/>
        <w:lang w:val="en-US" w:eastAsia="en-US" w:bidi="en-US"/>
      </w:rPr>
    </w:lvl>
    <w:lvl w:ilvl="8" w:tentative="0">
      <w:start w:val="0"/>
      <w:numFmt w:val="bullet"/>
      <w:lvlText w:val="•"/>
      <w:lvlJc w:val="left"/>
      <w:pPr>
        <w:ind w:left="8344" w:hanging="420"/>
      </w:pPr>
      <w:rPr>
        <w:rFonts w:hint="default"/>
        <w:lang w:val="en-US" w:eastAsia="en-US" w:bidi="en-US"/>
      </w:rPr>
    </w:lvl>
  </w:abstractNum>
  <w:abstractNum w:abstractNumId="110">
    <w:nsid w:val="0C0E1E13"/>
    <w:multiLevelType w:val="multilevel"/>
    <w:tmpl w:val="0C0E1E13"/>
    <w:lvl w:ilvl="0" w:tentative="0">
      <w:start w:val="3"/>
      <w:numFmt w:val="decimal"/>
      <w:lvlText w:val="%1"/>
      <w:lvlJc w:val="left"/>
      <w:pPr>
        <w:ind w:left="1060"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970" w:hanging="420"/>
      </w:pPr>
      <w:rPr>
        <w:rFonts w:hint="default"/>
        <w:lang w:val="en-US" w:eastAsia="en-US" w:bidi="en-US"/>
      </w:rPr>
    </w:lvl>
    <w:lvl w:ilvl="2" w:tentative="0">
      <w:start w:val="0"/>
      <w:numFmt w:val="bullet"/>
      <w:lvlText w:val="•"/>
      <w:lvlJc w:val="left"/>
      <w:pPr>
        <w:ind w:left="2881" w:hanging="420"/>
      </w:pPr>
      <w:rPr>
        <w:rFonts w:hint="default"/>
        <w:lang w:val="en-US" w:eastAsia="en-US" w:bidi="en-US"/>
      </w:rPr>
    </w:lvl>
    <w:lvl w:ilvl="3" w:tentative="0">
      <w:start w:val="0"/>
      <w:numFmt w:val="bullet"/>
      <w:lvlText w:val="•"/>
      <w:lvlJc w:val="left"/>
      <w:pPr>
        <w:ind w:left="3791" w:hanging="420"/>
      </w:pPr>
      <w:rPr>
        <w:rFonts w:hint="default"/>
        <w:lang w:val="en-US" w:eastAsia="en-US" w:bidi="en-US"/>
      </w:rPr>
    </w:lvl>
    <w:lvl w:ilvl="4" w:tentative="0">
      <w:start w:val="0"/>
      <w:numFmt w:val="bullet"/>
      <w:lvlText w:val="•"/>
      <w:lvlJc w:val="left"/>
      <w:pPr>
        <w:ind w:left="4702" w:hanging="420"/>
      </w:pPr>
      <w:rPr>
        <w:rFonts w:hint="default"/>
        <w:lang w:val="en-US" w:eastAsia="en-US" w:bidi="en-US"/>
      </w:rPr>
    </w:lvl>
    <w:lvl w:ilvl="5" w:tentative="0">
      <w:start w:val="0"/>
      <w:numFmt w:val="bullet"/>
      <w:lvlText w:val="•"/>
      <w:lvlJc w:val="left"/>
      <w:pPr>
        <w:ind w:left="5613" w:hanging="420"/>
      </w:pPr>
      <w:rPr>
        <w:rFonts w:hint="default"/>
        <w:lang w:val="en-US" w:eastAsia="en-US" w:bidi="en-US"/>
      </w:rPr>
    </w:lvl>
    <w:lvl w:ilvl="6" w:tentative="0">
      <w:start w:val="0"/>
      <w:numFmt w:val="bullet"/>
      <w:lvlText w:val="•"/>
      <w:lvlJc w:val="left"/>
      <w:pPr>
        <w:ind w:left="6523" w:hanging="420"/>
      </w:pPr>
      <w:rPr>
        <w:rFonts w:hint="default"/>
        <w:lang w:val="en-US" w:eastAsia="en-US" w:bidi="en-US"/>
      </w:rPr>
    </w:lvl>
    <w:lvl w:ilvl="7" w:tentative="0">
      <w:start w:val="0"/>
      <w:numFmt w:val="bullet"/>
      <w:lvlText w:val="•"/>
      <w:lvlJc w:val="left"/>
      <w:pPr>
        <w:ind w:left="7434" w:hanging="420"/>
      </w:pPr>
      <w:rPr>
        <w:rFonts w:hint="default"/>
        <w:lang w:val="en-US" w:eastAsia="en-US" w:bidi="en-US"/>
      </w:rPr>
    </w:lvl>
    <w:lvl w:ilvl="8" w:tentative="0">
      <w:start w:val="0"/>
      <w:numFmt w:val="bullet"/>
      <w:lvlText w:val="•"/>
      <w:lvlJc w:val="left"/>
      <w:pPr>
        <w:ind w:left="8344" w:hanging="420"/>
      </w:pPr>
      <w:rPr>
        <w:rFonts w:hint="default"/>
        <w:lang w:val="en-US" w:eastAsia="en-US" w:bidi="en-US"/>
      </w:rPr>
    </w:lvl>
  </w:abstractNum>
  <w:abstractNum w:abstractNumId="111">
    <w:nsid w:val="0CCB9E98"/>
    <w:multiLevelType w:val="multilevel"/>
    <w:tmpl w:val="0CCB9E98"/>
    <w:lvl w:ilvl="0" w:tentative="0">
      <w:start w:val="1"/>
      <w:numFmt w:val="decimal"/>
      <w:lvlText w:val="%1"/>
      <w:lvlJc w:val="left"/>
      <w:pPr>
        <w:ind w:left="1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114" w:hanging="420"/>
      </w:pPr>
      <w:rPr>
        <w:rFonts w:hint="default"/>
        <w:lang w:val="en-US" w:eastAsia="en-US" w:bidi="en-US"/>
      </w:rPr>
    </w:lvl>
    <w:lvl w:ilvl="2" w:tentative="0">
      <w:start w:val="0"/>
      <w:numFmt w:val="bullet"/>
      <w:lvlText w:val="•"/>
      <w:lvlJc w:val="left"/>
      <w:pPr>
        <w:ind w:left="2109" w:hanging="420"/>
      </w:pPr>
      <w:rPr>
        <w:rFonts w:hint="default"/>
        <w:lang w:val="en-US" w:eastAsia="en-US" w:bidi="en-US"/>
      </w:rPr>
    </w:lvl>
    <w:lvl w:ilvl="3" w:tentative="0">
      <w:start w:val="0"/>
      <w:numFmt w:val="bullet"/>
      <w:lvlText w:val="•"/>
      <w:lvlJc w:val="left"/>
      <w:pPr>
        <w:ind w:left="3103" w:hanging="420"/>
      </w:pPr>
      <w:rPr>
        <w:rFonts w:hint="default"/>
        <w:lang w:val="en-US" w:eastAsia="en-US" w:bidi="en-US"/>
      </w:rPr>
    </w:lvl>
    <w:lvl w:ilvl="4" w:tentative="0">
      <w:start w:val="0"/>
      <w:numFmt w:val="bullet"/>
      <w:lvlText w:val="•"/>
      <w:lvlJc w:val="left"/>
      <w:pPr>
        <w:ind w:left="4098" w:hanging="420"/>
      </w:pPr>
      <w:rPr>
        <w:rFonts w:hint="default"/>
        <w:lang w:val="en-US" w:eastAsia="en-US" w:bidi="en-US"/>
      </w:rPr>
    </w:lvl>
    <w:lvl w:ilvl="5" w:tentative="0">
      <w:start w:val="0"/>
      <w:numFmt w:val="bullet"/>
      <w:lvlText w:val="•"/>
      <w:lvlJc w:val="left"/>
      <w:pPr>
        <w:ind w:left="5093" w:hanging="420"/>
      </w:pPr>
      <w:rPr>
        <w:rFonts w:hint="default"/>
        <w:lang w:val="en-US" w:eastAsia="en-US" w:bidi="en-US"/>
      </w:rPr>
    </w:lvl>
    <w:lvl w:ilvl="6" w:tentative="0">
      <w:start w:val="0"/>
      <w:numFmt w:val="bullet"/>
      <w:lvlText w:val="•"/>
      <w:lvlJc w:val="left"/>
      <w:pPr>
        <w:ind w:left="6087" w:hanging="420"/>
      </w:pPr>
      <w:rPr>
        <w:rFonts w:hint="default"/>
        <w:lang w:val="en-US" w:eastAsia="en-US" w:bidi="en-US"/>
      </w:rPr>
    </w:lvl>
    <w:lvl w:ilvl="7" w:tentative="0">
      <w:start w:val="0"/>
      <w:numFmt w:val="bullet"/>
      <w:lvlText w:val="•"/>
      <w:lvlJc w:val="left"/>
      <w:pPr>
        <w:ind w:left="7082" w:hanging="420"/>
      </w:pPr>
      <w:rPr>
        <w:rFonts w:hint="default"/>
        <w:lang w:val="en-US" w:eastAsia="en-US" w:bidi="en-US"/>
      </w:rPr>
    </w:lvl>
    <w:lvl w:ilvl="8" w:tentative="0">
      <w:start w:val="0"/>
      <w:numFmt w:val="bullet"/>
      <w:lvlText w:val="•"/>
      <w:lvlJc w:val="left"/>
      <w:pPr>
        <w:ind w:left="8076" w:hanging="420"/>
      </w:pPr>
      <w:rPr>
        <w:rFonts w:hint="default"/>
        <w:lang w:val="en-US" w:eastAsia="en-US" w:bidi="en-US"/>
      </w:rPr>
    </w:lvl>
  </w:abstractNum>
  <w:abstractNum w:abstractNumId="112">
    <w:nsid w:val="0CEF100B"/>
    <w:multiLevelType w:val="multilevel"/>
    <w:tmpl w:val="0CEF100B"/>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13">
    <w:nsid w:val="0DC629B0"/>
    <w:multiLevelType w:val="multilevel"/>
    <w:tmpl w:val="0DC629B0"/>
    <w:lvl w:ilvl="0" w:tentative="0">
      <w:start w:val="3"/>
      <w:numFmt w:val="decimal"/>
      <w:lvlText w:val="%1"/>
      <w:lvlJc w:val="left"/>
      <w:pPr>
        <w:ind w:left="1052" w:hanging="840"/>
        <w:jc w:val="left"/>
      </w:pPr>
      <w:rPr>
        <w:rFonts w:hint="default"/>
        <w:lang w:val="en-US" w:eastAsia="en-US" w:bidi="en-US"/>
      </w:rPr>
    </w:lvl>
    <w:lvl w:ilvl="1" w:tentative="0">
      <w:start w:val="0"/>
      <w:numFmt w:val="decimal"/>
      <w:lvlText w:val="%1.%2"/>
      <w:lvlJc w:val="left"/>
      <w:pPr>
        <w:ind w:left="1052" w:hanging="840"/>
        <w:jc w:val="left"/>
      </w:pPr>
      <w:rPr>
        <w:rFonts w:hint="default"/>
        <w:lang w:val="en-US" w:eastAsia="en-US" w:bidi="en-US"/>
      </w:rPr>
    </w:lvl>
    <w:lvl w:ilvl="2" w:tentative="0">
      <w:start w:val="1"/>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791" w:hanging="840"/>
      </w:pPr>
      <w:rPr>
        <w:rFonts w:hint="default"/>
        <w:lang w:val="en-US" w:eastAsia="en-US" w:bidi="en-US"/>
      </w:rPr>
    </w:lvl>
    <w:lvl w:ilvl="4" w:tentative="0">
      <w:start w:val="0"/>
      <w:numFmt w:val="bullet"/>
      <w:lvlText w:val="•"/>
      <w:lvlJc w:val="left"/>
      <w:pPr>
        <w:ind w:left="4702" w:hanging="840"/>
      </w:pPr>
      <w:rPr>
        <w:rFonts w:hint="default"/>
        <w:lang w:val="en-US" w:eastAsia="en-US" w:bidi="en-US"/>
      </w:rPr>
    </w:lvl>
    <w:lvl w:ilvl="5" w:tentative="0">
      <w:start w:val="0"/>
      <w:numFmt w:val="bullet"/>
      <w:lvlText w:val="•"/>
      <w:lvlJc w:val="left"/>
      <w:pPr>
        <w:ind w:left="5613" w:hanging="840"/>
      </w:pPr>
      <w:rPr>
        <w:rFonts w:hint="default"/>
        <w:lang w:val="en-US" w:eastAsia="en-US" w:bidi="en-US"/>
      </w:rPr>
    </w:lvl>
    <w:lvl w:ilvl="6" w:tentative="0">
      <w:start w:val="0"/>
      <w:numFmt w:val="bullet"/>
      <w:lvlText w:val="•"/>
      <w:lvlJc w:val="left"/>
      <w:pPr>
        <w:ind w:left="6523" w:hanging="840"/>
      </w:pPr>
      <w:rPr>
        <w:rFonts w:hint="default"/>
        <w:lang w:val="en-US" w:eastAsia="en-US" w:bidi="en-US"/>
      </w:rPr>
    </w:lvl>
    <w:lvl w:ilvl="7" w:tentative="0">
      <w:start w:val="0"/>
      <w:numFmt w:val="bullet"/>
      <w:lvlText w:val="•"/>
      <w:lvlJc w:val="left"/>
      <w:pPr>
        <w:ind w:left="7434" w:hanging="840"/>
      </w:pPr>
      <w:rPr>
        <w:rFonts w:hint="default"/>
        <w:lang w:val="en-US" w:eastAsia="en-US" w:bidi="en-US"/>
      </w:rPr>
    </w:lvl>
    <w:lvl w:ilvl="8" w:tentative="0">
      <w:start w:val="0"/>
      <w:numFmt w:val="bullet"/>
      <w:lvlText w:val="•"/>
      <w:lvlJc w:val="left"/>
      <w:pPr>
        <w:ind w:left="8344" w:hanging="840"/>
      </w:pPr>
      <w:rPr>
        <w:rFonts w:hint="default"/>
        <w:lang w:val="en-US" w:eastAsia="en-US" w:bidi="en-US"/>
      </w:rPr>
    </w:lvl>
  </w:abstractNum>
  <w:abstractNum w:abstractNumId="114">
    <w:nsid w:val="0E640482"/>
    <w:multiLevelType w:val="multilevel"/>
    <w:tmpl w:val="0E640482"/>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15">
    <w:nsid w:val="0F929F01"/>
    <w:multiLevelType w:val="multilevel"/>
    <w:tmpl w:val="0F929F01"/>
    <w:lvl w:ilvl="0" w:tentative="0">
      <w:start w:val="8"/>
      <w:numFmt w:val="decimal"/>
      <w:lvlText w:val="%1"/>
      <w:lvlJc w:val="left"/>
      <w:pPr>
        <w:ind w:left="112" w:hanging="840"/>
        <w:jc w:val="left"/>
      </w:pPr>
      <w:rPr>
        <w:rFonts w:hint="default"/>
        <w:lang w:val="en-US" w:eastAsia="en-US" w:bidi="en-US"/>
      </w:rPr>
    </w:lvl>
    <w:lvl w:ilvl="1" w:tentative="0">
      <w:start w:val="4"/>
      <w:numFmt w:val="decimal"/>
      <w:lvlText w:val="%1.%2"/>
      <w:lvlJc w:val="left"/>
      <w:pPr>
        <w:ind w:left="112" w:hanging="840"/>
        <w:jc w:val="left"/>
      </w:pPr>
      <w:rPr>
        <w:rFonts w:hint="default"/>
        <w:lang w:val="en-US" w:eastAsia="en-US" w:bidi="en-US"/>
      </w:rPr>
    </w:lvl>
    <w:lvl w:ilvl="2" w:tentative="0">
      <w:start w:val="1"/>
      <w:numFmt w:val="decimal"/>
      <w:lvlText w:val="%1.%2.%3"/>
      <w:lvlJc w:val="left"/>
      <w:pPr>
        <w:ind w:left="11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103" w:hanging="840"/>
      </w:pPr>
      <w:rPr>
        <w:rFonts w:hint="default"/>
        <w:lang w:val="en-US" w:eastAsia="en-US" w:bidi="en-US"/>
      </w:rPr>
    </w:lvl>
    <w:lvl w:ilvl="4" w:tentative="0">
      <w:start w:val="0"/>
      <w:numFmt w:val="bullet"/>
      <w:lvlText w:val="•"/>
      <w:lvlJc w:val="left"/>
      <w:pPr>
        <w:ind w:left="4098" w:hanging="840"/>
      </w:pPr>
      <w:rPr>
        <w:rFonts w:hint="default"/>
        <w:lang w:val="en-US" w:eastAsia="en-US" w:bidi="en-US"/>
      </w:rPr>
    </w:lvl>
    <w:lvl w:ilvl="5" w:tentative="0">
      <w:start w:val="0"/>
      <w:numFmt w:val="bullet"/>
      <w:lvlText w:val="•"/>
      <w:lvlJc w:val="left"/>
      <w:pPr>
        <w:ind w:left="5093" w:hanging="840"/>
      </w:pPr>
      <w:rPr>
        <w:rFonts w:hint="default"/>
        <w:lang w:val="en-US" w:eastAsia="en-US" w:bidi="en-US"/>
      </w:rPr>
    </w:lvl>
    <w:lvl w:ilvl="6" w:tentative="0">
      <w:start w:val="0"/>
      <w:numFmt w:val="bullet"/>
      <w:lvlText w:val="•"/>
      <w:lvlJc w:val="left"/>
      <w:pPr>
        <w:ind w:left="6087" w:hanging="840"/>
      </w:pPr>
      <w:rPr>
        <w:rFonts w:hint="default"/>
        <w:lang w:val="en-US" w:eastAsia="en-US" w:bidi="en-US"/>
      </w:rPr>
    </w:lvl>
    <w:lvl w:ilvl="7" w:tentative="0">
      <w:start w:val="0"/>
      <w:numFmt w:val="bullet"/>
      <w:lvlText w:val="•"/>
      <w:lvlJc w:val="left"/>
      <w:pPr>
        <w:ind w:left="7082" w:hanging="840"/>
      </w:pPr>
      <w:rPr>
        <w:rFonts w:hint="default"/>
        <w:lang w:val="en-US" w:eastAsia="en-US" w:bidi="en-US"/>
      </w:rPr>
    </w:lvl>
    <w:lvl w:ilvl="8" w:tentative="0">
      <w:start w:val="0"/>
      <w:numFmt w:val="bullet"/>
      <w:lvlText w:val="•"/>
      <w:lvlJc w:val="left"/>
      <w:pPr>
        <w:ind w:left="8076" w:hanging="840"/>
      </w:pPr>
      <w:rPr>
        <w:rFonts w:hint="default"/>
        <w:lang w:val="en-US" w:eastAsia="en-US" w:bidi="en-US"/>
      </w:rPr>
    </w:lvl>
  </w:abstractNum>
  <w:abstractNum w:abstractNumId="116">
    <w:nsid w:val="0F9F9CCA"/>
    <w:multiLevelType w:val="multilevel"/>
    <w:tmpl w:val="0F9F9CCA"/>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17">
    <w:nsid w:val="10D591E5"/>
    <w:multiLevelType w:val="multilevel"/>
    <w:tmpl w:val="10D591E5"/>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1"/>
      <w:numFmt w:val="upperRoman"/>
      <w:lvlText w:val="%2"/>
      <w:lvlJc w:val="left"/>
      <w:pPr>
        <w:ind w:left="4691" w:hanging="159"/>
        <w:jc w:val="right"/>
      </w:pPr>
      <w:rPr>
        <w:rFonts w:hint="default" w:ascii="黑体" w:hAnsi="黑体" w:eastAsia="黑体" w:cs="黑体"/>
        <w:w w:val="99"/>
        <w:sz w:val="21"/>
        <w:szCs w:val="21"/>
        <w:lang w:val="en-US" w:eastAsia="en-US" w:bidi="en-US"/>
      </w:rPr>
    </w:lvl>
    <w:lvl w:ilvl="2" w:tentative="0">
      <w:start w:val="0"/>
      <w:numFmt w:val="bullet"/>
      <w:lvlText w:val="•"/>
      <w:lvlJc w:val="left"/>
      <w:pPr>
        <w:ind w:left="5307" w:hanging="159"/>
      </w:pPr>
      <w:rPr>
        <w:rFonts w:hint="default"/>
        <w:lang w:val="en-US" w:eastAsia="en-US" w:bidi="en-US"/>
      </w:rPr>
    </w:lvl>
    <w:lvl w:ilvl="3" w:tentative="0">
      <w:start w:val="0"/>
      <w:numFmt w:val="bullet"/>
      <w:lvlText w:val="•"/>
      <w:lvlJc w:val="left"/>
      <w:pPr>
        <w:ind w:left="5914" w:hanging="159"/>
      </w:pPr>
      <w:rPr>
        <w:rFonts w:hint="default"/>
        <w:lang w:val="en-US" w:eastAsia="en-US" w:bidi="en-US"/>
      </w:rPr>
    </w:lvl>
    <w:lvl w:ilvl="4" w:tentative="0">
      <w:start w:val="0"/>
      <w:numFmt w:val="bullet"/>
      <w:lvlText w:val="•"/>
      <w:lvlJc w:val="left"/>
      <w:pPr>
        <w:ind w:left="6522" w:hanging="159"/>
      </w:pPr>
      <w:rPr>
        <w:rFonts w:hint="default"/>
        <w:lang w:val="en-US" w:eastAsia="en-US" w:bidi="en-US"/>
      </w:rPr>
    </w:lvl>
    <w:lvl w:ilvl="5" w:tentative="0">
      <w:start w:val="0"/>
      <w:numFmt w:val="bullet"/>
      <w:lvlText w:val="•"/>
      <w:lvlJc w:val="left"/>
      <w:pPr>
        <w:ind w:left="7129" w:hanging="159"/>
      </w:pPr>
      <w:rPr>
        <w:rFonts w:hint="default"/>
        <w:lang w:val="en-US" w:eastAsia="en-US" w:bidi="en-US"/>
      </w:rPr>
    </w:lvl>
    <w:lvl w:ilvl="6" w:tentative="0">
      <w:start w:val="0"/>
      <w:numFmt w:val="bullet"/>
      <w:lvlText w:val="•"/>
      <w:lvlJc w:val="left"/>
      <w:pPr>
        <w:ind w:left="7736" w:hanging="159"/>
      </w:pPr>
      <w:rPr>
        <w:rFonts w:hint="default"/>
        <w:lang w:val="en-US" w:eastAsia="en-US" w:bidi="en-US"/>
      </w:rPr>
    </w:lvl>
    <w:lvl w:ilvl="7" w:tentative="0">
      <w:start w:val="0"/>
      <w:numFmt w:val="bullet"/>
      <w:lvlText w:val="•"/>
      <w:lvlJc w:val="left"/>
      <w:pPr>
        <w:ind w:left="8344" w:hanging="159"/>
      </w:pPr>
      <w:rPr>
        <w:rFonts w:hint="default"/>
        <w:lang w:val="en-US" w:eastAsia="en-US" w:bidi="en-US"/>
      </w:rPr>
    </w:lvl>
    <w:lvl w:ilvl="8" w:tentative="0">
      <w:start w:val="0"/>
      <w:numFmt w:val="bullet"/>
      <w:lvlText w:val="•"/>
      <w:lvlJc w:val="left"/>
      <w:pPr>
        <w:ind w:left="8951" w:hanging="159"/>
      </w:pPr>
      <w:rPr>
        <w:rFonts w:hint="default"/>
        <w:lang w:val="en-US" w:eastAsia="en-US" w:bidi="en-US"/>
      </w:rPr>
    </w:lvl>
  </w:abstractNum>
  <w:abstractNum w:abstractNumId="118">
    <w:nsid w:val="10F0DB0B"/>
    <w:multiLevelType w:val="multilevel"/>
    <w:tmpl w:val="10F0DB0B"/>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19">
    <w:nsid w:val="12EADF99"/>
    <w:multiLevelType w:val="multilevel"/>
    <w:tmpl w:val="12EADF99"/>
    <w:lvl w:ilvl="0" w:tentative="0">
      <w:start w:val="5"/>
      <w:numFmt w:val="decimal"/>
      <w:lvlText w:val="%1"/>
      <w:lvlJc w:val="left"/>
      <w:pPr>
        <w:ind w:left="1052" w:hanging="840"/>
        <w:jc w:val="left"/>
      </w:pPr>
      <w:rPr>
        <w:rFonts w:hint="default"/>
        <w:lang w:val="en-US" w:eastAsia="en-US" w:bidi="en-US"/>
      </w:rPr>
    </w:lvl>
    <w:lvl w:ilvl="1" w:tentative="0">
      <w:start w:val="4"/>
      <w:numFmt w:val="decimal"/>
      <w:lvlText w:val="%1.%2"/>
      <w:lvlJc w:val="left"/>
      <w:pPr>
        <w:ind w:left="1052" w:hanging="840"/>
        <w:jc w:val="left"/>
      </w:pPr>
      <w:rPr>
        <w:rFonts w:hint="default"/>
        <w:lang w:val="en-US" w:eastAsia="en-US" w:bidi="en-US"/>
      </w:rPr>
    </w:lvl>
    <w:lvl w:ilvl="2" w:tentative="0">
      <w:start w:val="1"/>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791" w:hanging="840"/>
      </w:pPr>
      <w:rPr>
        <w:rFonts w:hint="default"/>
        <w:lang w:val="en-US" w:eastAsia="en-US" w:bidi="en-US"/>
      </w:rPr>
    </w:lvl>
    <w:lvl w:ilvl="4" w:tentative="0">
      <w:start w:val="0"/>
      <w:numFmt w:val="bullet"/>
      <w:lvlText w:val="•"/>
      <w:lvlJc w:val="left"/>
      <w:pPr>
        <w:ind w:left="4702" w:hanging="840"/>
      </w:pPr>
      <w:rPr>
        <w:rFonts w:hint="default"/>
        <w:lang w:val="en-US" w:eastAsia="en-US" w:bidi="en-US"/>
      </w:rPr>
    </w:lvl>
    <w:lvl w:ilvl="5" w:tentative="0">
      <w:start w:val="0"/>
      <w:numFmt w:val="bullet"/>
      <w:lvlText w:val="•"/>
      <w:lvlJc w:val="left"/>
      <w:pPr>
        <w:ind w:left="5613" w:hanging="840"/>
      </w:pPr>
      <w:rPr>
        <w:rFonts w:hint="default"/>
        <w:lang w:val="en-US" w:eastAsia="en-US" w:bidi="en-US"/>
      </w:rPr>
    </w:lvl>
    <w:lvl w:ilvl="6" w:tentative="0">
      <w:start w:val="0"/>
      <w:numFmt w:val="bullet"/>
      <w:lvlText w:val="•"/>
      <w:lvlJc w:val="left"/>
      <w:pPr>
        <w:ind w:left="6523" w:hanging="840"/>
      </w:pPr>
      <w:rPr>
        <w:rFonts w:hint="default"/>
        <w:lang w:val="en-US" w:eastAsia="en-US" w:bidi="en-US"/>
      </w:rPr>
    </w:lvl>
    <w:lvl w:ilvl="7" w:tentative="0">
      <w:start w:val="0"/>
      <w:numFmt w:val="bullet"/>
      <w:lvlText w:val="•"/>
      <w:lvlJc w:val="left"/>
      <w:pPr>
        <w:ind w:left="7434" w:hanging="840"/>
      </w:pPr>
      <w:rPr>
        <w:rFonts w:hint="default"/>
        <w:lang w:val="en-US" w:eastAsia="en-US" w:bidi="en-US"/>
      </w:rPr>
    </w:lvl>
    <w:lvl w:ilvl="8" w:tentative="0">
      <w:start w:val="0"/>
      <w:numFmt w:val="bullet"/>
      <w:lvlText w:val="•"/>
      <w:lvlJc w:val="left"/>
      <w:pPr>
        <w:ind w:left="8344" w:hanging="840"/>
      </w:pPr>
      <w:rPr>
        <w:rFonts w:hint="default"/>
        <w:lang w:val="en-US" w:eastAsia="en-US" w:bidi="en-US"/>
      </w:rPr>
    </w:lvl>
  </w:abstractNum>
  <w:abstractNum w:abstractNumId="120">
    <w:nsid w:val="13660E3F"/>
    <w:multiLevelType w:val="multilevel"/>
    <w:tmpl w:val="13660E3F"/>
    <w:lvl w:ilvl="0" w:tentative="0">
      <w:start w:val="8"/>
      <w:numFmt w:val="decimal"/>
      <w:lvlText w:val="%1"/>
      <w:lvlJc w:val="left"/>
      <w:pPr>
        <w:ind w:left="952" w:hanging="840"/>
        <w:jc w:val="left"/>
      </w:pPr>
      <w:rPr>
        <w:rFonts w:hint="default"/>
        <w:lang w:val="en-US" w:eastAsia="en-US" w:bidi="en-US"/>
      </w:rPr>
    </w:lvl>
    <w:lvl w:ilvl="1" w:tentative="0">
      <w:start w:val="3"/>
      <w:numFmt w:val="decimal"/>
      <w:lvlText w:val="%1.%2"/>
      <w:lvlJc w:val="left"/>
      <w:pPr>
        <w:ind w:left="952" w:hanging="840"/>
        <w:jc w:val="left"/>
      </w:pPr>
      <w:rPr>
        <w:rFonts w:hint="default"/>
        <w:lang w:val="en-US" w:eastAsia="en-US" w:bidi="en-US"/>
      </w:rPr>
    </w:lvl>
    <w:lvl w:ilvl="2" w:tentative="0">
      <w:start w:val="21"/>
      <w:numFmt w:val="decimal"/>
      <w:lvlText w:val="%1.%2.%3"/>
      <w:lvlJc w:val="left"/>
      <w:pPr>
        <w:ind w:left="95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691" w:hanging="840"/>
      </w:pPr>
      <w:rPr>
        <w:rFonts w:hint="default"/>
        <w:lang w:val="en-US" w:eastAsia="en-US" w:bidi="en-US"/>
      </w:rPr>
    </w:lvl>
    <w:lvl w:ilvl="4" w:tentative="0">
      <w:start w:val="0"/>
      <w:numFmt w:val="bullet"/>
      <w:lvlText w:val="•"/>
      <w:lvlJc w:val="left"/>
      <w:pPr>
        <w:ind w:left="4602" w:hanging="840"/>
      </w:pPr>
      <w:rPr>
        <w:rFonts w:hint="default"/>
        <w:lang w:val="en-US" w:eastAsia="en-US" w:bidi="en-US"/>
      </w:rPr>
    </w:lvl>
    <w:lvl w:ilvl="5" w:tentative="0">
      <w:start w:val="0"/>
      <w:numFmt w:val="bullet"/>
      <w:lvlText w:val="•"/>
      <w:lvlJc w:val="left"/>
      <w:pPr>
        <w:ind w:left="5513" w:hanging="840"/>
      </w:pPr>
      <w:rPr>
        <w:rFonts w:hint="default"/>
        <w:lang w:val="en-US" w:eastAsia="en-US" w:bidi="en-US"/>
      </w:rPr>
    </w:lvl>
    <w:lvl w:ilvl="6" w:tentative="0">
      <w:start w:val="0"/>
      <w:numFmt w:val="bullet"/>
      <w:lvlText w:val="•"/>
      <w:lvlJc w:val="left"/>
      <w:pPr>
        <w:ind w:left="6423" w:hanging="840"/>
      </w:pPr>
      <w:rPr>
        <w:rFonts w:hint="default"/>
        <w:lang w:val="en-US" w:eastAsia="en-US" w:bidi="en-US"/>
      </w:rPr>
    </w:lvl>
    <w:lvl w:ilvl="7" w:tentative="0">
      <w:start w:val="0"/>
      <w:numFmt w:val="bullet"/>
      <w:lvlText w:val="•"/>
      <w:lvlJc w:val="left"/>
      <w:pPr>
        <w:ind w:left="7334" w:hanging="840"/>
      </w:pPr>
      <w:rPr>
        <w:rFonts w:hint="default"/>
        <w:lang w:val="en-US" w:eastAsia="en-US" w:bidi="en-US"/>
      </w:rPr>
    </w:lvl>
    <w:lvl w:ilvl="8" w:tentative="0">
      <w:start w:val="0"/>
      <w:numFmt w:val="bullet"/>
      <w:lvlText w:val="•"/>
      <w:lvlJc w:val="left"/>
      <w:pPr>
        <w:ind w:left="8244" w:hanging="840"/>
      </w:pPr>
      <w:rPr>
        <w:rFonts w:hint="default"/>
        <w:lang w:val="en-US" w:eastAsia="en-US" w:bidi="en-US"/>
      </w:rPr>
    </w:lvl>
  </w:abstractNum>
  <w:abstractNum w:abstractNumId="121">
    <w:nsid w:val="1450273B"/>
    <w:multiLevelType w:val="multilevel"/>
    <w:tmpl w:val="1450273B"/>
    <w:lvl w:ilvl="0" w:tentative="0">
      <w:start w:val="8"/>
      <w:numFmt w:val="decimal"/>
      <w:lvlText w:val="%1"/>
      <w:lvlJc w:val="left"/>
      <w:pPr>
        <w:ind w:left="1052" w:hanging="840"/>
        <w:jc w:val="left"/>
      </w:pPr>
      <w:rPr>
        <w:rFonts w:hint="default"/>
        <w:lang w:val="en-US" w:eastAsia="en-US" w:bidi="en-US"/>
      </w:rPr>
    </w:lvl>
    <w:lvl w:ilvl="1" w:tentative="0">
      <w:start w:val="1"/>
      <w:numFmt w:val="decimal"/>
      <w:lvlText w:val="%1.%2"/>
      <w:lvlJc w:val="left"/>
      <w:pPr>
        <w:ind w:left="1052" w:hanging="840"/>
        <w:jc w:val="left"/>
      </w:pPr>
      <w:rPr>
        <w:rFonts w:hint="default"/>
        <w:lang w:val="en-US" w:eastAsia="en-US" w:bidi="en-US"/>
      </w:rPr>
    </w:lvl>
    <w:lvl w:ilvl="2" w:tentative="0">
      <w:start w:val="1"/>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791" w:hanging="840"/>
      </w:pPr>
      <w:rPr>
        <w:rFonts w:hint="default"/>
        <w:lang w:val="en-US" w:eastAsia="en-US" w:bidi="en-US"/>
      </w:rPr>
    </w:lvl>
    <w:lvl w:ilvl="4" w:tentative="0">
      <w:start w:val="0"/>
      <w:numFmt w:val="bullet"/>
      <w:lvlText w:val="•"/>
      <w:lvlJc w:val="left"/>
      <w:pPr>
        <w:ind w:left="4702" w:hanging="840"/>
      </w:pPr>
      <w:rPr>
        <w:rFonts w:hint="default"/>
        <w:lang w:val="en-US" w:eastAsia="en-US" w:bidi="en-US"/>
      </w:rPr>
    </w:lvl>
    <w:lvl w:ilvl="5" w:tentative="0">
      <w:start w:val="0"/>
      <w:numFmt w:val="bullet"/>
      <w:lvlText w:val="•"/>
      <w:lvlJc w:val="left"/>
      <w:pPr>
        <w:ind w:left="5613" w:hanging="840"/>
      </w:pPr>
      <w:rPr>
        <w:rFonts w:hint="default"/>
        <w:lang w:val="en-US" w:eastAsia="en-US" w:bidi="en-US"/>
      </w:rPr>
    </w:lvl>
    <w:lvl w:ilvl="6" w:tentative="0">
      <w:start w:val="0"/>
      <w:numFmt w:val="bullet"/>
      <w:lvlText w:val="•"/>
      <w:lvlJc w:val="left"/>
      <w:pPr>
        <w:ind w:left="6523" w:hanging="840"/>
      </w:pPr>
      <w:rPr>
        <w:rFonts w:hint="default"/>
        <w:lang w:val="en-US" w:eastAsia="en-US" w:bidi="en-US"/>
      </w:rPr>
    </w:lvl>
    <w:lvl w:ilvl="7" w:tentative="0">
      <w:start w:val="0"/>
      <w:numFmt w:val="bullet"/>
      <w:lvlText w:val="•"/>
      <w:lvlJc w:val="left"/>
      <w:pPr>
        <w:ind w:left="7434" w:hanging="840"/>
      </w:pPr>
      <w:rPr>
        <w:rFonts w:hint="default"/>
        <w:lang w:val="en-US" w:eastAsia="en-US" w:bidi="en-US"/>
      </w:rPr>
    </w:lvl>
    <w:lvl w:ilvl="8" w:tentative="0">
      <w:start w:val="0"/>
      <w:numFmt w:val="bullet"/>
      <w:lvlText w:val="•"/>
      <w:lvlJc w:val="left"/>
      <w:pPr>
        <w:ind w:left="8344" w:hanging="840"/>
      </w:pPr>
      <w:rPr>
        <w:rFonts w:hint="default"/>
        <w:lang w:val="en-US" w:eastAsia="en-US" w:bidi="en-US"/>
      </w:rPr>
    </w:lvl>
  </w:abstractNum>
  <w:abstractNum w:abstractNumId="122">
    <w:nsid w:val="1483906D"/>
    <w:multiLevelType w:val="multilevel"/>
    <w:tmpl w:val="1483906D"/>
    <w:lvl w:ilvl="0" w:tentative="0">
      <w:start w:val="2"/>
      <w:numFmt w:val="upperRoman"/>
      <w:lvlText w:val="%1"/>
      <w:lvlJc w:val="left"/>
      <w:pPr>
        <w:ind w:left="4532" w:hanging="262"/>
        <w:jc w:val="right"/>
      </w:pPr>
      <w:rPr>
        <w:rFonts w:hint="default" w:ascii="黑体" w:hAnsi="黑体" w:eastAsia="黑体" w:cs="黑体"/>
        <w:spacing w:val="0"/>
        <w:w w:val="99"/>
        <w:sz w:val="21"/>
        <w:szCs w:val="21"/>
        <w:lang w:val="en-US" w:eastAsia="en-US" w:bidi="en-US"/>
      </w:rPr>
    </w:lvl>
    <w:lvl w:ilvl="1" w:tentative="0">
      <w:start w:val="2"/>
      <w:numFmt w:val="upperRoman"/>
      <w:lvlText w:val="%2"/>
      <w:lvlJc w:val="left"/>
      <w:pPr>
        <w:ind w:left="4744" w:hanging="262"/>
        <w:jc w:val="left"/>
      </w:pPr>
      <w:rPr>
        <w:rFonts w:hint="default" w:ascii="黑体" w:hAnsi="黑体" w:eastAsia="黑体" w:cs="黑体"/>
        <w:spacing w:val="0"/>
        <w:w w:val="99"/>
        <w:sz w:val="21"/>
        <w:szCs w:val="21"/>
        <w:lang w:val="en-US" w:eastAsia="en-US" w:bidi="en-US"/>
      </w:rPr>
    </w:lvl>
    <w:lvl w:ilvl="2" w:tentative="0">
      <w:start w:val="0"/>
      <w:numFmt w:val="bullet"/>
      <w:lvlText w:val="•"/>
      <w:lvlJc w:val="left"/>
      <w:pPr>
        <w:ind w:left="5342" w:hanging="262"/>
      </w:pPr>
      <w:rPr>
        <w:rFonts w:hint="default"/>
        <w:lang w:val="en-US" w:eastAsia="en-US" w:bidi="en-US"/>
      </w:rPr>
    </w:lvl>
    <w:lvl w:ilvl="3" w:tentative="0">
      <w:start w:val="0"/>
      <w:numFmt w:val="bullet"/>
      <w:lvlText w:val="•"/>
      <w:lvlJc w:val="left"/>
      <w:pPr>
        <w:ind w:left="5945" w:hanging="262"/>
      </w:pPr>
      <w:rPr>
        <w:rFonts w:hint="default"/>
        <w:lang w:val="en-US" w:eastAsia="en-US" w:bidi="en-US"/>
      </w:rPr>
    </w:lvl>
    <w:lvl w:ilvl="4" w:tentative="0">
      <w:start w:val="0"/>
      <w:numFmt w:val="bullet"/>
      <w:lvlText w:val="•"/>
      <w:lvlJc w:val="left"/>
      <w:pPr>
        <w:ind w:left="6548" w:hanging="262"/>
      </w:pPr>
      <w:rPr>
        <w:rFonts w:hint="default"/>
        <w:lang w:val="en-US" w:eastAsia="en-US" w:bidi="en-US"/>
      </w:rPr>
    </w:lvl>
    <w:lvl w:ilvl="5" w:tentative="0">
      <w:start w:val="0"/>
      <w:numFmt w:val="bullet"/>
      <w:lvlText w:val="•"/>
      <w:lvlJc w:val="left"/>
      <w:pPr>
        <w:ind w:left="7151" w:hanging="262"/>
      </w:pPr>
      <w:rPr>
        <w:rFonts w:hint="default"/>
        <w:lang w:val="en-US" w:eastAsia="en-US" w:bidi="en-US"/>
      </w:rPr>
    </w:lvl>
    <w:lvl w:ilvl="6" w:tentative="0">
      <w:start w:val="0"/>
      <w:numFmt w:val="bullet"/>
      <w:lvlText w:val="•"/>
      <w:lvlJc w:val="left"/>
      <w:pPr>
        <w:ind w:left="7754" w:hanging="262"/>
      </w:pPr>
      <w:rPr>
        <w:rFonts w:hint="default"/>
        <w:lang w:val="en-US" w:eastAsia="en-US" w:bidi="en-US"/>
      </w:rPr>
    </w:lvl>
    <w:lvl w:ilvl="7" w:tentative="0">
      <w:start w:val="0"/>
      <w:numFmt w:val="bullet"/>
      <w:lvlText w:val="•"/>
      <w:lvlJc w:val="left"/>
      <w:pPr>
        <w:ind w:left="8357" w:hanging="262"/>
      </w:pPr>
      <w:rPr>
        <w:rFonts w:hint="default"/>
        <w:lang w:val="en-US" w:eastAsia="en-US" w:bidi="en-US"/>
      </w:rPr>
    </w:lvl>
    <w:lvl w:ilvl="8" w:tentative="0">
      <w:start w:val="0"/>
      <w:numFmt w:val="bullet"/>
      <w:lvlText w:val="•"/>
      <w:lvlJc w:val="left"/>
      <w:pPr>
        <w:ind w:left="8960" w:hanging="262"/>
      </w:pPr>
      <w:rPr>
        <w:rFonts w:hint="default"/>
        <w:lang w:val="en-US" w:eastAsia="en-US" w:bidi="en-US"/>
      </w:rPr>
    </w:lvl>
  </w:abstractNum>
  <w:abstractNum w:abstractNumId="123">
    <w:nsid w:val="18F74015"/>
    <w:multiLevelType w:val="multilevel"/>
    <w:tmpl w:val="18F74015"/>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6"/>
      <w:numFmt w:val="decimal"/>
      <w:lvlText w:val="%2"/>
      <w:lvlJc w:val="left"/>
      <w:pPr>
        <w:ind w:left="4600" w:hanging="420"/>
        <w:jc w:val="left"/>
      </w:pPr>
      <w:rPr>
        <w:rFonts w:hint="default" w:ascii="宋体" w:hAnsi="宋体" w:eastAsia="宋体" w:cs="宋体"/>
        <w:b/>
        <w:bCs/>
        <w:w w:val="98"/>
        <w:sz w:val="32"/>
        <w:szCs w:val="32"/>
        <w:lang w:val="en-US" w:eastAsia="en-US" w:bidi="en-US"/>
      </w:rPr>
    </w:lvl>
    <w:lvl w:ilvl="2" w:tentative="0">
      <w:start w:val="1"/>
      <w:numFmt w:val="decimal"/>
      <w:lvlText w:val="%2.%3"/>
      <w:lvlJc w:val="left"/>
      <w:pPr>
        <w:ind w:left="4823" w:hanging="42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5488" w:hanging="420"/>
      </w:pPr>
      <w:rPr>
        <w:rFonts w:hint="default"/>
        <w:lang w:val="en-US" w:eastAsia="en-US" w:bidi="en-US"/>
      </w:rPr>
    </w:lvl>
    <w:lvl w:ilvl="4" w:tentative="0">
      <w:start w:val="0"/>
      <w:numFmt w:val="bullet"/>
      <w:lvlText w:val="•"/>
      <w:lvlJc w:val="left"/>
      <w:pPr>
        <w:ind w:left="6156" w:hanging="420"/>
      </w:pPr>
      <w:rPr>
        <w:rFonts w:hint="default"/>
        <w:lang w:val="en-US" w:eastAsia="en-US" w:bidi="en-US"/>
      </w:rPr>
    </w:lvl>
    <w:lvl w:ilvl="5" w:tentative="0">
      <w:start w:val="0"/>
      <w:numFmt w:val="bullet"/>
      <w:lvlText w:val="•"/>
      <w:lvlJc w:val="left"/>
      <w:pPr>
        <w:ind w:left="6824" w:hanging="420"/>
      </w:pPr>
      <w:rPr>
        <w:rFonts w:hint="default"/>
        <w:lang w:val="en-US" w:eastAsia="en-US" w:bidi="en-US"/>
      </w:rPr>
    </w:lvl>
    <w:lvl w:ilvl="6" w:tentative="0">
      <w:start w:val="0"/>
      <w:numFmt w:val="bullet"/>
      <w:lvlText w:val="•"/>
      <w:lvlJc w:val="left"/>
      <w:pPr>
        <w:ind w:left="7493" w:hanging="420"/>
      </w:pPr>
      <w:rPr>
        <w:rFonts w:hint="default"/>
        <w:lang w:val="en-US" w:eastAsia="en-US" w:bidi="en-US"/>
      </w:rPr>
    </w:lvl>
    <w:lvl w:ilvl="7" w:tentative="0">
      <w:start w:val="0"/>
      <w:numFmt w:val="bullet"/>
      <w:lvlText w:val="•"/>
      <w:lvlJc w:val="left"/>
      <w:pPr>
        <w:ind w:left="8161" w:hanging="420"/>
      </w:pPr>
      <w:rPr>
        <w:rFonts w:hint="default"/>
        <w:lang w:val="en-US" w:eastAsia="en-US" w:bidi="en-US"/>
      </w:rPr>
    </w:lvl>
    <w:lvl w:ilvl="8" w:tentative="0">
      <w:start w:val="0"/>
      <w:numFmt w:val="bullet"/>
      <w:lvlText w:val="•"/>
      <w:lvlJc w:val="left"/>
      <w:pPr>
        <w:ind w:left="8829" w:hanging="420"/>
      </w:pPr>
      <w:rPr>
        <w:rFonts w:hint="default"/>
        <w:lang w:val="en-US" w:eastAsia="en-US" w:bidi="en-US"/>
      </w:rPr>
    </w:lvl>
  </w:abstractNum>
  <w:abstractNum w:abstractNumId="124">
    <w:nsid w:val="192B173A"/>
    <w:multiLevelType w:val="multilevel"/>
    <w:tmpl w:val="192B173A"/>
    <w:lvl w:ilvl="0" w:tentative="0">
      <w:start w:val="8"/>
      <w:numFmt w:val="decimal"/>
      <w:lvlText w:val="%1"/>
      <w:lvlJc w:val="left"/>
      <w:pPr>
        <w:ind w:left="112" w:hanging="840"/>
        <w:jc w:val="left"/>
      </w:pPr>
      <w:rPr>
        <w:rFonts w:hint="default"/>
        <w:lang w:val="en-US" w:eastAsia="en-US" w:bidi="en-US"/>
      </w:rPr>
    </w:lvl>
    <w:lvl w:ilvl="1" w:tentative="0">
      <w:start w:val="3"/>
      <w:numFmt w:val="decimal"/>
      <w:lvlText w:val="%1.%2"/>
      <w:lvlJc w:val="left"/>
      <w:pPr>
        <w:ind w:left="112" w:hanging="840"/>
        <w:jc w:val="left"/>
      </w:pPr>
      <w:rPr>
        <w:rFonts w:hint="default"/>
        <w:lang w:val="en-US" w:eastAsia="en-US" w:bidi="en-US"/>
      </w:rPr>
    </w:lvl>
    <w:lvl w:ilvl="2" w:tentative="0">
      <w:start w:val="32"/>
      <w:numFmt w:val="decimal"/>
      <w:lvlText w:val="%1.%2.%3"/>
      <w:lvlJc w:val="left"/>
      <w:pPr>
        <w:ind w:left="11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112" w:hanging="420"/>
        <w:jc w:val="left"/>
      </w:pPr>
      <w:rPr>
        <w:rFonts w:hint="default" w:ascii="宋体" w:hAnsi="宋体" w:eastAsia="宋体" w:cs="宋体"/>
        <w:w w:val="99"/>
        <w:sz w:val="21"/>
        <w:szCs w:val="21"/>
        <w:lang w:val="en-US" w:eastAsia="en-US" w:bidi="en-US"/>
      </w:rPr>
    </w:lvl>
    <w:lvl w:ilvl="4" w:tentative="0">
      <w:start w:val="0"/>
      <w:numFmt w:val="bullet"/>
      <w:lvlText w:val="•"/>
      <w:lvlJc w:val="left"/>
      <w:pPr>
        <w:ind w:left="4098" w:hanging="420"/>
      </w:pPr>
      <w:rPr>
        <w:rFonts w:hint="default"/>
        <w:lang w:val="en-US" w:eastAsia="en-US" w:bidi="en-US"/>
      </w:rPr>
    </w:lvl>
    <w:lvl w:ilvl="5" w:tentative="0">
      <w:start w:val="0"/>
      <w:numFmt w:val="bullet"/>
      <w:lvlText w:val="•"/>
      <w:lvlJc w:val="left"/>
      <w:pPr>
        <w:ind w:left="5093" w:hanging="420"/>
      </w:pPr>
      <w:rPr>
        <w:rFonts w:hint="default"/>
        <w:lang w:val="en-US" w:eastAsia="en-US" w:bidi="en-US"/>
      </w:rPr>
    </w:lvl>
    <w:lvl w:ilvl="6" w:tentative="0">
      <w:start w:val="0"/>
      <w:numFmt w:val="bullet"/>
      <w:lvlText w:val="•"/>
      <w:lvlJc w:val="left"/>
      <w:pPr>
        <w:ind w:left="6087" w:hanging="420"/>
      </w:pPr>
      <w:rPr>
        <w:rFonts w:hint="default"/>
        <w:lang w:val="en-US" w:eastAsia="en-US" w:bidi="en-US"/>
      </w:rPr>
    </w:lvl>
    <w:lvl w:ilvl="7" w:tentative="0">
      <w:start w:val="0"/>
      <w:numFmt w:val="bullet"/>
      <w:lvlText w:val="•"/>
      <w:lvlJc w:val="left"/>
      <w:pPr>
        <w:ind w:left="7082" w:hanging="420"/>
      </w:pPr>
      <w:rPr>
        <w:rFonts w:hint="default"/>
        <w:lang w:val="en-US" w:eastAsia="en-US" w:bidi="en-US"/>
      </w:rPr>
    </w:lvl>
    <w:lvl w:ilvl="8" w:tentative="0">
      <w:start w:val="0"/>
      <w:numFmt w:val="bullet"/>
      <w:lvlText w:val="•"/>
      <w:lvlJc w:val="left"/>
      <w:pPr>
        <w:ind w:left="8076" w:hanging="420"/>
      </w:pPr>
      <w:rPr>
        <w:rFonts w:hint="default"/>
        <w:lang w:val="en-US" w:eastAsia="en-US" w:bidi="en-US"/>
      </w:rPr>
    </w:lvl>
  </w:abstractNum>
  <w:abstractNum w:abstractNumId="125">
    <w:nsid w:val="1ACDE60F"/>
    <w:multiLevelType w:val="multilevel"/>
    <w:tmpl w:val="1ACDE60F"/>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26">
    <w:nsid w:val="1AD50295"/>
    <w:multiLevelType w:val="multilevel"/>
    <w:tmpl w:val="1AD50295"/>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27">
    <w:nsid w:val="1B3FCE26"/>
    <w:multiLevelType w:val="multilevel"/>
    <w:tmpl w:val="1B3FCE26"/>
    <w:lvl w:ilvl="0" w:tentative="0">
      <w:start w:val="1"/>
      <w:numFmt w:val="decimal"/>
      <w:lvlText w:val="%1"/>
      <w:lvlJc w:val="left"/>
      <w:pPr>
        <w:ind w:left="1060"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970" w:hanging="420"/>
      </w:pPr>
      <w:rPr>
        <w:rFonts w:hint="default"/>
        <w:lang w:val="en-US" w:eastAsia="en-US" w:bidi="en-US"/>
      </w:rPr>
    </w:lvl>
    <w:lvl w:ilvl="2" w:tentative="0">
      <w:start w:val="0"/>
      <w:numFmt w:val="bullet"/>
      <w:lvlText w:val="•"/>
      <w:lvlJc w:val="left"/>
      <w:pPr>
        <w:ind w:left="2881" w:hanging="420"/>
      </w:pPr>
      <w:rPr>
        <w:rFonts w:hint="default"/>
        <w:lang w:val="en-US" w:eastAsia="en-US" w:bidi="en-US"/>
      </w:rPr>
    </w:lvl>
    <w:lvl w:ilvl="3" w:tentative="0">
      <w:start w:val="0"/>
      <w:numFmt w:val="bullet"/>
      <w:lvlText w:val="•"/>
      <w:lvlJc w:val="left"/>
      <w:pPr>
        <w:ind w:left="3791" w:hanging="420"/>
      </w:pPr>
      <w:rPr>
        <w:rFonts w:hint="default"/>
        <w:lang w:val="en-US" w:eastAsia="en-US" w:bidi="en-US"/>
      </w:rPr>
    </w:lvl>
    <w:lvl w:ilvl="4" w:tentative="0">
      <w:start w:val="0"/>
      <w:numFmt w:val="bullet"/>
      <w:lvlText w:val="•"/>
      <w:lvlJc w:val="left"/>
      <w:pPr>
        <w:ind w:left="4702" w:hanging="420"/>
      </w:pPr>
      <w:rPr>
        <w:rFonts w:hint="default"/>
        <w:lang w:val="en-US" w:eastAsia="en-US" w:bidi="en-US"/>
      </w:rPr>
    </w:lvl>
    <w:lvl w:ilvl="5" w:tentative="0">
      <w:start w:val="0"/>
      <w:numFmt w:val="bullet"/>
      <w:lvlText w:val="•"/>
      <w:lvlJc w:val="left"/>
      <w:pPr>
        <w:ind w:left="5613" w:hanging="420"/>
      </w:pPr>
      <w:rPr>
        <w:rFonts w:hint="default"/>
        <w:lang w:val="en-US" w:eastAsia="en-US" w:bidi="en-US"/>
      </w:rPr>
    </w:lvl>
    <w:lvl w:ilvl="6" w:tentative="0">
      <w:start w:val="0"/>
      <w:numFmt w:val="bullet"/>
      <w:lvlText w:val="•"/>
      <w:lvlJc w:val="left"/>
      <w:pPr>
        <w:ind w:left="6523" w:hanging="420"/>
      </w:pPr>
      <w:rPr>
        <w:rFonts w:hint="default"/>
        <w:lang w:val="en-US" w:eastAsia="en-US" w:bidi="en-US"/>
      </w:rPr>
    </w:lvl>
    <w:lvl w:ilvl="7" w:tentative="0">
      <w:start w:val="0"/>
      <w:numFmt w:val="bullet"/>
      <w:lvlText w:val="•"/>
      <w:lvlJc w:val="left"/>
      <w:pPr>
        <w:ind w:left="7434" w:hanging="420"/>
      </w:pPr>
      <w:rPr>
        <w:rFonts w:hint="default"/>
        <w:lang w:val="en-US" w:eastAsia="en-US" w:bidi="en-US"/>
      </w:rPr>
    </w:lvl>
    <w:lvl w:ilvl="8" w:tentative="0">
      <w:start w:val="0"/>
      <w:numFmt w:val="bullet"/>
      <w:lvlText w:val="•"/>
      <w:lvlJc w:val="left"/>
      <w:pPr>
        <w:ind w:left="8344" w:hanging="420"/>
      </w:pPr>
      <w:rPr>
        <w:rFonts w:hint="default"/>
        <w:lang w:val="en-US" w:eastAsia="en-US" w:bidi="en-US"/>
      </w:rPr>
    </w:lvl>
  </w:abstractNum>
  <w:abstractNum w:abstractNumId="128">
    <w:nsid w:val="1BCBBCF0"/>
    <w:multiLevelType w:val="multilevel"/>
    <w:tmpl w:val="1BCBBCF0"/>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8"/>
      <w:numFmt w:val="decimal"/>
      <w:lvlText w:val="%2"/>
      <w:lvlJc w:val="left"/>
      <w:pPr>
        <w:ind w:left="4600" w:hanging="420"/>
        <w:jc w:val="left"/>
      </w:pPr>
      <w:rPr>
        <w:rFonts w:hint="default" w:ascii="宋体" w:hAnsi="宋体" w:eastAsia="宋体" w:cs="宋体"/>
        <w:b/>
        <w:bCs/>
        <w:w w:val="98"/>
        <w:sz w:val="32"/>
        <w:szCs w:val="32"/>
        <w:lang w:val="en-US" w:eastAsia="en-US" w:bidi="en-US"/>
      </w:rPr>
    </w:lvl>
    <w:lvl w:ilvl="2" w:tentative="0">
      <w:start w:val="1"/>
      <w:numFmt w:val="decimal"/>
      <w:lvlText w:val="%2.%3"/>
      <w:lvlJc w:val="left"/>
      <w:pPr>
        <w:ind w:left="4823" w:hanging="42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5488" w:hanging="420"/>
      </w:pPr>
      <w:rPr>
        <w:rFonts w:hint="default"/>
        <w:lang w:val="en-US" w:eastAsia="en-US" w:bidi="en-US"/>
      </w:rPr>
    </w:lvl>
    <w:lvl w:ilvl="4" w:tentative="0">
      <w:start w:val="0"/>
      <w:numFmt w:val="bullet"/>
      <w:lvlText w:val="•"/>
      <w:lvlJc w:val="left"/>
      <w:pPr>
        <w:ind w:left="6156" w:hanging="420"/>
      </w:pPr>
      <w:rPr>
        <w:rFonts w:hint="default"/>
        <w:lang w:val="en-US" w:eastAsia="en-US" w:bidi="en-US"/>
      </w:rPr>
    </w:lvl>
    <w:lvl w:ilvl="5" w:tentative="0">
      <w:start w:val="0"/>
      <w:numFmt w:val="bullet"/>
      <w:lvlText w:val="•"/>
      <w:lvlJc w:val="left"/>
      <w:pPr>
        <w:ind w:left="6824" w:hanging="420"/>
      </w:pPr>
      <w:rPr>
        <w:rFonts w:hint="default"/>
        <w:lang w:val="en-US" w:eastAsia="en-US" w:bidi="en-US"/>
      </w:rPr>
    </w:lvl>
    <w:lvl w:ilvl="6" w:tentative="0">
      <w:start w:val="0"/>
      <w:numFmt w:val="bullet"/>
      <w:lvlText w:val="•"/>
      <w:lvlJc w:val="left"/>
      <w:pPr>
        <w:ind w:left="7493" w:hanging="420"/>
      </w:pPr>
      <w:rPr>
        <w:rFonts w:hint="default"/>
        <w:lang w:val="en-US" w:eastAsia="en-US" w:bidi="en-US"/>
      </w:rPr>
    </w:lvl>
    <w:lvl w:ilvl="7" w:tentative="0">
      <w:start w:val="0"/>
      <w:numFmt w:val="bullet"/>
      <w:lvlText w:val="•"/>
      <w:lvlJc w:val="left"/>
      <w:pPr>
        <w:ind w:left="8161" w:hanging="420"/>
      </w:pPr>
      <w:rPr>
        <w:rFonts w:hint="default"/>
        <w:lang w:val="en-US" w:eastAsia="en-US" w:bidi="en-US"/>
      </w:rPr>
    </w:lvl>
    <w:lvl w:ilvl="8" w:tentative="0">
      <w:start w:val="0"/>
      <w:numFmt w:val="bullet"/>
      <w:lvlText w:val="•"/>
      <w:lvlJc w:val="left"/>
      <w:pPr>
        <w:ind w:left="8829" w:hanging="420"/>
      </w:pPr>
      <w:rPr>
        <w:rFonts w:hint="default"/>
        <w:lang w:val="en-US" w:eastAsia="en-US" w:bidi="en-US"/>
      </w:rPr>
    </w:lvl>
  </w:abstractNum>
  <w:abstractNum w:abstractNumId="129">
    <w:nsid w:val="1C01D09A"/>
    <w:multiLevelType w:val="multilevel"/>
    <w:tmpl w:val="1C01D09A"/>
    <w:lvl w:ilvl="0" w:tentative="0">
      <w:start w:val="5"/>
      <w:numFmt w:val="decimal"/>
      <w:lvlText w:val="%1"/>
      <w:lvlJc w:val="left"/>
      <w:pPr>
        <w:ind w:left="1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114" w:hanging="420"/>
      </w:pPr>
      <w:rPr>
        <w:rFonts w:hint="default"/>
        <w:lang w:val="en-US" w:eastAsia="en-US" w:bidi="en-US"/>
      </w:rPr>
    </w:lvl>
    <w:lvl w:ilvl="2" w:tentative="0">
      <w:start w:val="0"/>
      <w:numFmt w:val="bullet"/>
      <w:lvlText w:val="•"/>
      <w:lvlJc w:val="left"/>
      <w:pPr>
        <w:ind w:left="2109" w:hanging="420"/>
      </w:pPr>
      <w:rPr>
        <w:rFonts w:hint="default"/>
        <w:lang w:val="en-US" w:eastAsia="en-US" w:bidi="en-US"/>
      </w:rPr>
    </w:lvl>
    <w:lvl w:ilvl="3" w:tentative="0">
      <w:start w:val="0"/>
      <w:numFmt w:val="bullet"/>
      <w:lvlText w:val="•"/>
      <w:lvlJc w:val="left"/>
      <w:pPr>
        <w:ind w:left="3103" w:hanging="420"/>
      </w:pPr>
      <w:rPr>
        <w:rFonts w:hint="default"/>
        <w:lang w:val="en-US" w:eastAsia="en-US" w:bidi="en-US"/>
      </w:rPr>
    </w:lvl>
    <w:lvl w:ilvl="4" w:tentative="0">
      <w:start w:val="0"/>
      <w:numFmt w:val="bullet"/>
      <w:lvlText w:val="•"/>
      <w:lvlJc w:val="left"/>
      <w:pPr>
        <w:ind w:left="4098" w:hanging="420"/>
      </w:pPr>
      <w:rPr>
        <w:rFonts w:hint="default"/>
        <w:lang w:val="en-US" w:eastAsia="en-US" w:bidi="en-US"/>
      </w:rPr>
    </w:lvl>
    <w:lvl w:ilvl="5" w:tentative="0">
      <w:start w:val="0"/>
      <w:numFmt w:val="bullet"/>
      <w:lvlText w:val="•"/>
      <w:lvlJc w:val="left"/>
      <w:pPr>
        <w:ind w:left="5093" w:hanging="420"/>
      </w:pPr>
      <w:rPr>
        <w:rFonts w:hint="default"/>
        <w:lang w:val="en-US" w:eastAsia="en-US" w:bidi="en-US"/>
      </w:rPr>
    </w:lvl>
    <w:lvl w:ilvl="6" w:tentative="0">
      <w:start w:val="0"/>
      <w:numFmt w:val="bullet"/>
      <w:lvlText w:val="•"/>
      <w:lvlJc w:val="left"/>
      <w:pPr>
        <w:ind w:left="6087" w:hanging="420"/>
      </w:pPr>
      <w:rPr>
        <w:rFonts w:hint="default"/>
        <w:lang w:val="en-US" w:eastAsia="en-US" w:bidi="en-US"/>
      </w:rPr>
    </w:lvl>
    <w:lvl w:ilvl="7" w:tentative="0">
      <w:start w:val="0"/>
      <w:numFmt w:val="bullet"/>
      <w:lvlText w:val="•"/>
      <w:lvlJc w:val="left"/>
      <w:pPr>
        <w:ind w:left="7082" w:hanging="420"/>
      </w:pPr>
      <w:rPr>
        <w:rFonts w:hint="default"/>
        <w:lang w:val="en-US" w:eastAsia="en-US" w:bidi="en-US"/>
      </w:rPr>
    </w:lvl>
    <w:lvl w:ilvl="8" w:tentative="0">
      <w:start w:val="0"/>
      <w:numFmt w:val="bullet"/>
      <w:lvlText w:val="•"/>
      <w:lvlJc w:val="left"/>
      <w:pPr>
        <w:ind w:left="8076" w:hanging="420"/>
      </w:pPr>
      <w:rPr>
        <w:rFonts w:hint="default"/>
        <w:lang w:val="en-US" w:eastAsia="en-US" w:bidi="en-US"/>
      </w:rPr>
    </w:lvl>
  </w:abstractNum>
  <w:abstractNum w:abstractNumId="130">
    <w:nsid w:val="1C257C7B"/>
    <w:multiLevelType w:val="multilevel"/>
    <w:tmpl w:val="1C257C7B"/>
    <w:lvl w:ilvl="0" w:tentative="0">
      <w:start w:val="1"/>
      <w:numFmt w:val="decimal"/>
      <w:lvlText w:val="%1"/>
      <w:lvlJc w:val="left"/>
      <w:pPr>
        <w:ind w:left="1052" w:hanging="416"/>
        <w:jc w:val="right"/>
      </w:pPr>
      <w:rPr>
        <w:rFonts w:hint="default"/>
        <w:b/>
        <w:bCs/>
        <w:w w:val="98"/>
        <w:lang w:val="en-US" w:eastAsia="en-US" w:bidi="en-US"/>
      </w:rPr>
    </w:lvl>
    <w:lvl w:ilvl="1" w:tentative="0">
      <w:start w:val="1"/>
      <w:numFmt w:val="decimal"/>
      <w:lvlText w:val="%1.%2"/>
      <w:lvlJc w:val="left"/>
      <w:pPr>
        <w:ind w:left="4823" w:hanging="420"/>
        <w:jc w:val="right"/>
      </w:pPr>
      <w:rPr>
        <w:rFonts w:hint="default" w:ascii="宋体" w:hAnsi="宋体" w:eastAsia="宋体" w:cs="宋体"/>
        <w:b/>
        <w:bCs/>
        <w:spacing w:val="0"/>
        <w:w w:val="98"/>
        <w:sz w:val="21"/>
        <w:szCs w:val="21"/>
        <w:lang w:val="en-US" w:eastAsia="en-US" w:bidi="en-US"/>
      </w:rPr>
    </w:lvl>
    <w:lvl w:ilvl="2" w:tentative="0">
      <w:start w:val="0"/>
      <w:numFmt w:val="bullet"/>
      <w:lvlText w:val="•"/>
      <w:lvlJc w:val="left"/>
      <w:pPr>
        <w:ind w:left="5414" w:hanging="420"/>
      </w:pPr>
      <w:rPr>
        <w:rFonts w:hint="default"/>
        <w:lang w:val="en-US" w:eastAsia="en-US" w:bidi="en-US"/>
      </w:rPr>
    </w:lvl>
    <w:lvl w:ilvl="3" w:tentative="0">
      <w:start w:val="0"/>
      <w:numFmt w:val="bullet"/>
      <w:lvlText w:val="•"/>
      <w:lvlJc w:val="left"/>
      <w:pPr>
        <w:ind w:left="6008" w:hanging="420"/>
      </w:pPr>
      <w:rPr>
        <w:rFonts w:hint="default"/>
        <w:lang w:val="en-US" w:eastAsia="en-US" w:bidi="en-US"/>
      </w:rPr>
    </w:lvl>
    <w:lvl w:ilvl="4" w:tentative="0">
      <w:start w:val="0"/>
      <w:numFmt w:val="bullet"/>
      <w:lvlText w:val="•"/>
      <w:lvlJc w:val="left"/>
      <w:pPr>
        <w:ind w:left="6602" w:hanging="420"/>
      </w:pPr>
      <w:rPr>
        <w:rFonts w:hint="default"/>
        <w:lang w:val="en-US" w:eastAsia="en-US" w:bidi="en-US"/>
      </w:rPr>
    </w:lvl>
    <w:lvl w:ilvl="5" w:tentative="0">
      <w:start w:val="0"/>
      <w:numFmt w:val="bullet"/>
      <w:lvlText w:val="•"/>
      <w:lvlJc w:val="left"/>
      <w:pPr>
        <w:ind w:left="7196" w:hanging="420"/>
      </w:pPr>
      <w:rPr>
        <w:rFonts w:hint="default"/>
        <w:lang w:val="en-US" w:eastAsia="en-US" w:bidi="en-US"/>
      </w:rPr>
    </w:lvl>
    <w:lvl w:ilvl="6" w:tentative="0">
      <w:start w:val="0"/>
      <w:numFmt w:val="bullet"/>
      <w:lvlText w:val="•"/>
      <w:lvlJc w:val="left"/>
      <w:pPr>
        <w:ind w:left="7790" w:hanging="420"/>
      </w:pPr>
      <w:rPr>
        <w:rFonts w:hint="default"/>
        <w:lang w:val="en-US" w:eastAsia="en-US" w:bidi="en-US"/>
      </w:rPr>
    </w:lvl>
    <w:lvl w:ilvl="7" w:tentative="0">
      <w:start w:val="0"/>
      <w:numFmt w:val="bullet"/>
      <w:lvlText w:val="•"/>
      <w:lvlJc w:val="left"/>
      <w:pPr>
        <w:ind w:left="8384" w:hanging="420"/>
      </w:pPr>
      <w:rPr>
        <w:rFonts w:hint="default"/>
        <w:lang w:val="en-US" w:eastAsia="en-US" w:bidi="en-US"/>
      </w:rPr>
    </w:lvl>
    <w:lvl w:ilvl="8" w:tentative="0">
      <w:start w:val="0"/>
      <w:numFmt w:val="bullet"/>
      <w:lvlText w:val="•"/>
      <w:lvlJc w:val="left"/>
      <w:pPr>
        <w:ind w:left="8978" w:hanging="420"/>
      </w:pPr>
      <w:rPr>
        <w:rFonts w:hint="default"/>
        <w:lang w:val="en-US" w:eastAsia="en-US" w:bidi="en-US"/>
      </w:rPr>
    </w:lvl>
  </w:abstractNum>
  <w:abstractNum w:abstractNumId="131">
    <w:nsid w:val="2007DCFD"/>
    <w:multiLevelType w:val="multilevel"/>
    <w:tmpl w:val="2007DCFD"/>
    <w:lvl w:ilvl="0" w:tentative="0">
      <w:start w:val="4"/>
      <w:numFmt w:val="decimal"/>
      <w:lvlText w:val="%1"/>
      <w:lvlJc w:val="left"/>
      <w:pPr>
        <w:ind w:left="212" w:hanging="840"/>
        <w:jc w:val="left"/>
      </w:pPr>
      <w:rPr>
        <w:rFonts w:hint="default"/>
        <w:lang w:val="en-US" w:eastAsia="en-US" w:bidi="en-US"/>
      </w:rPr>
    </w:lvl>
    <w:lvl w:ilvl="1" w:tentative="0">
      <w:start w:val="1"/>
      <w:numFmt w:val="decimal"/>
      <w:lvlText w:val="%1.%2"/>
      <w:lvlJc w:val="left"/>
      <w:pPr>
        <w:ind w:left="212" w:hanging="840"/>
        <w:jc w:val="left"/>
      </w:pPr>
      <w:rPr>
        <w:rFonts w:hint="default"/>
        <w:lang w:val="en-US" w:eastAsia="en-US" w:bidi="en-US"/>
      </w:rPr>
    </w:lvl>
    <w:lvl w:ilvl="2" w:tentative="0">
      <w:start w:val="9"/>
      <w:numFmt w:val="decimal"/>
      <w:lvlText w:val="%1.%2.%3"/>
      <w:lvlJc w:val="left"/>
      <w:pPr>
        <w:ind w:left="21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212" w:hanging="413"/>
        <w:jc w:val="left"/>
      </w:pPr>
      <w:rPr>
        <w:rFonts w:hint="default"/>
        <w:w w:val="99"/>
        <w:lang w:val="en-US" w:eastAsia="en-US" w:bidi="en-US"/>
      </w:rPr>
    </w:lvl>
    <w:lvl w:ilvl="4" w:tentative="0">
      <w:start w:val="0"/>
      <w:numFmt w:val="bullet"/>
      <w:lvlText w:val="•"/>
      <w:lvlJc w:val="left"/>
      <w:pPr>
        <w:ind w:left="4198" w:hanging="413"/>
      </w:pPr>
      <w:rPr>
        <w:rFonts w:hint="default"/>
        <w:lang w:val="en-US" w:eastAsia="en-US" w:bidi="en-US"/>
      </w:rPr>
    </w:lvl>
    <w:lvl w:ilvl="5" w:tentative="0">
      <w:start w:val="0"/>
      <w:numFmt w:val="bullet"/>
      <w:lvlText w:val="•"/>
      <w:lvlJc w:val="left"/>
      <w:pPr>
        <w:ind w:left="5193" w:hanging="413"/>
      </w:pPr>
      <w:rPr>
        <w:rFonts w:hint="default"/>
        <w:lang w:val="en-US" w:eastAsia="en-US" w:bidi="en-US"/>
      </w:rPr>
    </w:lvl>
    <w:lvl w:ilvl="6" w:tentative="0">
      <w:start w:val="0"/>
      <w:numFmt w:val="bullet"/>
      <w:lvlText w:val="•"/>
      <w:lvlJc w:val="left"/>
      <w:pPr>
        <w:ind w:left="6187" w:hanging="413"/>
      </w:pPr>
      <w:rPr>
        <w:rFonts w:hint="default"/>
        <w:lang w:val="en-US" w:eastAsia="en-US" w:bidi="en-US"/>
      </w:rPr>
    </w:lvl>
    <w:lvl w:ilvl="7" w:tentative="0">
      <w:start w:val="0"/>
      <w:numFmt w:val="bullet"/>
      <w:lvlText w:val="•"/>
      <w:lvlJc w:val="left"/>
      <w:pPr>
        <w:ind w:left="7182" w:hanging="413"/>
      </w:pPr>
      <w:rPr>
        <w:rFonts w:hint="default"/>
        <w:lang w:val="en-US" w:eastAsia="en-US" w:bidi="en-US"/>
      </w:rPr>
    </w:lvl>
    <w:lvl w:ilvl="8" w:tentative="0">
      <w:start w:val="0"/>
      <w:numFmt w:val="bullet"/>
      <w:lvlText w:val="•"/>
      <w:lvlJc w:val="left"/>
      <w:pPr>
        <w:ind w:left="8176" w:hanging="413"/>
      </w:pPr>
      <w:rPr>
        <w:rFonts w:hint="default"/>
        <w:lang w:val="en-US" w:eastAsia="en-US" w:bidi="en-US"/>
      </w:rPr>
    </w:lvl>
  </w:abstractNum>
  <w:abstractNum w:abstractNumId="132">
    <w:nsid w:val="21B3B1B1"/>
    <w:multiLevelType w:val="multilevel"/>
    <w:tmpl w:val="21B3B1B1"/>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33">
    <w:nsid w:val="227C9188"/>
    <w:multiLevelType w:val="multilevel"/>
    <w:tmpl w:val="227C9188"/>
    <w:lvl w:ilvl="0" w:tentative="0">
      <w:start w:val="1"/>
      <w:numFmt w:val="decimal"/>
      <w:lvlText w:val="%1"/>
      <w:lvlJc w:val="left"/>
      <w:pPr>
        <w:ind w:left="212" w:hanging="420"/>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214" w:hanging="420"/>
      </w:pPr>
      <w:rPr>
        <w:rFonts w:hint="default"/>
        <w:lang w:val="en-US" w:eastAsia="en-US" w:bidi="en-US"/>
      </w:rPr>
    </w:lvl>
    <w:lvl w:ilvl="2" w:tentative="0">
      <w:start w:val="0"/>
      <w:numFmt w:val="bullet"/>
      <w:lvlText w:val="•"/>
      <w:lvlJc w:val="left"/>
      <w:pPr>
        <w:ind w:left="2209" w:hanging="420"/>
      </w:pPr>
      <w:rPr>
        <w:rFonts w:hint="default"/>
        <w:lang w:val="en-US" w:eastAsia="en-US" w:bidi="en-US"/>
      </w:rPr>
    </w:lvl>
    <w:lvl w:ilvl="3" w:tentative="0">
      <w:start w:val="0"/>
      <w:numFmt w:val="bullet"/>
      <w:lvlText w:val="•"/>
      <w:lvlJc w:val="left"/>
      <w:pPr>
        <w:ind w:left="3203" w:hanging="420"/>
      </w:pPr>
      <w:rPr>
        <w:rFonts w:hint="default"/>
        <w:lang w:val="en-US" w:eastAsia="en-US" w:bidi="en-US"/>
      </w:rPr>
    </w:lvl>
    <w:lvl w:ilvl="4" w:tentative="0">
      <w:start w:val="0"/>
      <w:numFmt w:val="bullet"/>
      <w:lvlText w:val="•"/>
      <w:lvlJc w:val="left"/>
      <w:pPr>
        <w:ind w:left="4198" w:hanging="420"/>
      </w:pPr>
      <w:rPr>
        <w:rFonts w:hint="default"/>
        <w:lang w:val="en-US" w:eastAsia="en-US" w:bidi="en-US"/>
      </w:rPr>
    </w:lvl>
    <w:lvl w:ilvl="5" w:tentative="0">
      <w:start w:val="0"/>
      <w:numFmt w:val="bullet"/>
      <w:lvlText w:val="•"/>
      <w:lvlJc w:val="left"/>
      <w:pPr>
        <w:ind w:left="5193" w:hanging="420"/>
      </w:pPr>
      <w:rPr>
        <w:rFonts w:hint="default"/>
        <w:lang w:val="en-US" w:eastAsia="en-US" w:bidi="en-US"/>
      </w:rPr>
    </w:lvl>
    <w:lvl w:ilvl="6" w:tentative="0">
      <w:start w:val="0"/>
      <w:numFmt w:val="bullet"/>
      <w:lvlText w:val="•"/>
      <w:lvlJc w:val="left"/>
      <w:pPr>
        <w:ind w:left="6187" w:hanging="420"/>
      </w:pPr>
      <w:rPr>
        <w:rFonts w:hint="default"/>
        <w:lang w:val="en-US" w:eastAsia="en-US" w:bidi="en-US"/>
      </w:rPr>
    </w:lvl>
    <w:lvl w:ilvl="7" w:tentative="0">
      <w:start w:val="0"/>
      <w:numFmt w:val="bullet"/>
      <w:lvlText w:val="•"/>
      <w:lvlJc w:val="left"/>
      <w:pPr>
        <w:ind w:left="7182" w:hanging="420"/>
      </w:pPr>
      <w:rPr>
        <w:rFonts w:hint="default"/>
        <w:lang w:val="en-US" w:eastAsia="en-US" w:bidi="en-US"/>
      </w:rPr>
    </w:lvl>
    <w:lvl w:ilvl="8" w:tentative="0">
      <w:start w:val="0"/>
      <w:numFmt w:val="bullet"/>
      <w:lvlText w:val="•"/>
      <w:lvlJc w:val="left"/>
      <w:pPr>
        <w:ind w:left="8176" w:hanging="420"/>
      </w:pPr>
      <w:rPr>
        <w:rFonts w:hint="default"/>
        <w:lang w:val="en-US" w:eastAsia="en-US" w:bidi="en-US"/>
      </w:rPr>
    </w:lvl>
  </w:abstractNum>
  <w:abstractNum w:abstractNumId="134">
    <w:nsid w:val="23E97754"/>
    <w:multiLevelType w:val="multilevel"/>
    <w:tmpl w:val="23E97754"/>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35">
    <w:nsid w:val="243FCF68"/>
    <w:multiLevelType w:val="multilevel"/>
    <w:tmpl w:val="243FCF68"/>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36">
    <w:nsid w:val="2470EC97"/>
    <w:multiLevelType w:val="multilevel"/>
    <w:tmpl w:val="2470EC97"/>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37">
    <w:nsid w:val="251342A6"/>
    <w:multiLevelType w:val="multilevel"/>
    <w:tmpl w:val="251342A6"/>
    <w:lvl w:ilvl="0" w:tentative="0">
      <w:start w:val="8"/>
      <w:numFmt w:val="decimal"/>
      <w:lvlText w:val="%1"/>
      <w:lvlJc w:val="left"/>
      <w:pPr>
        <w:ind w:left="212" w:hanging="840"/>
        <w:jc w:val="left"/>
      </w:pPr>
      <w:rPr>
        <w:rFonts w:hint="default"/>
        <w:lang w:val="en-US" w:eastAsia="en-US" w:bidi="en-US"/>
      </w:rPr>
    </w:lvl>
    <w:lvl w:ilvl="1" w:tentative="0">
      <w:start w:val="5"/>
      <w:numFmt w:val="decimal"/>
      <w:lvlText w:val="%1.%2"/>
      <w:lvlJc w:val="left"/>
      <w:pPr>
        <w:ind w:left="212" w:hanging="840"/>
        <w:jc w:val="left"/>
      </w:pPr>
      <w:rPr>
        <w:rFonts w:hint="default"/>
        <w:lang w:val="en-US" w:eastAsia="en-US" w:bidi="en-US"/>
      </w:rPr>
    </w:lvl>
    <w:lvl w:ilvl="2" w:tentative="0">
      <w:start w:val="1"/>
      <w:numFmt w:val="decimal"/>
      <w:lvlText w:val="%1.%2.%3"/>
      <w:lvlJc w:val="left"/>
      <w:pPr>
        <w:ind w:left="21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212" w:hanging="416"/>
        <w:jc w:val="left"/>
      </w:pPr>
      <w:rPr>
        <w:rFonts w:hint="default" w:ascii="宋体" w:hAnsi="宋体" w:eastAsia="宋体" w:cs="宋体"/>
        <w:b/>
        <w:bCs/>
        <w:w w:val="98"/>
        <w:sz w:val="21"/>
        <w:szCs w:val="21"/>
        <w:lang w:val="en-US" w:eastAsia="en-US" w:bidi="en-US"/>
      </w:rPr>
    </w:lvl>
    <w:lvl w:ilvl="4" w:tentative="0">
      <w:start w:val="0"/>
      <w:numFmt w:val="bullet"/>
      <w:lvlText w:val="•"/>
      <w:lvlJc w:val="left"/>
      <w:pPr>
        <w:ind w:left="4198" w:hanging="416"/>
      </w:pPr>
      <w:rPr>
        <w:rFonts w:hint="default"/>
        <w:lang w:val="en-US" w:eastAsia="en-US" w:bidi="en-US"/>
      </w:rPr>
    </w:lvl>
    <w:lvl w:ilvl="5" w:tentative="0">
      <w:start w:val="0"/>
      <w:numFmt w:val="bullet"/>
      <w:lvlText w:val="•"/>
      <w:lvlJc w:val="left"/>
      <w:pPr>
        <w:ind w:left="5193" w:hanging="416"/>
      </w:pPr>
      <w:rPr>
        <w:rFonts w:hint="default"/>
        <w:lang w:val="en-US" w:eastAsia="en-US" w:bidi="en-US"/>
      </w:rPr>
    </w:lvl>
    <w:lvl w:ilvl="6" w:tentative="0">
      <w:start w:val="0"/>
      <w:numFmt w:val="bullet"/>
      <w:lvlText w:val="•"/>
      <w:lvlJc w:val="left"/>
      <w:pPr>
        <w:ind w:left="6187" w:hanging="416"/>
      </w:pPr>
      <w:rPr>
        <w:rFonts w:hint="default"/>
        <w:lang w:val="en-US" w:eastAsia="en-US" w:bidi="en-US"/>
      </w:rPr>
    </w:lvl>
    <w:lvl w:ilvl="7" w:tentative="0">
      <w:start w:val="0"/>
      <w:numFmt w:val="bullet"/>
      <w:lvlText w:val="•"/>
      <w:lvlJc w:val="left"/>
      <w:pPr>
        <w:ind w:left="7182" w:hanging="416"/>
      </w:pPr>
      <w:rPr>
        <w:rFonts w:hint="default"/>
        <w:lang w:val="en-US" w:eastAsia="en-US" w:bidi="en-US"/>
      </w:rPr>
    </w:lvl>
    <w:lvl w:ilvl="8" w:tentative="0">
      <w:start w:val="0"/>
      <w:numFmt w:val="bullet"/>
      <w:lvlText w:val="•"/>
      <w:lvlJc w:val="left"/>
      <w:pPr>
        <w:ind w:left="8176" w:hanging="416"/>
      </w:pPr>
      <w:rPr>
        <w:rFonts w:hint="default"/>
        <w:lang w:val="en-US" w:eastAsia="en-US" w:bidi="en-US"/>
      </w:rPr>
    </w:lvl>
  </w:abstractNum>
  <w:abstractNum w:abstractNumId="138">
    <w:nsid w:val="252BF6AB"/>
    <w:multiLevelType w:val="multilevel"/>
    <w:tmpl w:val="252BF6AB"/>
    <w:lvl w:ilvl="0" w:tentative="0">
      <w:start w:val="1"/>
      <w:numFmt w:val="decimal"/>
      <w:lvlText w:val="%1"/>
      <w:lvlJc w:val="left"/>
      <w:pPr>
        <w:ind w:left="2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214" w:hanging="420"/>
      </w:pPr>
      <w:rPr>
        <w:rFonts w:hint="default"/>
        <w:lang w:val="en-US" w:eastAsia="en-US" w:bidi="en-US"/>
      </w:rPr>
    </w:lvl>
    <w:lvl w:ilvl="2" w:tentative="0">
      <w:start w:val="0"/>
      <w:numFmt w:val="bullet"/>
      <w:lvlText w:val="•"/>
      <w:lvlJc w:val="left"/>
      <w:pPr>
        <w:ind w:left="2209" w:hanging="420"/>
      </w:pPr>
      <w:rPr>
        <w:rFonts w:hint="default"/>
        <w:lang w:val="en-US" w:eastAsia="en-US" w:bidi="en-US"/>
      </w:rPr>
    </w:lvl>
    <w:lvl w:ilvl="3" w:tentative="0">
      <w:start w:val="0"/>
      <w:numFmt w:val="bullet"/>
      <w:lvlText w:val="•"/>
      <w:lvlJc w:val="left"/>
      <w:pPr>
        <w:ind w:left="3203" w:hanging="420"/>
      </w:pPr>
      <w:rPr>
        <w:rFonts w:hint="default"/>
        <w:lang w:val="en-US" w:eastAsia="en-US" w:bidi="en-US"/>
      </w:rPr>
    </w:lvl>
    <w:lvl w:ilvl="4" w:tentative="0">
      <w:start w:val="0"/>
      <w:numFmt w:val="bullet"/>
      <w:lvlText w:val="•"/>
      <w:lvlJc w:val="left"/>
      <w:pPr>
        <w:ind w:left="4198" w:hanging="420"/>
      </w:pPr>
      <w:rPr>
        <w:rFonts w:hint="default"/>
        <w:lang w:val="en-US" w:eastAsia="en-US" w:bidi="en-US"/>
      </w:rPr>
    </w:lvl>
    <w:lvl w:ilvl="5" w:tentative="0">
      <w:start w:val="0"/>
      <w:numFmt w:val="bullet"/>
      <w:lvlText w:val="•"/>
      <w:lvlJc w:val="left"/>
      <w:pPr>
        <w:ind w:left="5193" w:hanging="420"/>
      </w:pPr>
      <w:rPr>
        <w:rFonts w:hint="default"/>
        <w:lang w:val="en-US" w:eastAsia="en-US" w:bidi="en-US"/>
      </w:rPr>
    </w:lvl>
    <w:lvl w:ilvl="6" w:tentative="0">
      <w:start w:val="0"/>
      <w:numFmt w:val="bullet"/>
      <w:lvlText w:val="•"/>
      <w:lvlJc w:val="left"/>
      <w:pPr>
        <w:ind w:left="6187" w:hanging="420"/>
      </w:pPr>
      <w:rPr>
        <w:rFonts w:hint="default"/>
        <w:lang w:val="en-US" w:eastAsia="en-US" w:bidi="en-US"/>
      </w:rPr>
    </w:lvl>
    <w:lvl w:ilvl="7" w:tentative="0">
      <w:start w:val="0"/>
      <w:numFmt w:val="bullet"/>
      <w:lvlText w:val="•"/>
      <w:lvlJc w:val="left"/>
      <w:pPr>
        <w:ind w:left="7182" w:hanging="420"/>
      </w:pPr>
      <w:rPr>
        <w:rFonts w:hint="default"/>
        <w:lang w:val="en-US" w:eastAsia="en-US" w:bidi="en-US"/>
      </w:rPr>
    </w:lvl>
    <w:lvl w:ilvl="8" w:tentative="0">
      <w:start w:val="0"/>
      <w:numFmt w:val="bullet"/>
      <w:lvlText w:val="•"/>
      <w:lvlJc w:val="left"/>
      <w:pPr>
        <w:ind w:left="8176" w:hanging="420"/>
      </w:pPr>
      <w:rPr>
        <w:rFonts w:hint="default"/>
        <w:lang w:val="en-US" w:eastAsia="en-US" w:bidi="en-US"/>
      </w:rPr>
    </w:lvl>
  </w:abstractNum>
  <w:abstractNum w:abstractNumId="139">
    <w:nsid w:val="25B654F3"/>
    <w:multiLevelType w:val="multilevel"/>
    <w:tmpl w:val="25B654F3"/>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40">
    <w:nsid w:val="269945CE"/>
    <w:multiLevelType w:val="multilevel"/>
    <w:tmpl w:val="269945CE"/>
    <w:lvl w:ilvl="0" w:tentative="0">
      <w:start w:val="5"/>
      <w:numFmt w:val="decimal"/>
      <w:lvlText w:val="%1"/>
      <w:lvlJc w:val="left"/>
      <w:pPr>
        <w:ind w:left="212" w:hanging="852"/>
        <w:jc w:val="left"/>
      </w:pPr>
      <w:rPr>
        <w:rFonts w:hint="default"/>
        <w:lang w:val="en-US" w:eastAsia="en-US" w:bidi="en-US"/>
      </w:rPr>
    </w:lvl>
    <w:lvl w:ilvl="1" w:tentative="0">
      <w:start w:val="1"/>
      <w:numFmt w:val="decimal"/>
      <w:lvlText w:val="%1.%2"/>
      <w:lvlJc w:val="left"/>
      <w:pPr>
        <w:ind w:left="212" w:hanging="852"/>
        <w:jc w:val="left"/>
      </w:pPr>
      <w:rPr>
        <w:rFonts w:hint="default"/>
        <w:lang w:val="en-US" w:eastAsia="en-US" w:bidi="en-US"/>
      </w:rPr>
    </w:lvl>
    <w:lvl w:ilvl="2" w:tentative="0">
      <w:start w:val="1"/>
      <w:numFmt w:val="decimal"/>
      <w:lvlText w:val="%1.%2.%3"/>
      <w:lvlJc w:val="left"/>
      <w:pPr>
        <w:ind w:left="212" w:hanging="852"/>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203" w:hanging="852"/>
      </w:pPr>
      <w:rPr>
        <w:rFonts w:hint="default"/>
        <w:lang w:val="en-US" w:eastAsia="en-US" w:bidi="en-US"/>
      </w:rPr>
    </w:lvl>
    <w:lvl w:ilvl="4" w:tentative="0">
      <w:start w:val="0"/>
      <w:numFmt w:val="bullet"/>
      <w:lvlText w:val="•"/>
      <w:lvlJc w:val="left"/>
      <w:pPr>
        <w:ind w:left="4198" w:hanging="852"/>
      </w:pPr>
      <w:rPr>
        <w:rFonts w:hint="default"/>
        <w:lang w:val="en-US" w:eastAsia="en-US" w:bidi="en-US"/>
      </w:rPr>
    </w:lvl>
    <w:lvl w:ilvl="5" w:tentative="0">
      <w:start w:val="0"/>
      <w:numFmt w:val="bullet"/>
      <w:lvlText w:val="•"/>
      <w:lvlJc w:val="left"/>
      <w:pPr>
        <w:ind w:left="5193" w:hanging="852"/>
      </w:pPr>
      <w:rPr>
        <w:rFonts w:hint="default"/>
        <w:lang w:val="en-US" w:eastAsia="en-US" w:bidi="en-US"/>
      </w:rPr>
    </w:lvl>
    <w:lvl w:ilvl="6" w:tentative="0">
      <w:start w:val="0"/>
      <w:numFmt w:val="bullet"/>
      <w:lvlText w:val="•"/>
      <w:lvlJc w:val="left"/>
      <w:pPr>
        <w:ind w:left="6187" w:hanging="852"/>
      </w:pPr>
      <w:rPr>
        <w:rFonts w:hint="default"/>
        <w:lang w:val="en-US" w:eastAsia="en-US" w:bidi="en-US"/>
      </w:rPr>
    </w:lvl>
    <w:lvl w:ilvl="7" w:tentative="0">
      <w:start w:val="0"/>
      <w:numFmt w:val="bullet"/>
      <w:lvlText w:val="•"/>
      <w:lvlJc w:val="left"/>
      <w:pPr>
        <w:ind w:left="7182" w:hanging="852"/>
      </w:pPr>
      <w:rPr>
        <w:rFonts w:hint="default"/>
        <w:lang w:val="en-US" w:eastAsia="en-US" w:bidi="en-US"/>
      </w:rPr>
    </w:lvl>
    <w:lvl w:ilvl="8" w:tentative="0">
      <w:start w:val="0"/>
      <w:numFmt w:val="bullet"/>
      <w:lvlText w:val="•"/>
      <w:lvlJc w:val="left"/>
      <w:pPr>
        <w:ind w:left="8176" w:hanging="852"/>
      </w:pPr>
      <w:rPr>
        <w:rFonts w:hint="default"/>
        <w:lang w:val="en-US" w:eastAsia="en-US" w:bidi="en-US"/>
      </w:rPr>
    </w:lvl>
  </w:abstractNum>
  <w:abstractNum w:abstractNumId="141">
    <w:nsid w:val="274D3D9B"/>
    <w:multiLevelType w:val="multilevel"/>
    <w:tmpl w:val="274D3D9B"/>
    <w:lvl w:ilvl="0" w:tentative="0">
      <w:start w:val="4"/>
      <w:numFmt w:val="decimal"/>
      <w:lvlText w:val="%1"/>
      <w:lvlJc w:val="left"/>
      <w:pPr>
        <w:ind w:left="1052" w:hanging="840"/>
        <w:jc w:val="left"/>
      </w:pPr>
      <w:rPr>
        <w:rFonts w:hint="default"/>
        <w:lang w:val="en-US" w:eastAsia="en-US" w:bidi="en-US"/>
      </w:rPr>
    </w:lvl>
    <w:lvl w:ilvl="1" w:tentative="0">
      <w:start w:val="2"/>
      <w:numFmt w:val="decimal"/>
      <w:lvlText w:val="%1.%2"/>
      <w:lvlJc w:val="left"/>
      <w:pPr>
        <w:ind w:left="1052" w:hanging="840"/>
        <w:jc w:val="left"/>
      </w:pPr>
      <w:rPr>
        <w:rFonts w:hint="default"/>
        <w:lang w:val="en-US" w:eastAsia="en-US" w:bidi="en-US"/>
      </w:rPr>
    </w:lvl>
    <w:lvl w:ilvl="2" w:tentative="0">
      <w:start w:val="45"/>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791" w:hanging="840"/>
      </w:pPr>
      <w:rPr>
        <w:rFonts w:hint="default"/>
        <w:lang w:val="en-US" w:eastAsia="en-US" w:bidi="en-US"/>
      </w:rPr>
    </w:lvl>
    <w:lvl w:ilvl="4" w:tentative="0">
      <w:start w:val="0"/>
      <w:numFmt w:val="bullet"/>
      <w:lvlText w:val="•"/>
      <w:lvlJc w:val="left"/>
      <w:pPr>
        <w:ind w:left="4702" w:hanging="840"/>
      </w:pPr>
      <w:rPr>
        <w:rFonts w:hint="default"/>
        <w:lang w:val="en-US" w:eastAsia="en-US" w:bidi="en-US"/>
      </w:rPr>
    </w:lvl>
    <w:lvl w:ilvl="5" w:tentative="0">
      <w:start w:val="0"/>
      <w:numFmt w:val="bullet"/>
      <w:lvlText w:val="•"/>
      <w:lvlJc w:val="left"/>
      <w:pPr>
        <w:ind w:left="5613" w:hanging="840"/>
      </w:pPr>
      <w:rPr>
        <w:rFonts w:hint="default"/>
        <w:lang w:val="en-US" w:eastAsia="en-US" w:bidi="en-US"/>
      </w:rPr>
    </w:lvl>
    <w:lvl w:ilvl="6" w:tentative="0">
      <w:start w:val="0"/>
      <w:numFmt w:val="bullet"/>
      <w:lvlText w:val="•"/>
      <w:lvlJc w:val="left"/>
      <w:pPr>
        <w:ind w:left="6523" w:hanging="840"/>
      </w:pPr>
      <w:rPr>
        <w:rFonts w:hint="default"/>
        <w:lang w:val="en-US" w:eastAsia="en-US" w:bidi="en-US"/>
      </w:rPr>
    </w:lvl>
    <w:lvl w:ilvl="7" w:tentative="0">
      <w:start w:val="0"/>
      <w:numFmt w:val="bullet"/>
      <w:lvlText w:val="•"/>
      <w:lvlJc w:val="left"/>
      <w:pPr>
        <w:ind w:left="7434" w:hanging="840"/>
      </w:pPr>
      <w:rPr>
        <w:rFonts w:hint="default"/>
        <w:lang w:val="en-US" w:eastAsia="en-US" w:bidi="en-US"/>
      </w:rPr>
    </w:lvl>
    <w:lvl w:ilvl="8" w:tentative="0">
      <w:start w:val="0"/>
      <w:numFmt w:val="bullet"/>
      <w:lvlText w:val="•"/>
      <w:lvlJc w:val="left"/>
      <w:pPr>
        <w:ind w:left="8344" w:hanging="840"/>
      </w:pPr>
      <w:rPr>
        <w:rFonts w:hint="default"/>
        <w:lang w:val="en-US" w:eastAsia="en-US" w:bidi="en-US"/>
      </w:rPr>
    </w:lvl>
  </w:abstractNum>
  <w:abstractNum w:abstractNumId="142">
    <w:nsid w:val="2A8F537B"/>
    <w:multiLevelType w:val="multilevel"/>
    <w:tmpl w:val="2A8F537B"/>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43">
    <w:nsid w:val="2B3F3F89"/>
    <w:multiLevelType w:val="multilevel"/>
    <w:tmpl w:val="2B3F3F89"/>
    <w:lvl w:ilvl="0" w:tentative="0">
      <w:start w:val="8"/>
      <w:numFmt w:val="decimal"/>
      <w:lvlText w:val="%1"/>
      <w:lvlJc w:val="left"/>
      <w:pPr>
        <w:ind w:left="1052" w:hanging="840"/>
        <w:jc w:val="left"/>
      </w:pPr>
      <w:rPr>
        <w:rFonts w:hint="default"/>
        <w:lang w:val="en-US" w:eastAsia="en-US" w:bidi="en-US"/>
      </w:rPr>
    </w:lvl>
    <w:lvl w:ilvl="1" w:tentative="0">
      <w:start w:val="4"/>
      <w:numFmt w:val="decimal"/>
      <w:lvlText w:val="%1.%2"/>
      <w:lvlJc w:val="left"/>
      <w:pPr>
        <w:ind w:left="1052" w:hanging="840"/>
        <w:jc w:val="left"/>
      </w:pPr>
      <w:rPr>
        <w:rFonts w:hint="default"/>
        <w:lang w:val="en-US" w:eastAsia="en-US" w:bidi="en-US"/>
      </w:rPr>
    </w:lvl>
    <w:lvl w:ilvl="2" w:tentative="0">
      <w:start w:val="1"/>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791" w:hanging="840"/>
      </w:pPr>
      <w:rPr>
        <w:rFonts w:hint="default"/>
        <w:lang w:val="en-US" w:eastAsia="en-US" w:bidi="en-US"/>
      </w:rPr>
    </w:lvl>
    <w:lvl w:ilvl="4" w:tentative="0">
      <w:start w:val="0"/>
      <w:numFmt w:val="bullet"/>
      <w:lvlText w:val="•"/>
      <w:lvlJc w:val="left"/>
      <w:pPr>
        <w:ind w:left="4702" w:hanging="840"/>
      </w:pPr>
      <w:rPr>
        <w:rFonts w:hint="default"/>
        <w:lang w:val="en-US" w:eastAsia="en-US" w:bidi="en-US"/>
      </w:rPr>
    </w:lvl>
    <w:lvl w:ilvl="5" w:tentative="0">
      <w:start w:val="0"/>
      <w:numFmt w:val="bullet"/>
      <w:lvlText w:val="•"/>
      <w:lvlJc w:val="left"/>
      <w:pPr>
        <w:ind w:left="5613" w:hanging="840"/>
      </w:pPr>
      <w:rPr>
        <w:rFonts w:hint="default"/>
        <w:lang w:val="en-US" w:eastAsia="en-US" w:bidi="en-US"/>
      </w:rPr>
    </w:lvl>
    <w:lvl w:ilvl="6" w:tentative="0">
      <w:start w:val="0"/>
      <w:numFmt w:val="bullet"/>
      <w:lvlText w:val="•"/>
      <w:lvlJc w:val="left"/>
      <w:pPr>
        <w:ind w:left="6523" w:hanging="840"/>
      </w:pPr>
      <w:rPr>
        <w:rFonts w:hint="default"/>
        <w:lang w:val="en-US" w:eastAsia="en-US" w:bidi="en-US"/>
      </w:rPr>
    </w:lvl>
    <w:lvl w:ilvl="7" w:tentative="0">
      <w:start w:val="0"/>
      <w:numFmt w:val="bullet"/>
      <w:lvlText w:val="•"/>
      <w:lvlJc w:val="left"/>
      <w:pPr>
        <w:ind w:left="7434" w:hanging="840"/>
      </w:pPr>
      <w:rPr>
        <w:rFonts w:hint="default"/>
        <w:lang w:val="en-US" w:eastAsia="en-US" w:bidi="en-US"/>
      </w:rPr>
    </w:lvl>
    <w:lvl w:ilvl="8" w:tentative="0">
      <w:start w:val="0"/>
      <w:numFmt w:val="bullet"/>
      <w:lvlText w:val="•"/>
      <w:lvlJc w:val="left"/>
      <w:pPr>
        <w:ind w:left="8344" w:hanging="840"/>
      </w:pPr>
      <w:rPr>
        <w:rFonts w:hint="default"/>
        <w:lang w:val="en-US" w:eastAsia="en-US" w:bidi="en-US"/>
      </w:rPr>
    </w:lvl>
  </w:abstractNum>
  <w:abstractNum w:abstractNumId="144">
    <w:nsid w:val="2F2D79CE"/>
    <w:multiLevelType w:val="multilevel"/>
    <w:tmpl w:val="2F2D79CE"/>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45">
    <w:nsid w:val="30A0AC00"/>
    <w:multiLevelType w:val="multilevel"/>
    <w:tmpl w:val="30A0AC00"/>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46">
    <w:nsid w:val="30FC5B15"/>
    <w:multiLevelType w:val="multilevel"/>
    <w:tmpl w:val="30FC5B15"/>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47">
    <w:nsid w:val="322D85CA"/>
    <w:multiLevelType w:val="multilevel"/>
    <w:tmpl w:val="322D85CA"/>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48">
    <w:nsid w:val="329A4FD1"/>
    <w:multiLevelType w:val="multilevel"/>
    <w:tmpl w:val="329A4FD1"/>
    <w:lvl w:ilvl="0" w:tentative="0">
      <w:start w:val="5"/>
      <w:numFmt w:val="decimal"/>
      <w:lvlText w:val="%1"/>
      <w:lvlJc w:val="left"/>
      <w:pPr>
        <w:ind w:left="112" w:hanging="852"/>
        <w:jc w:val="left"/>
      </w:pPr>
      <w:rPr>
        <w:rFonts w:hint="default"/>
        <w:lang w:val="en-US" w:eastAsia="en-US" w:bidi="en-US"/>
      </w:rPr>
    </w:lvl>
    <w:lvl w:ilvl="1" w:tentative="0">
      <w:start w:val="6"/>
      <w:numFmt w:val="decimal"/>
      <w:lvlText w:val="%1.%2"/>
      <w:lvlJc w:val="left"/>
      <w:pPr>
        <w:ind w:left="112" w:hanging="852"/>
        <w:jc w:val="left"/>
      </w:pPr>
      <w:rPr>
        <w:rFonts w:hint="default"/>
        <w:lang w:val="en-US" w:eastAsia="en-US" w:bidi="en-US"/>
      </w:rPr>
    </w:lvl>
    <w:lvl w:ilvl="2" w:tentative="0">
      <w:start w:val="1"/>
      <w:numFmt w:val="decimal"/>
      <w:lvlText w:val="%1.%2.%3"/>
      <w:lvlJc w:val="left"/>
      <w:pPr>
        <w:ind w:left="112" w:hanging="852"/>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960" w:hanging="423"/>
        <w:jc w:val="left"/>
      </w:pPr>
      <w:rPr>
        <w:rFonts w:hint="default"/>
        <w:w w:val="99"/>
        <w:lang w:val="en-US" w:eastAsia="en-US" w:bidi="en-US"/>
      </w:rPr>
    </w:lvl>
    <w:lvl w:ilvl="4" w:tentative="0">
      <w:start w:val="6"/>
      <w:numFmt w:val="decimal"/>
      <w:lvlText w:val="%5"/>
      <w:lvlJc w:val="left"/>
      <w:pPr>
        <w:ind w:left="4500" w:hanging="420"/>
        <w:jc w:val="left"/>
      </w:pPr>
      <w:rPr>
        <w:rFonts w:hint="default" w:ascii="宋体" w:hAnsi="宋体" w:eastAsia="宋体" w:cs="宋体"/>
        <w:b/>
        <w:bCs/>
        <w:w w:val="98"/>
        <w:sz w:val="32"/>
        <w:szCs w:val="32"/>
        <w:lang w:val="en-US" w:eastAsia="en-US" w:bidi="en-US"/>
      </w:rPr>
    </w:lvl>
    <w:lvl w:ilvl="5" w:tentative="0">
      <w:start w:val="1"/>
      <w:numFmt w:val="decimal"/>
      <w:lvlText w:val="%5.%6"/>
      <w:lvlJc w:val="left"/>
      <w:pPr>
        <w:ind w:left="4723" w:hanging="420"/>
        <w:jc w:val="left"/>
      </w:pPr>
      <w:rPr>
        <w:rFonts w:hint="default" w:ascii="宋体" w:hAnsi="宋体" w:eastAsia="宋体" w:cs="宋体"/>
        <w:b/>
        <w:bCs/>
        <w:spacing w:val="0"/>
        <w:w w:val="98"/>
        <w:sz w:val="21"/>
        <w:szCs w:val="21"/>
        <w:lang w:val="en-US" w:eastAsia="en-US" w:bidi="en-US"/>
      </w:rPr>
    </w:lvl>
    <w:lvl w:ilvl="6" w:tentative="0">
      <w:start w:val="0"/>
      <w:numFmt w:val="bullet"/>
      <w:lvlText w:val="•"/>
      <w:lvlJc w:val="left"/>
      <w:pPr>
        <w:ind w:left="6968" w:hanging="420"/>
      </w:pPr>
      <w:rPr>
        <w:rFonts w:hint="default"/>
        <w:lang w:val="en-US" w:eastAsia="en-US" w:bidi="en-US"/>
      </w:rPr>
    </w:lvl>
    <w:lvl w:ilvl="7" w:tentative="0">
      <w:start w:val="0"/>
      <w:numFmt w:val="bullet"/>
      <w:lvlText w:val="•"/>
      <w:lvlJc w:val="left"/>
      <w:pPr>
        <w:ind w:left="7717" w:hanging="420"/>
      </w:pPr>
      <w:rPr>
        <w:rFonts w:hint="default"/>
        <w:lang w:val="en-US" w:eastAsia="en-US" w:bidi="en-US"/>
      </w:rPr>
    </w:lvl>
    <w:lvl w:ilvl="8" w:tentative="0">
      <w:start w:val="0"/>
      <w:numFmt w:val="bullet"/>
      <w:lvlText w:val="•"/>
      <w:lvlJc w:val="left"/>
      <w:pPr>
        <w:ind w:left="8467" w:hanging="420"/>
      </w:pPr>
      <w:rPr>
        <w:rFonts w:hint="default"/>
        <w:lang w:val="en-US" w:eastAsia="en-US" w:bidi="en-US"/>
      </w:rPr>
    </w:lvl>
  </w:abstractNum>
  <w:abstractNum w:abstractNumId="149">
    <w:nsid w:val="32A7AF2D"/>
    <w:multiLevelType w:val="multilevel"/>
    <w:tmpl w:val="32A7AF2D"/>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50">
    <w:nsid w:val="333E8B90"/>
    <w:multiLevelType w:val="multilevel"/>
    <w:tmpl w:val="333E8B90"/>
    <w:lvl w:ilvl="0" w:tentative="0">
      <w:start w:val="8"/>
      <w:numFmt w:val="decimal"/>
      <w:lvlText w:val="%1"/>
      <w:lvlJc w:val="left"/>
      <w:pPr>
        <w:ind w:left="952" w:hanging="840"/>
        <w:jc w:val="left"/>
      </w:pPr>
      <w:rPr>
        <w:rFonts w:hint="default"/>
        <w:lang w:val="en-US" w:eastAsia="en-US" w:bidi="en-US"/>
      </w:rPr>
    </w:lvl>
    <w:lvl w:ilvl="1" w:tentative="0">
      <w:start w:val="3"/>
      <w:numFmt w:val="decimal"/>
      <w:lvlText w:val="%1.%2"/>
      <w:lvlJc w:val="left"/>
      <w:pPr>
        <w:ind w:left="952" w:hanging="840"/>
        <w:jc w:val="left"/>
      </w:pPr>
      <w:rPr>
        <w:rFonts w:hint="default"/>
        <w:lang w:val="en-US" w:eastAsia="en-US" w:bidi="en-US"/>
      </w:rPr>
    </w:lvl>
    <w:lvl w:ilvl="2" w:tentative="0">
      <w:start w:val="2"/>
      <w:numFmt w:val="decimal"/>
      <w:lvlText w:val="%1.%2.%3"/>
      <w:lvlJc w:val="left"/>
      <w:pPr>
        <w:ind w:left="95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112" w:hanging="420"/>
        <w:jc w:val="left"/>
      </w:pPr>
      <w:rPr>
        <w:rFonts w:hint="default" w:ascii="宋体" w:hAnsi="宋体" w:eastAsia="宋体" w:cs="宋体"/>
        <w:w w:val="99"/>
        <w:sz w:val="21"/>
        <w:szCs w:val="21"/>
        <w:lang w:val="en-US" w:eastAsia="en-US" w:bidi="en-US"/>
      </w:rPr>
    </w:lvl>
    <w:lvl w:ilvl="4" w:tentative="0">
      <w:start w:val="0"/>
      <w:numFmt w:val="bullet"/>
      <w:lvlText w:val="•"/>
      <w:lvlJc w:val="left"/>
      <w:pPr>
        <w:ind w:left="3995" w:hanging="420"/>
      </w:pPr>
      <w:rPr>
        <w:rFonts w:hint="default"/>
        <w:lang w:val="en-US" w:eastAsia="en-US" w:bidi="en-US"/>
      </w:rPr>
    </w:lvl>
    <w:lvl w:ilvl="5" w:tentative="0">
      <w:start w:val="0"/>
      <w:numFmt w:val="bullet"/>
      <w:lvlText w:val="•"/>
      <w:lvlJc w:val="left"/>
      <w:pPr>
        <w:ind w:left="5007" w:hanging="420"/>
      </w:pPr>
      <w:rPr>
        <w:rFonts w:hint="default"/>
        <w:lang w:val="en-US" w:eastAsia="en-US" w:bidi="en-US"/>
      </w:rPr>
    </w:lvl>
    <w:lvl w:ilvl="6" w:tentative="0">
      <w:start w:val="0"/>
      <w:numFmt w:val="bullet"/>
      <w:lvlText w:val="•"/>
      <w:lvlJc w:val="left"/>
      <w:pPr>
        <w:ind w:left="6018" w:hanging="420"/>
      </w:pPr>
      <w:rPr>
        <w:rFonts w:hint="default"/>
        <w:lang w:val="en-US" w:eastAsia="en-US" w:bidi="en-US"/>
      </w:rPr>
    </w:lvl>
    <w:lvl w:ilvl="7" w:tentative="0">
      <w:start w:val="0"/>
      <w:numFmt w:val="bullet"/>
      <w:lvlText w:val="•"/>
      <w:lvlJc w:val="left"/>
      <w:pPr>
        <w:ind w:left="7030" w:hanging="420"/>
      </w:pPr>
      <w:rPr>
        <w:rFonts w:hint="default"/>
        <w:lang w:val="en-US" w:eastAsia="en-US" w:bidi="en-US"/>
      </w:rPr>
    </w:lvl>
    <w:lvl w:ilvl="8" w:tentative="0">
      <w:start w:val="0"/>
      <w:numFmt w:val="bullet"/>
      <w:lvlText w:val="•"/>
      <w:lvlJc w:val="left"/>
      <w:pPr>
        <w:ind w:left="8042" w:hanging="420"/>
      </w:pPr>
      <w:rPr>
        <w:rFonts w:hint="default"/>
        <w:lang w:val="en-US" w:eastAsia="en-US" w:bidi="en-US"/>
      </w:rPr>
    </w:lvl>
  </w:abstractNum>
  <w:abstractNum w:abstractNumId="151">
    <w:nsid w:val="35E83B33"/>
    <w:multiLevelType w:val="multilevel"/>
    <w:tmpl w:val="35E83B33"/>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52">
    <w:nsid w:val="35ECE9CB"/>
    <w:multiLevelType w:val="multilevel"/>
    <w:tmpl w:val="35ECE9CB"/>
    <w:lvl w:ilvl="0" w:tentative="0">
      <w:start w:val="2"/>
      <w:numFmt w:val="decimal"/>
      <w:lvlText w:val="%1"/>
      <w:lvlJc w:val="left"/>
      <w:pPr>
        <w:ind w:left="1057"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970" w:hanging="420"/>
      </w:pPr>
      <w:rPr>
        <w:rFonts w:hint="default"/>
        <w:lang w:val="en-US" w:eastAsia="en-US" w:bidi="en-US"/>
      </w:rPr>
    </w:lvl>
    <w:lvl w:ilvl="2" w:tentative="0">
      <w:start w:val="0"/>
      <w:numFmt w:val="bullet"/>
      <w:lvlText w:val="•"/>
      <w:lvlJc w:val="left"/>
      <w:pPr>
        <w:ind w:left="2881" w:hanging="420"/>
      </w:pPr>
      <w:rPr>
        <w:rFonts w:hint="default"/>
        <w:lang w:val="en-US" w:eastAsia="en-US" w:bidi="en-US"/>
      </w:rPr>
    </w:lvl>
    <w:lvl w:ilvl="3" w:tentative="0">
      <w:start w:val="0"/>
      <w:numFmt w:val="bullet"/>
      <w:lvlText w:val="•"/>
      <w:lvlJc w:val="left"/>
      <w:pPr>
        <w:ind w:left="3791" w:hanging="420"/>
      </w:pPr>
      <w:rPr>
        <w:rFonts w:hint="default"/>
        <w:lang w:val="en-US" w:eastAsia="en-US" w:bidi="en-US"/>
      </w:rPr>
    </w:lvl>
    <w:lvl w:ilvl="4" w:tentative="0">
      <w:start w:val="0"/>
      <w:numFmt w:val="bullet"/>
      <w:lvlText w:val="•"/>
      <w:lvlJc w:val="left"/>
      <w:pPr>
        <w:ind w:left="4702" w:hanging="420"/>
      </w:pPr>
      <w:rPr>
        <w:rFonts w:hint="default"/>
        <w:lang w:val="en-US" w:eastAsia="en-US" w:bidi="en-US"/>
      </w:rPr>
    </w:lvl>
    <w:lvl w:ilvl="5" w:tentative="0">
      <w:start w:val="0"/>
      <w:numFmt w:val="bullet"/>
      <w:lvlText w:val="•"/>
      <w:lvlJc w:val="left"/>
      <w:pPr>
        <w:ind w:left="5613" w:hanging="420"/>
      </w:pPr>
      <w:rPr>
        <w:rFonts w:hint="default"/>
        <w:lang w:val="en-US" w:eastAsia="en-US" w:bidi="en-US"/>
      </w:rPr>
    </w:lvl>
    <w:lvl w:ilvl="6" w:tentative="0">
      <w:start w:val="0"/>
      <w:numFmt w:val="bullet"/>
      <w:lvlText w:val="•"/>
      <w:lvlJc w:val="left"/>
      <w:pPr>
        <w:ind w:left="6523" w:hanging="420"/>
      </w:pPr>
      <w:rPr>
        <w:rFonts w:hint="default"/>
        <w:lang w:val="en-US" w:eastAsia="en-US" w:bidi="en-US"/>
      </w:rPr>
    </w:lvl>
    <w:lvl w:ilvl="7" w:tentative="0">
      <w:start w:val="0"/>
      <w:numFmt w:val="bullet"/>
      <w:lvlText w:val="•"/>
      <w:lvlJc w:val="left"/>
      <w:pPr>
        <w:ind w:left="7434" w:hanging="420"/>
      </w:pPr>
      <w:rPr>
        <w:rFonts w:hint="default"/>
        <w:lang w:val="en-US" w:eastAsia="en-US" w:bidi="en-US"/>
      </w:rPr>
    </w:lvl>
    <w:lvl w:ilvl="8" w:tentative="0">
      <w:start w:val="0"/>
      <w:numFmt w:val="bullet"/>
      <w:lvlText w:val="•"/>
      <w:lvlJc w:val="left"/>
      <w:pPr>
        <w:ind w:left="8344" w:hanging="420"/>
      </w:pPr>
      <w:rPr>
        <w:rFonts w:hint="default"/>
        <w:lang w:val="en-US" w:eastAsia="en-US" w:bidi="en-US"/>
      </w:rPr>
    </w:lvl>
  </w:abstractNum>
  <w:abstractNum w:abstractNumId="153">
    <w:nsid w:val="3664A4D1"/>
    <w:multiLevelType w:val="multilevel"/>
    <w:tmpl w:val="3664A4D1"/>
    <w:lvl w:ilvl="0" w:tentative="0">
      <w:start w:val="1"/>
      <w:numFmt w:val="decimal"/>
      <w:lvlText w:val="%1"/>
      <w:lvlJc w:val="left"/>
      <w:pPr>
        <w:ind w:left="112" w:hanging="423"/>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114" w:hanging="423"/>
      </w:pPr>
      <w:rPr>
        <w:rFonts w:hint="default"/>
        <w:lang w:val="en-US" w:eastAsia="en-US" w:bidi="en-US"/>
      </w:rPr>
    </w:lvl>
    <w:lvl w:ilvl="2" w:tentative="0">
      <w:start w:val="0"/>
      <w:numFmt w:val="bullet"/>
      <w:lvlText w:val="•"/>
      <w:lvlJc w:val="left"/>
      <w:pPr>
        <w:ind w:left="2109" w:hanging="423"/>
      </w:pPr>
      <w:rPr>
        <w:rFonts w:hint="default"/>
        <w:lang w:val="en-US" w:eastAsia="en-US" w:bidi="en-US"/>
      </w:rPr>
    </w:lvl>
    <w:lvl w:ilvl="3" w:tentative="0">
      <w:start w:val="0"/>
      <w:numFmt w:val="bullet"/>
      <w:lvlText w:val="•"/>
      <w:lvlJc w:val="left"/>
      <w:pPr>
        <w:ind w:left="3103" w:hanging="423"/>
      </w:pPr>
      <w:rPr>
        <w:rFonts w:hint="default"/>
        <w:lang w:val="en-US" w:eastAsia="en-US" w:bidi="en-US"/>
      </w:rPr>
    </w:lvl>
    <w:lvl w:ilvl="4" w:tentative="0">
      <w:start w:val="0"/>
      <w:numFmt w:val="bullet"/>
      <w:lvlText w:val="•"/>
      <w:lvlJc w:val="left"/>
      <w:pPr>
        <w:ind w:left="4098" w:hanging="423"/>
      </w:pPr>
      <w:rPr>
        <w:rFonts w:hint="default"/>
        <w:lang w:val="en-US" w:eastAsia="en-US" w:bidi="en-US"/>
      </w:rPr>
    </w:lvl>
    <w:lvl w:ilvl="5" w:tentative="0">
      <w:start w:val="0"/>
      <w:numFmt w:val="bullet"/>
      <w:lvlText w:val="•"/>
      <w:lvlJc w:val="left"/>
      <w:pPr>
        <w:ind w:left="5093" w:hanging="423"/>
      </w:pPr>
      <w:rPr>
        <w:rFonts w:hint="default"/>
        <w:lang w:val="en-US" w:eastAsia="en-US" w:bidi="en-US"/>
      </w:rPr>
    </w:lvl>
    <w:lvl w:ilvl="6" w:tentative="0">
      <w:start w:val="0"/>
      <w:numFmt w:val="bullet"/>
      <w:lvlText w:val="•"/>
      <w:lvlJc w:val="left"/>
      <w:pPr>
        <w:ind w:left="6087" w:hanging="423"/>
      </w:pPr>
      <w:rPr>
        <w:rFonts w:hint="default"/>
        <w:lang w:val="en-US" w:eastAsia="en-US" w:bidi="en-US"/>
      </w:rPr>
    </w:lvl>
    <w:lvl w:ilvl="7" w:tentative="0">
      <w:start w:val="0"/>
      <w:numFmt w:val="bullet"/>
      <w:lvlText w:val="•"/>
      <w:lvlJc w:val="left"/>
      <w:pPr>
        <w:ind w:left="7082" w:hanging="423"/>
      </w:pPr>
      <w:rPr>
        <w:rFonts w:hint="default"/>
        <w:lang w:val="en-US" w:eastAsia="en-US" w:bidi="en-US"/>
      </w:rPr>
    </w:lvl>
    <w:lvl w:ilvl="8" w:tentative="0">
      <w:start w:val="0"/>
      <w:numFmt w:val="bullet"/>
      <w:lvlText w:val="•"/>
      <w:lvlJc w:val="left"/>
      <w:pPr>
        <w:ind w:left="8076" w:hanging="423"/>
      </w:pPr>
      <w:rPr>
        <w:rFonts w:hint="default"/>
        <w:lang w:val="en-US" w:eastAsia="en-US" w:bidi="en-US"/>
      </w:rPr>
    </w:lvl>
  </w:abstractNum>
  <w:abstractNum w:abstractNumId="154">
    <w:nsid w:val="38EAC418"/>
    <w:multiLevelType w:val="multilevel"/>
    <w:tmpl w:val="38EAC418"/>
    <w:lvl w:ilvl="0" w:tentative="0">
      <w:start w:val="3"/>
      <w:numFmt w:val="decimal"/>
      <w:lvlText w:val="%1"/>
      <w:lvlJc w:val="left"/>
      <w:pPr>
        <w:ind w:left="212" w:hanging="413"/>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214" w:hanging="413"/>
      </w:pPr>
      <w:rPr>
        <w:rFonts w:hint="default"/>
        <w:lang w:val="en-US" w:eastAsia="en-US" w:bidi="en-US"/>
      </w:rPr>
    </w:lvl>
    <w:lvl w:ilvl="2" w:tentative="0">
      <w:start w:val="0"/>
      <w:numFmt w:val="bullet"/>
      <w:lvlText w:val="•"/>
      <w:lvlJc w:val="left"/>
      <w:pPr>
        <w:ind w:left="2209" w:hanging="413"/>
      </w:pPr>
      <w:rPr>
        <w:rFonts w:hint="default"/>
        <w:lang w:val="en-US" w:eastAsia="en-US" w:bidi="en-US"/>
      </w:rPr>
    </w:lvl>
    <w:lvl w:ilvl="3" w:tentative="0">
      <w:start w:val="0"/>
      <w:numFmt w:val="bullet"/>
      <w:lvlText w:val="•"/>
      <w:lvlJc w:val="left"/>
      <w:pPr>
        <w:ind w:left="3203" w:hanging="413"/>
      </w:pPr>
      <w:rPr>
        <w:rFonts w:hint="default"/>
        <w:lang w:val="en-US" w:eastAsia="en-US" w:bidi="en-US"/>
      </w:rPr>
    </w:lvl>
    <w:lvl w:ilvl="4" w:tentative="0">
      <w:start w:val="0"/>
      <w:numFmt w:val="bullet"/>
      <w:lvlText w:val="•"/>
      <w:lvlJc w:val="left"/>
      <w:pPr>
        <w:ind w:left="4198" w:hanging="413"/>
      </w:pPr>
      <w:rPr>
        <w:rFonts w:hint="default"/>
        <w:lang w:val="en-US" w:eastAsia="en-US" w:bidi="en-US"/>
      </w:rPr>
    </w:lvl>
    <w:lvl w:ilvl="5" w:tentative="0">
      <w:start w:val="0"/>
      <w:numFmt w:val="bullet"/>
      <w:lvlText w:val="•"/>
      <w:lvlJc w:val="left"/>
      <w:pPr>
        <w:ind w:left="5193" w:hanging="413"/>
      </w:pPr>
      <w:rPr>
        <w:rFonts w:hint="default"/>
        <w:lang w:val="en-US" w:eastAsia="en-US" w:bidi="en-US"/>
      </w:rPr>
    </w:lvl>
    <w:lvl w:ilvl="6" w:tentative="0">
      <w:start w:val="0"/>
      <w:numFmt w:val="bullet"/>
      <w:lvlText w:val="•"/>
      <w:lvlJc w:val="left"/>
      <w:pPr>
        <w:ind w:left="6187" w:hanging="413"/>
      </w:pPr>
      <w:rPr>
        <w:rFonts w:hint="default"/>
        <w:lang w:val="en-US" w:eastAsia="en-US" w:bidi="en-US"/>
      </w:rPr>
    </w:lvl>
    <w:lvl w:ilvl="7" w:tentative="0">
      <w:start w:val="0"/>
      <w:numFmt w:val="bullet"/>
      <w:lvlText w:val="•"/>
      <w:lvlJc w:val="left"/>
      <w:pPr>
        <w:ind w:left="7182" w:hanging="413"/>
      </w:pPr>
      <w:rPr>
        <w:rFonts w:hint="default"/>
        <w:lang w:val="en-US" w:eastAsia="en-US" w:bidi="en-US"/>
      </w:rPr>
    </w:lvl>
    <w:lvl w:ilvl="8" w:tentative="0">
      <w:start w:val="0"/>
      <w:numFmt w:val="bullet"/>
      <w:lvlText w:val="•"/>
      <w:lvlJc w:val="left"/>
      <w:pPr>
        <w:ind w:left="8176" w:hanging="413"/>
      </w:pPr>
      <w:rPr>
        <w:rFonts w:hint="default"/>
        <w:lang w:val="en-US" w:eastAsia="en-US" w:bidi="en-US"/>
      </w:rPr>
    </w:lvl>
  </w:abstractNum>
  <w:abstractNum w:abstractNumId="155">
    <w:nsid w:val="39A0D9AC"/>
    <w:multiLevelType w:val="multilevel"/>
    <w:tmpl w:val="39A0D9AC"/>
    <w:lvl w:ilvl="0" w:tentative="0">
      <w:start w:val="1"/>
      <w:numFmt w:val="decimal"/>
      <w:lvlText w:val="%1"/>
      <w:lvlJc w:val="left"/>
      <w:pPr>
        <w:ind w:left="21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214" w:hanging="416"/>
      </w:pPr>
      <w:rPr>
        <w:rFonts w:hint="default"/>
        <w:lang w:val="en-US" w:eastAsia="en-US" w:bidi="en-US"/>
      </w:rPr>
    </w:lvl>
    <w:lvl w:ilvl="2" w:tentative="0">
      <w:start w:val="0"/>
      <w:numFmt w:val="bullet"/>
      <w:lvlText w:val="•"/>
      <w:lvlJc w:val="left"/>
      <w:pPr>
        <w:ind w:left="2209" w:hanging="416"/>
      </w:pPr>
      <w:rPr>
        <w:rFonts w:hint="default"/>
        <w:lang w:val="en-US" w:eastAsia="en-US" w:bidi="en-US"/>
      </w:rPr>
    </w:lvl>
    <w:lvl w:ilvl="3" w:tentative="0">
      <w:start w:val="0"/>
      <w:numFmt w:val="bullet"/>
      <w:lvlText w:val="•"/>
      <w:lvlJc w:val="left"/>
      <w:pPr>
        <w:ind w:left="3203" w:hanging="416"/>
      </w:pPr>
      <w:rPr>
        <w:rFonts w:hint="default"/>
        <w:lang w:val="en-US" w:eastAsia="en-US" w:bidi="en-US"/>
      </w:rPr>
    </w:lvl>
    <w:lvl w:ilvl="4" w:tentative="0">
      <w:start w:val="0"/>
      <w:numFmt w:val="bullet"/>
      <w:lvlText w:val="•"/>
      <w:lvlJc w:val="left"/>
      <w:pPr>
        <w:ind w:left="4198" w:hanging="416"/>
      </w:pPr>
      <w:rPr>
        <w:rFonts w:hint="default"/>
        <w:lang w:val="en-US" w:eastAsia="en-US" w:bidi="en-US"/>
      </w:rPr>
    </w:lvl>
    <w:lvl w:ilvl="5" w:tentative="0">
      <w:start w:val="0"/>
      <w:numFmt w:val="bullet"/>
      <w:lvlText w:val="•"/>
      <w:lvlJc w:val="left"/>
      <w:pPr>
        <w:ind w:left="5193" w:hanging="416"/>
      </w:pPr>
      <w:rPr>
        <w:rFonts w:hint="default"/>
        <w:lang w:val="en-US" w:eastAsia="en-US" w:bidi="en-US"/>
      </w:rPr>
    </w:lvl>
    <w:lvl w:ilvl="6" w:tentative="0">
      <w:start w:val="0"/>
      <w:numFmt w:val="bullet"/>
      <w:lvlText w:val="•"/>
      <w:lvlJc w:val="left"/>
      <w:pPr>
        <w:ind w:left="6187" w:hanging="416"/>
      </w:pPr>
      <w:rPr>
        <w:rFonts w:hint="default"/>
        <w:lang w:val="en-US" w:eastAsia="en-US" w:bidi="en-US"/>
      </w:rPr>
    </w:lvl>
    <w:lvl w:ilvl="7" w:tentative="0">
      <w:start w:val="0"/>
      <w:numFmt w:val="bullet"/>
      <w:lvlText w:val="•"/>
      <w:lvlJc w:val="left"/>
      <w:pPr>
        <w:ind w:left="7182" w:hanging="416"/>
      </w:pPr>
      <w:rPr>
        <w:rFonts w:hint="default"/>
        <w:lang w:val="en-US" w:eastAsia="en-US" w:bidi="en-US"/>
      </w:rPr>
    </w:lvl>
    <w:lvl w:ilvl="8" w:tentative="0">
      <w:start w:val="0"/>
      <w:numFmt w:val="bullet"/>
      <w:lvlText w:val="•"/>
      <w:lvlJc w:val="left"/>
      <w:pPr>
        <w:ind w:left="8176" w:hanging="416"/>
      </w:pPr>
      <w:rPr>
        <w:rFonts w:hint="default"/>
        <w:lang w:val="en-US" w:eastAsia="en-US" w:bidi="en-US"/>
      </w:rPr>
    </w:lvl>
  </w:abstractNum>
  <w:abstractNum w:abstractNumId="156">
    <w:nsid w:val="3A7FBA26"/>
    <w:multiLevelType w:val="multilevel"/>
    <w:tmpl w:val="3A7FBA26"/>
    <w:lvl w:ilvl="0" w:tentative="0">
      <w:start w:val="3"/>
      <w:numFmt w:val="decimal"/>
      <w:lvlText w:val="%1"/>
      <w:lvlJc w:val="left"/>
      <w:pPr>
        <w:ind w:left="632" w:hanging="420"/>
        <w:jc w:val="left"/>
      </w:pPr>
      <w:rPr>
        <w:rFonts w:hint="default" w:ascii="宋体" w:hAnsi="宋体" w:eastAsia="宋体" w:cs="宋体"/>
        <w:b/>
        <w:bCs/>
        <w:w w:val="98"/>
        <w:sz w:val="20"/>
        <w:szCs w:val="20"/>
        <w:lang w:val="en-US" w:eastAsia="en-US" w:bidi="en-US"/>
      </w:rPr>
    </w:lvl>
    <w:lvl w:ilvl="1" w:tentative="0">
      <w:start w:val="1"/>
      <w:numFmt w:val="decimal"/>
      <w:lvlText w:val="%1.%2"/>
      <w:lvlJc w:val="left"/>
      <w:pPr>
        <w:ind w:left="1052" w:hanging="629"/>
        <w:jc w:val="left"/>
      </w:pPr>
      <w:rPr>
        <w:rFonts w:hint="default" w:ascii="宋体" w:hAnsi="宋体" w:eastAsia="宋体" w:cs="宋体"/>
        <w:b/>
        <w:bCs/>
        <w:spacing w:val="0"/>
        <w:w w:val="98"/>
        <w:sz w:val="20"/>
        <w:szCs w:val="20"/>
        <w:lang w:val="en-US" w:eastAsia="en-US" w:bidi="en-US"/>
      </w:rPr>
    </w:lvl>
    <w:lvl w:ilvl="2" w:tentative="0">
      <w:start w:val="4"/>
      <w:numFmt w:val="decimal"/>
      <w:lvlText w:val="%3"/>
      <w:lvlJc w:val="left"/>
      <w:pPr>
        <w:ind w:left="3637" w:hanging="420"/>
        <w:jc w:val="left"/>
      </w:pPr>
      <w:rPr>
        <w:rFonts w:hint="default" w:ascii="宋体" w:hAnsi="宋体" w:eastAsia="宋体" w:cs="宋体"/>
        <w:b/>
        <w:bCs/>
        <w:w w:val="98"/>
        <w:sz w:val="32"/>
        <w:szCs w:val="32"/>
        <w:lang w:val="en-US" w:eastAsia="en-US" w:bidi="en-US"/>
      </w:rPr>
    </w:lvl>
    <w:lvl w:ilvl="3" w:tentative="0">
      <w:start w:val="1"/>
      <w:numFmt w:val="decimal"/>
      <w:lvlText w:val="%3.%4"/>
      <w:lvlJc w:val="left"/>
      <w:pPr>
        <w:ind w:left="4532" w:hanging="420"/>
        <w:jc w:val="left"/>
      </w:pPr>
      <w:rPr>
        <w:rFonts w:hint="default" w:ascii="宋体" w:hAnsi="宋体" w:eastAsia="宋体" w:cs="宋体"/>
        <w:b/>
        <w:bCs/>
        <w:spacing w:val="0"/>
        <w:w w:val="98"/>
        <w:sz w:val="21"/>
        <w:szCs w:val="21"/>
        <w:lang w:val="en-US" w:eastAsia="en-US" w:bidi="en-US"/>
      </w:rPr>
    </w:lvl>
    <w:lvl w:ilvl="4" w:tentative="0">
      <w:start w:val="0"/>
      <w:numFmt w:val="bullet"/>
      <w:lvlText w:val="•"/>
      <w:lvlJc w:val="left"/>
      <w:pPr>
        <w:ind w:left="4600" w:hanging="420"/>
      </w:pPr>
      <w:rPr>
        <w:rFonts w:hint="default"/>
        <w:lang w:val="en-US" w:eastAsia="en-US" w:bidi="en-US"/>
      </w:rPr>
    </w:lvl>
    <w:lvl w:ilvl="5" w:tentative="0">
      <w:start w:val="0"/>
      <w:numFmt w:val="bullet"/>
      <w:lvlText w:val="•"/>
      <w:lvlJc w:val="left"/>
      <w:pPr>
        <w:ind w:left="4920" w:hanging="420"/>
      </w:pPr>
      <w:rPr>
        <w:rFonts w:hint="default"/>
        <w:lang w:val="en-US" w:eastAsia="en-US" w:bidi="en-US"/>
      </w:rPr>
    </w:lvl>
    <w:lvl w:ilvl="6" w:tentative="0">
      <w:start w:val="0"/>
      <w:numFmt w:val="bullet"/>
      <w:lvlText w:val="•"/>
      <w:lvlJc w:val="left"/>
      <w:pPr>
        <w:ind w:left="5969" w:hanging="420"/>
      </w:pPr>
      <w:rPr>
        <w:rFonts w:hint="default"/>
        <w:lang w:val="en-US" w:eastAsia="en-US" w:bidi="en-US"/>
      </w:rPr>
    </w:lvl>
    <w:lvl w:ilvl="7" w:tentative="0">
      <w:start w:val="0"/>
      <w:numFmt w:val="bullet"/>
      <w:lvlText w:val="•"/>
      <w:lvlJc w:val="left"/>
      <w:pPr>
        <w:ind w:left="7018" w:hanging="420"/>
      </w:pPr>
      <w:rPr>
        <w:rFonts w:hint="default"/>
        <w:lang w:val="en-US" w:eastAsia="en-US" w:bidi="en-US"/>
      </w:rPr>
    </w:lvl>
    <w:lvl w:ilvl="8" w:tentative="0">
      <w:start w:val="0"/>
      <w:numFmt w:val="bullet"/>
      <w:lvlText w:val="•"/>
      <w:lvlJc w:val="left"/>
      <w:pPr>
        <w:ind w:left="8067" w:hanging="420"/>
      </w:pPr>
      <w:rPr>
        <w:rFonts w:hint="default"/>
        <w:lang w:val="en-US" w:eastAsia="en-US" w:bidi="en-US"/>
      </w:rPr>
    </w:lvl>
  </w:abstractNum>
  <w:abstractNum w:abstractNumId="157">
    <w:nsid w:val="3B8127DF"/>
    <w:multiLevelType w:val="multilevel"/>
    <w:tmpl w:val="3B8127DF"/>
    <w:lvl w:ilvl="0" w:tentative="0">
      <w:start w:val="1"/>
      <w:numFmt w:val="decimal"/>
      <w:lvlText w:val="%1"/>
      <w:lvlJc w:val="left"/>
      <w:pPr>
        <w:ind w:left="1052" w:hanging="420"/>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20"/>
      </w:pPr>
      <w:rPr>
        <w:rFonts w:hint="default"/>
        <w:lang w:val="en-US" w:eastAsia="en-US" w:bidi="en-US"/>
      </w:rPr>
    </w:lvl>
    <w:lvl w:ilvl="2" w:tentative="0">
      <w:start w:val="0"/>
      <w:numFmt w:val="bullet"/>
      <w:lvlText w:val="•"/>
      <w:lvlJc w:val="left"/>
      <w:pPr>
        <w:ind w:left="2881" w:hanging="420"/>
      </w:pPr>
      <w:rPr>
        <w:rFonts w:hint="default"/>
        <w:lang w:val="en-US" w:eastAsia="en-US" w:bidi="en-US"/>
      </w:rPr>
    </w:lvl>
    <w:lvl w:ilvl="3" w:tentative="0">
      <w:start w:val="0"/>
      <w:numFmt w:val="bullet"/>
      <w:lvlText w:val="•"/>
      <w:lvlJc w:val="left"/>
      <w:pPr>
        <w:ind w:left="3791" w:hanging="420"/>
      </w:pPr>
      <w:rPr>
        <w:rFonts w:hint="default"/>
        <w:lang w:val="en-US" w:eastAsia="en-US" w:bidi="en-US"/>
      </w:rPr>
    </w:lvl>
    <w:lvl w:ilvl="4" w:tentative="0">
      <w:start w:val="0"/>
      <w:numFmt w:val="bullet"/>
      <w:lvlText w:val="•"/>
      <w:lvlJc w:val="left"/>
      <w:pPr>
        <w:ind w:left="4702" w:hanging="420"/>
      </w:pPr>
      <w:rPr>
        <w:rFonts w:hint="default"/>
        <w:lang w:val="en-US" w:eastAsia="en-US" w:bidi="en-US"/>
      </w:rPr>
    </w:lvl>
    <w:lvl w:ilvl="5" w:tentative="0">
      <w:start w:val="0"/>
      <w:numFmt w:val="bullet"/>
      <w:lvlText w:val="•"/>
      <w:lvlJc w:val="left"/>
      <w:pPr>
        <w:ind w:left="5613" w:hanging="420"/>
      </w:pPr>
      <w:rPr>
        <w:rFonts w:hint="default"/>
        <w:lang w:val="en-US" w:eastAsia="en-US" w:bidi="en-US"/>
      </w:rPr>
    </w:lvl>
    <w:lvl w:ilvl="6" w:tentative="0">
      <w:start w:val="0"/>
      <w:numFmt w:val="bullet"/>
      <w:lvlText w:val="•"/>
      <w:lvlJc w:val="left"/>
      <w:pPr>
        <w:ind w:left="6523" w:hanging="420"/>
      </w:pPr>
      <w:rPr>
        <w:rFonts w:hint="default"/>
        <w:lang w:val="en-US" w:eastAsia="en-US" w:bidi="en-US"/>
      </w:rPr>
    </w:lvl>
    <w:lvl w:ilvl="7" w:tentative="0">
      <w:start w:val="0"/>
      <w:numFmt w:val="bullet"/>
      <w:lvlText w:val="•"/>
      <w:lvlJc w:val="left"/>
      <w:pPr>
        <w:ind w:left="7434" w:hanging="420"/>
      </w:pPr>
      <w:rPr>
        <w:rFonts w:hint="default"/>
        <w:lang w:val="en-US" w:eastAsia="en-US" w:bidi="en-US"/>
      </w:rPr>
    </w:lvl>
    <w:lvl w:ilvl="8" w:tentative="0">
      <w:start w:val="0"/>
      <w:numFmt w:val="bullet"/>
      <w:lvlText w:val="•"/>
      <w:lvlJc w:val="left"/>
      <w:pPr>
        <w:ind w:left="8344" w:hanging="420"/>
      </w:pPr>
      <w:rPr>
        <w:rFonts w:hint="default"/>
        <w:lang w:val="en-US" w:eastAsia="en-US" w:bidi="en-US"/>
      </w:rPr>
    </w:lvl>
  </w:abstractNum>
  <w:abstractNum w:abstractNumId="158">
    <w:nsid w:val="3D950AF9"/>
    <w:multiLevelType w:val="multilevel"/>
    <w:tmpl w:val="3D950AF9"/>
    <w:lvl w:ilvl="0" w:tentative="0">
      <w:start w:val="2"/>
      <w:numFmt w:val="decimal"/>
      <w:lvlText w:val="%1"/>
      <w:lvlJc w:val="left"/>
      <w:pPr>
        <w:ind w:left="1060"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970" w:hanging="420"/>
      </w:pPr>
      <w:rPr>
        <w:rFonts w:hint="default"/>
        <w:lang w:val="en-US" w:eastAsia="en-US" w:bidi="en-US"/>
      </w:rPr>
    </w:lvl>
    <w:lvl w:ilvl="2" w:tentative="0">
      <w:start w:val="0"/>
      <w:numFmt w:val="bullet"/>
      <w:lvlText w:val="•"/>
      <w:lvlJc w:val="left"/>
      <w:pPr>
        <w:ind w:left="2881" w:hanging="420"/>
      </w:pPr>
      <w:rPr>
        <w:rFonts w:hint="default"/>
        <w:lang w:val="en-US" w:eastAsia="en-US" w:bidi="en-US"/>
      </w:rPr>
    </w:lvl>
    <w:lvl w:ilvl="3" w:tentative="0">
      <w:start w:val="0"/>
      <w:numFmt w:val="bullet"/>
      <w:lvlText w:val="•"/>
      <w:lvlJc w:val="left"/>
      <w:pPr>
        <w:ind w:left="3791" w:hanging="420"/>
      </w:pPr>
      <w:rPr>
        <w:rFonts w:hint="default"/>
        <w:lang w:val="en-US" w:eastAsia="en-US" w:bidi="en-US"/>
      </w:rPr>
    </w:lvl>
    <w:lvl w:ilvl="4" w:tentative="0">
      <w:start w:val="0"/>
      <w:numFmt w:val="bullet"/>
      <w:lvlText w:val="•"/>
      <w:lvlJc w:val="left"/>
      <w:pPr>
        <w:ind w:left="4702" w:hanging="420"/>
      </w:pPr>
      <w:rPr>
        <w:rFonts w:hint="default"/>
        <w:lang w:val="en-US" w:eastAsia="en-US" w:bidi="en-US"/>
      </w:rPr>
    </w:lvl>
    <w:lvl w:ilvl="5" w:tentative="0">
      <w:start w:val="0"/>
      <w:numFmt w:val="bullet"/>
      <w:lvlText w:val="•"/>
      <w:lvlJc w:val="left"/>
      <w:pPr>
        <w:ind w:left="5613" w:hanging="420"/>
      </w:pPr>
      <w:rPr>
        <w:rFonts w:hint="default"/>
        <w:lang w:val="en-US" w:eastAsia="en-US" w:bidi="en-US"/>
      </w:rPr>
    </w:lvl>
    <w:lvl w:ilvl="6" w:tentative="0">
      <w:start w:val="0"/>
      <w:numFmt w:val="bullet"/>
      <w:lvlText w:val="•"/>
      <w:lvlJc w:val="left"/>
      <w:pPr>
        <w:ind w:left="6523" w:hanging="420"/>
      </w:pPr>
      <w:rPr>
        <w:rFonts w:hint="default"/>
        <w:lang w:val="en-US" w:eastAsia="en-US" w:bidi="en-US"/>
      </w:rPr>
    </w:lvl>
    <w:lvl w:ilvl="7" w:tentative="0">
      <w:start w:val="0"/>
      <w:numFmt w:val="bullet"/>
      <w:lvlText w:val="•"/>
      <w:lvlJc w:val="left"/>
      <w:pPr>
        <w:ind w:left="7434" w:hanging="420"/>
      </w:pPr>
      <w:rPr>
        <w:rFonts w:hint="default"/>
        <w:lang w:val="en-US" w:eastAsia="en-US" w:bidi="en-US"/>
      </w:rPr>
    </w:lvl>
    <w:lvl w:ilvl="8" w:tentative="0">
      <w:start w:val="0"/>
      <w:numFmt w:val="bullet"/>
      <w:lvlText w:val="•"/>
      <w:lvlJc w:val="left"/>
      <w:pPr>
        <w:ind w:left="8344" w:hanging="420"/>
      </w:pPr>
      <w:rPr>
        <w:rFonts w:hint="default"/>
        <w:lang w:val="en-US" w:eastAsia="en-US" w:bidi="en-US"/>
      </w:rPr>
    </w:lvl>
  </w:abstractNum>
  <w:abstractNum w:abstractNumId="159">
    <w:nsid w:val="3FE315B6"/>
    <w:multiLevelType w:val="multilevel"/>
    <w:tmpl w:val="3FE315B6"/>
    <w:lvl w:ilvl="0" w:tentative="0">
      <w:start w:val="1"/>
      <w:numFmt w:val="decimal"/>
      <w:lvlText w:val="%1"/>
      <w:lvlJc w:val="left"/>
      <w:pPr>
        <w:ind w:left="212" w:hanging="840"/>
        <w:jc w:val="left"/>
      </w:pPr>
      <w:rPr>
        <w:rFonts w:hint="default"/>
        <w:lang w:val="en-US" w:eastAsia="en-US" w:bidi="en-US"/>
      </w:rPr>
    </w:lvl>
    <w:lvl w:ilvl="1" w:tentative="0">
      <w:start w:val="0"/>
      <w:numFmt w:val="decimal"/>
      <w:lvlText w:val="%1.%2"/>
      <w:lvlJc w:val="left"/>
      <w:pPr>
        <w:ind w:left="212" w:hanging="840"/>
        <w:jc w:val="left"/>
      </w:pPr>
      <w:rPr>
        <w:rFonts w:hint="default"/>
        <w:lang w:val="en-US" w:eastAsia="en-US" w:bidi="en-US"/>
      </w:rPr>
    </w:lvl>
    <w:lvl w:ilvl="2" w:tentative="0">
      <w:start w:val="1"/>
      <w:numFmt w:val="decimal"/>
      <w:lvlText w:val="%1.%2.%3"/>
      <w:lvlJc w:val="left"/>
      <w:pPr>
        <w:ind w:left="21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203" w:hanging="840"/>
      </w:pPr>
      <w:rPr>
        <w:rFonts w:hint="default"/>
        <w:lang w:val="en-US" w:eastAsia="en-US" w:bidi="en-US"/>
      </w:rPr>
    </w:lvl>
    <w:lvl w:ilvl="4" w:tentative="0">
      <w:start w:val="0"/>
      <w:numFmt w:val="bullet"/>
      <w:lvlText w:val="•"/>
      <w:lvlJc w:val="left"/>
      <w:pPr>
        <w:ind w:left="4198" w:hanging="840"/>
      </w:pPr>
      <w:rPr>
        <w:rFonts w:hint="default"/>
        <w:lang w:val="en-US" w:eastAsia="en-US" w:bidi="en-US"/>
      </w:rPr>
    </w:lvl>
    <w:lvl w:ilvl="5" w:tentative="0">
      <w:start w:val="0"/>
      <w:numFmt w:val="bullet"/>
      <w:lvlText w:val="•"/>
      <w:lvlJc w:val="left"/>
      <w:pPr>
        <w:ind w:left="5193" w:hanging="840"/>
      </w:pPr>
      <w:rPr>
        <w:rFonts w:hint="default"/>
        <w:lang w:val="en-US" w:eastAsia="en-US" w:bidi="en-US"/>
      </w:rPr>
    </w:lvl>
    <w:lvl w:ilvl="6" w:tentative="0">
      <w:start w:val="0"/>
      <w:numFmt w:val="bullet"/>
      <w:lvlText w:val="•"/>
      <w:lvlJc w:val="left"/>
      <w:pPr>
        <w:ind w:left="6187" w:hanging="840"/>
      </w:pPr>
      <w:rPr>
        <w:rFonts w:hint="default"/>
        <w:lang w:val="en-US" w:eastAsia="en-US" w:bidi="en-US"/>
      </w:rPr>
    </w:lvl>
    <w:lvl w:ilvl="7" w:tentative="0">
      <w:start w:val="0"/>
      <w:numFmt w:val="bullet"/>
      <w:lvlText w:val="•"/>
      <w:lvlJc w:val="left"/>
      <w:pPr>
        <w:ind w:left="7182" w:hanging="840"/>
      </w:pPr>
      <w:rPr>
        <w:rFonts w:hint="default"/>
        <w:lang w:val="en-US" w:eastAsia="en-US" w:bidi="en-US"/>
      </w:rPr>
    </w:lvl>
    <w:lvl w:ilvl="8" w:tentative="0">
      <w:start w:val="0"/>
      <w:numFmt w:val="bullet"/>
      <w:lvlText w:val="•"/>
      <w:lvlJc w:val="left"/>
      <w:pPr>
        <w:ind w:left="8176" w:hanging="840"/>
      </w:pPr>
      <w:rPr>
        <w:rFonts w:hint="default"/>
        <w:lang w:val="en-US" w:eastAsia="en-US" w:bidi="en-US"/>
      </w:rPr>
    </w:lvl>
  </w:abstractNum>
  <w:abstractNum w:abstractNumId="160">
    <w:nsid w:val="408860E8"/>
    <w:multiLevelType w:val="multilevel"/>
    <w:tmpl w:val="408860E8"/>
    <w:lvl w:ilvl="0" w:tentative="0">
      <w:start w:val="4"/>
      <w:numFmt w:val="decimal"/>
      <w:lvlText w:val="%1"/>
      <w:lvlJc w:val="left"/>
      <w:pPr>
        <w:ind w:left="212" w:hanging="840"/>
        <w:jc w:val="left"/>
      </w:pPr>
      <w:rPr>
        <w:rFonts w:hint="default"/>
        <w:lang w:val="en-US" w:eastAsia="en-US" w:bidi="en-US"/>
      </w:rPr>
    </w:lvl>
    <w:lvl w:ilvl="1" w:tentative="0">
      <w:start w:val="2"/>
      <w:numFmt w:val="decimal"/>
      <w:lvlText w:val="%1.%2"/>
      <w:lvlJc w:val="left"/>
      <w:pPr>
        <w:ind w:left="212" w:hanging="840"/>
        <w:jc w:val="left"/>
      </w:pPr>
      <w:rPr>
        <w:rFonts w:hint="default"/>
        <w:lang w:val="en-US" w:eastAsia="en-US" w:bidi="en-US"/>
      </w:rPr>
    </w:lvl>
    <w:lvl w:ilvl="2" w:tentative="0">
      <w:start w:val="37"/>
      <w:numFmt w:val="decimal"/>
      <w:lvlText w:val="%1.%2.%3"/>
      <w:lvlJc w:val="left"/>
      <w:pPr>
        <w:ind w:left="21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212" w:hanging="420"/>
        <w:jc w:val="left"/>
      </w:pPr>
      <w:rPr>
        <w:rFonts w:hint="default" w:ascii="宋体" w:hAnsi="宋体" w:eastAsia="宋体" w:cs="宋体"/>
        <w:w w:val="99"/>
        <w:sz w:val="21"/>
        <w:szCs w:val="21"/>
        <w:lang w:val="en-US" w:eastAsia="en-US" w:bidi="en-US"/>
      </w:rPr>
    </w:lvl>
    <w:lvl w:ilvl="4" w:tentative="0">
      <w:start w:val="0"/>
      <w:numFmt w:val="bullet"/>
      <w:lvlText w:val="•"/>
      <w:lvlJc w:val="left"/>
      <w:pPr>
        <w:ind w:left="4198" w:hanging="420"/>
      </w:pPr>
      <w:rPr>
        <w:rFonts w:hint="default"/>
        <w:lang w:val="en-US" w:eastAsia="en-US" w:bidi="en-US"/>
      </w:rPr>
    </w:lvl>
    <w:lvl w:ilvl="5" w:tentative="0">
      <w:start w:val="0"/>
      <w:numFmt w:val="bullet"/>
      <w:lvlText w:val="•"/>
      <w:lvlJc w:val="left"/>
      <w:pPr>
        <w:ind w:left="5193" w:hanging="420"/>
      </w:pPr>
      <w:rPr>
        <w:rFonts w:hint="default"/>
        <w:lang w:val="en-US" w:eastAsia="en-US" w:bidi="en-US"/>
      </w:rPr>
    </w:lvl>
    <w:lvl w:ilvl="6" w:tentative="0">
      <w:start w:val="0"/>
      <w:numFmt w:val="bullet"/>
      <w:lvlText w:val="•"/>
      <w:lvlJc w:val="left"/>
      <w:pPr>
        <w:ind w:left="6187" w:hanging="420"/>
      </w:pPr>
      <w:rPr>
        <w:rFonts w:hint="default"/>
        <w:lang w:val="en-US" w:eastAsia="en-US" w:bidi="en-US"/>
      </w:rPr>
    </w:lvl>
    <w:lvl w:ilvl="7" w:tentative="0">
      <w:start w:val="0"/>
      <w:numFmt w:val="bullet"/>
      <w:lvlText w:val="•"/>
      <w:lvlJc w:val="left"/>
      <w:pPr>
        <w:ind w:left="7182" w:hanging="420"/>
      </w:pPr>
      <w:rPr>
        <w:rFonts w:hint="default"/>
        <w:lang w:val="en-US" w:eastAsia="en-US" w:bidi="en-US"/>
      </w:rPr>
    </w:lvl>
    <w:lvl w:ilvl="8" w:tentative="0">
      <w:start w:val="0"/>
      <w:numFmt w:val="bullet"/>
      <w:lvlText w:val="•"/>
      <w:lvlJc w:val="left"/>
      <w:pPr>
        <w:ind w:left="8176" w:hanging="420"/>
      </w:pPr>
      <w:rPr>
        <w:rFonts w:hint="default"/>
        <w:lang w:val="en-US" w:eastAsia="en-US" w:bidi="en-US"/>
      </w:rPr>
    </w:lvl>
  </w:abstractNum>
  <w:abstractNum w:abstractNumId="161">
    <w:nsid w:val="40B249F9"/>
    <w:multiLevelType w:val="multilevel"/>
    <w:tmpl w:val="40B249F9"/>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62">
    <w:nsid w:val="40F245EA"/>
    <w:multiLevelType w:val="multilevel"/>
    <w:tmpl w:val="40F245EA"/>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63">
    <w:nsid w:val="4258023A"/>
    <w:multiLevelType w:val="multilevel"/>
    <w:tmpl w:val="4258023A"/>
    <w:lvl w:ilvl="0" w:tentative="0">
      <w:start w:val="3"/>
      <w:numFmt w:val="decimal"/>
      <w:lvlText w:val="%1"/>
      <w:lvlJc w:val="left"/>
      <w:pPr>
        <w:ind w:left="2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214" w:hanging="420"/>
      </w:pPr>
      <w:rPr>
        <w:rFonts w:hint="default"/>
        <w:lang w:val="en-US" w:eastAsia="en-US" w:bidi="en-US"/>
      </w:rPr>
    </w:lvl>
    <w:lvl w:ilvl="2" w:tentative="0">
      <w:start w:val="0"/>
      <w:numFmt w:val="bullet"/>
      <w:lvlText w:val="•"/>
      <w:lvlJc w:val="left"/>
      <w:pPr>
        <w:ind w:left="2209" w:hanging="420"/>
      </w:pPr>
      <w:rPr>
        <w:rFonts w:hint="default"/>
        <w:lang w:val="en-US" w:eastAsia="en-US" w:bidi="en-US"/>
      </w:rPr>
    </w:lvl>
    <w:lvl w:ilvl="3" w:tentative="0">
      <w:start w:val="0"/>
      <w:numFmt w:val="bullet"/>
      <w:lvlText w:val="•"/>
      <w:lvlJc w:val="left"/>
      <w:pPr>
        <w:ind w:left="3203" w:hanging="420"/>
      </w:pPr>
      <w:rPr>
        <w:rFonts w:hint="default"/>
        <w:lang w:val="en-US" w:eastAsia="en-US" w:bidi="en-US"/>
      </w:rPr>
    </w:lvl>
    <w:lvl w:ilvl="4" w:tentative="0">
      <w:start w:val="0"/>
      <w:numFmt w:val="bullet"/>
      <w:lvlText w:val="•"/>
      <w:lvlJc w:val="left"/>
      <w:pPr>
        <w:ind w:left="4198" w:hanging="420"/>
      </w:pPr>
      <w:rPr>
        <w:rFonts w:hint="default"/>
        <w:lang w:val="en-US" w:eastAsia="en-US" w:bidi="en-US"/>
      </w:rPr>
    </w:lvl>
    <w:lvl w:ilvl="5" w:tentative="0">
      <w:start w:val="0"/>
      <w:numFmt w:val="bullet"/>
      <w:lvlText w:val="•"/>
      <w:lvlJc w:val="left"/>
      <w:pPr>
        <w:ind w:left="5193" w:hanging="420"/>
      </w:pPr>
      <w:rPr>
        <w:rFonts w:hint="default"/>
        <w:lang w:val="en-US" w:eastAsia="en-US" w:bidi="en-US"/>
      </w:rPr>
    </w:lvl>
    <w:lvl w:ilvl="6" w:tentative="0">
      <w:start w:val="0"/>
      <w:numFmt w:val="bullet"/>
      <w:lvlText w:val="•"/>
      <w:lvlJc w:val="left"/>
      <w:pPr>
        <w:ind w:left="6187" w:hanging="420"/>
      </w:pPr>
      <w:rPr>
        <w:rFonts w:hint="default"/>
        <w:lang w:val="en-US" w:eastAsia="en-US" w:bidi="en-US"/>
      </w:rPr>
    </w:lvl>
    <w:lvl w:ilvl="7" w:tentative="0">
      <w:start w:val="0"/>
      <w:numFmt w:val="bullet"/>
      <w:lvlText w:val="•"/>
      <w:lvlJc w:val="left"/>
      <w:pPr>
        <w:ind w:left="7182" w:hanging="420"/>
      </w:pPr>
      <w:rPr>
        <w:rFonts w:hint="default"/>
        <w:lang w:val="en-US" w:eastAsia="en-US" w:bidi="en-US"/>
      </w:rPr>
    </w:lvl>
    <w:lvl w:ilvl="8" w:tentative="0">
      <w:start w:val="0"/>
      <w:numFmt w:val="bullet"/>
      <w:lvlText w:val="•"/>
      <w:lvlJc w:val="left"/>
      <w:pPr>
        <w:ind w:left="8176" w:hanging="420"/>
      </w:pPr>
      <w:rPr>
        <w:rFonts w:hint="default"/>
        <w:lang w:val="en-US" w:eastAsia="en-US" w:bidi="en-US"/>
      </w:rPr>
    </w:lvl>
  </w:abstractNum>
  <w:abstractNum w:abstractNumId="164">
    <w:nsid w:val="429CD0B5"/>
    <w:multiLevelType w:val="multilevel"/>
    <w:tmpl w:val="429CD0B5"/>
    <w:lvl w:ilvl="0" w:tentative="0">
      <w:start w:val="1"/>
      <w:numFmt w:val="decimal"/>
      <w:lvlText w:val="%1"/>
      <w:lvlJc w:val="left"/>
      <w:pPr>
        <w:ind w:left="1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104" w:hanging="420"/>
      </w:pPr>
      <w:rPr>
        <w:rFonts w:hint="default"/>
        <w:lang w:val="en-US" w:eastAsia="en-US" w:bidi="en-US"/>
      </w:rPr>
    </w:lvl>
    <w:lvl w:ilvl="2" w:tentative="0">
      <w:start w:val="0"/>
      <w:numFmt w:val="bullet"/>
      <w:lvlText w:val="•"/>
      <w:lvlJc w:val="left"/>
      <w:pPr>
        <w:ind w:left="2089" w:hanging="420"/>
      </w:pPr>
      <w:rPr>
        <w:rFonts w:hint="default"/>
        <w:lang w:val="en-US" w:eastAsia="en-US" w:bidi="en-US"/>
      </w:rPr>
    </w:lvl>
    <w:lvl w:ilvl="3" w:tentative="0">
      <w:start w:val="0"/>
      <w:numFmt w:val="bullet"/>
      <w:lvlText w:val="•"/>
      <w:lvlJc w:val="left"/>
      <w:pPr>
        <w:ind w:left="3073" w:hanging="420"/>
      </w:pPr>
      <w:rPr>
        <w:rFonts w:hint="default"/>
        <w:lang w:val="en-US" w:eastAsia="en-US" w:bidi="en-US"/>
      </w:rPr>
    </w:lvl>
    <w:lvl w:ilvl="4" w:tentative="0">
      <w:start w:val="0"/>
      <w:numFmt w:val="bullet"/>
      <w:lvlText w:val="•"/>
      <w:lvlJc w:val="left"/>
      <w:pPr>
        <w:ind w:left="4058" w:hanging="420"/>
      </w:pPr>
      <w:rPr>
        <w:rFonts w:hint="default"/>
        <w:lang w:val="en-US" w:eastAsia="en-US" w:bidi="en-US"/>
      </w:rPr>
    </w:lvl>
    <w:lvl w:ilvl="5" w:tentative="0">
      <w:start w:val="0"/>
      <w:numFmt w:val="bullet"/>
      <w:lvlText w:val="•"/>
      <w:lvlJc w:val="left"/>
      <w:pPr>
        <w:ind w:left="5043" w:hanging="420"/>
      </w:pPr>
      <w:rPr>
        <w:rFonts w:hint="default"/>
        <w:lang w:val="en-US" w:eastAsia="en-US" w:bidi="en-US"/>
      </w:rPr>
    </w:lvl>
    <w:lvl w:ilvl="6" w:tentative="0">
      <w:start w:val="0"/>
      <w:numFmt w:val="bullet"/>
      <w:lvlText w:val="•"/>
      <w:lvlJc w:val="left"/>
      <w:pPr>
        <w:ind w:left="6027" w:hanging="420"/>
      </w:pPr>
      <w:rPr>
        <w:rFonts w:hint="default"/>
        <w:lang w:val="en-US" w:eastAsia="en-US" w:bidi="en-US"/>
      </w:rPr>
    </w:lvl>
    <w:lvl w:ilvl="7" w:tentative="0">
      <w:start w:val="0"/>
      <w:numFmt w:val="bullet"/>
      <w:lvlText w:val="•"/>
      <w:lvlJc w:val="left"/>
      <w:pPr>
        <w:ind w:left="7012" w:hanging="420"/>
      </w:pPr>
      <w:rPr>
        <w:rFonts w:hint="default"/>
        <w:lang w:val="en-US" w:eastAsia="en-US" w:bidi="en-US"/>
      </w:rPr>
    </w:lvl>
    <w:lvl w:ilvl="8" w:tentative="0">
      <w:start w:val="0"/>
      <w:numFmt w:val="bullet"/>
      <w:lvlText w:val="•"/>
      <w:lvlJc w:val="left"/>
      <w:pPr>
        <w:ind w:left="7996" w:hanging="420"/>
      </w:pPr>
      <w:rPr>
        <w:rFonts w:hint="default"/>
        <w:lang w:val="en-US" w:eastAsia="en-US" w:bidi="en-US"/>
      </w:rPr>
    </w:lvl>
  </w:abstractNum>
  <w:abstractNum w:abstractNumId="165">
    <w:nsid w:val="46A08BB8"/>
    <w:multiLevelType w:val="multilevel"/>
    <w:tmpl w:val="46A08BB8"/>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66">
    <w:nsid w:val="4A51D704"/>
    <w:multiLevelType w:val="multilevel"/>
    <w:tmpl w:val="4A51D704"/>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67">
    <w:nsid w:val="4AD1D84F"/>
    <w:multiLevelType w:val="multilevel"/>
    <w:tmpl w:val="4AD1D84F"/>
    <w:lvl w:ilvl="0" w:tentative="0">
      <w:start w:val="1"/>
      <w:numFmt w:val="decimal"/>
      <w:lvlText w:val="%1"/>
      <w:lvlJc w:val="left"/>
      <w:pPr>
        <w:ind w:left="1055" w:hanging="423"/>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970" w:hanging="423"/>
      </w:pPr>
      <w:rPr>
        <w:rFonts w:hint="default"/>
        <w:lang w:val="en-US" w:eastAsia="en-US" w:bidi="en-US"/>
      </w:rPr>
    </w:lvl>
    <w:lvl w:ilvl="2" w:tentative="0">
      <w:start w:val="0"/>
      <w:numFmt w:val="bullet"/>
      <w:lvlText w:val="•"/>
      <w:lvlJc w:val="left"/>
      <w:pPr>
        <w:ind w:left="2881" w:hanging="423"/>
      </w:pPr>
      <w:rPr>
        <w:rFonts w:hint="default"/>
        <w:lang w:val="en-US" w:eastAsia="en-US" w:bidi="en-US"/>
      </w:rPr>
    </w:lvl>
    <w:lvl w:ilvl="3" w:tentative="0">
      <w:start w:val="0"/>
      <w:numFmt w:val="bullet"/>
      <w:lvlText w:val="•"/>
      <w:lvlJc w:val="left"/>
      <w:pPr>
        <w:ind w:left="3791" w:hanging="423"/>
      </w:pPr>
      <w:rPr>
        <w:rFonts w:hint="default"/>
        <w:lang w:val="en-US" w:eastAsia="en-US" w:bidi="en-US"/>
      </w:rPr>
    </w:lvl>
    <w:lvl w:ilvl="4" w:tentative="0">
      <w:start w:val="0"/>
      <w:numFmt w:val="bullet"/>
      <w:lvlText w:val="•"/>
      <w:lvlJc w:val="left"/>
      <w:pPr>
        <w:ind w:left="4702" w:hanging="423"/>
      </w:pPr>
      <w:rPr>
        <w:rFonts w:hint="default"/>
        <w:lang w:val="en-US" w:eastAsia="en-US" w:bidi="en-US"/>
      </w:rPr>
    </w:lvl>
    <w:lvl w:ilvl="5" w:tentative="0">
      <w:start w:val="0"/>
      <w:numFmt w:val="bullet"/>
      <w:lvlText w:val="•"/>
      <w:lvlJc w:val="left"/>
      <w:pPr>
        <w:ind w:left="5613" w:hanging="423"/>
      </w:pPr>
      <w:rPr>
        <w:rFonts w:hint="default"/>
        <w:lang w:val="en-US" w:eastAsia="en-US" w:bidi="en-US"/>
      </w:rPr>
    </w:lvl>
    <w:lvl w:ilvl="6" w:tentative="0">
      <w:start w:val="0"/>
      <w:numFmt w:val="bullet"/>
      <w:lvlText w:val="•"/>
      <w:lvlJc w:val="left"/>
      <w:pPr>
        <w:ind w:left="6523" w:hanging="423"/>
      </w:pPr>
      <w:rPr>
        <w:rFonts w:hint="default"/>
        <w:lang w:val="en-US" w:eastAsia="en-US" w:bidi="en-US"/>
      </w:rPr>
    </w:lvl>
    <w:lvl w:ilvl="7" w:tentative="0">
      <w:start w:val="0"/>
      <w:numFmt w:val="bullet"/>
      <w:lvlText w:val="•"/>
      <w:lvlJc w:val="left"/>
      <w:pPr>
        <w:ind w:left="7434" w:hanging="423"/>
      </w:pPr>
      <w:rPr>
        <w:rFonts w:hint="default"/>
        <w:lang w:val="en-US" w:eastAsia="en-US" w:bidi="en-US"/>
      </w:rPr>
    </w:lvl>
    <w:lvl w:ilvl="8" w:tentative="0">
      <w:start w:val="0"/>
      <w:numFmt w:val="bullet"/>
      <w:lvlText w:val="•"/>
      <w:lvlJc w:val="left"/>
      <w:pPr>
        <w:ind w:left="8344" w:hanging="423"/>
      </w:pPr>
      <w:rPr>
        <w:rFonts w:hint="default"/>
        <w:lang w:val="en-US" w:eastAsia="en-US" w:bidi="en-US"/>
      </w:rPr>
    </w:lvl>
  </w:abstractNum>
  <w:abstractNum w:abstractNumId="168">
    <w:nsid w:val="4C1BAE26"/>
    <w:multiLevelType w:val="multilevel"/>
    <w:tmpl w:val="4C1BAE26"/>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69">
    <w:nsid w:val="4C3D7A74"/>
    <w:multiLevelType w:val="multilevel"/>
    <w:tmpl w:val="4C3D7A74"/>
    <w:lvl w:ilvl="0" w:tentative="0">
      <w:start w:val="1"/>
      <w:numFmt w:val="decimal"/>
      <w:lvlText w:val="%1"/>
      <w:lvlJc w:val="left"/>
      <w:pPr>
        <w:ind w:left="21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214" w:hanging="416"/>
      </w:pPr>
      <w:rPr>
        <w:rFonts w:hint="default"/>
        <w:lang w:val="en-US" w:eastAsia="en-US" w:bidi="en-US"/>
      </w:rPr>
    </w:lvl>
    <w:lvl w:ilvl="2" w:tentative="0">
      <w:start w:val="0"/>
      <w:numFmt w:val="bullet"/>
      <w:lvlText w:val="•"/>
      <w:lvlJc w:val="left"/>
      <w:pPr>
        <w:ind w:left="2209" w:hanging="416"/>
      </w:pPr>
      <w:rPr>
        <w:rFonts w:hint="default"/>
        <w:lang w:val="en-US" w:eastAsia="en-US" w:bidi="en-US"/>
      </w:rPr>
    </w:lvl>
    <w:lvl w:ilvl="3" w:tentative="0">
      <w:start w:val="0"/>
      <w:numFmt w:val="bullet"/>
      <w:lvlText w:val="•"/>
      <w:lvlJc w:val="left"/>
      <w:pPr>
        <w:ind w:left="3203" w:hanging="416"/>
      </w:pPr>
      <w:rPr>
        <w:rFonts w:hint="default"/>
        <w:lang w:val="en-US" w:eastAsia="en-US" w:bidi="en-US"/>
      </w:rPr>
    </w:lvl>
    <w:lvl w:ilvl="4" w:tentative="0">
      <w:start w:val="0"/>
      <w:numFmt w:val="bullet"/>
      <w:lvlText w:val="•"/>
      <w:lvlJc w:val="left"/>
      <w:pPr>
        <w:ind w:left="4198" w:hanging="416"/>
      </w:pPr>
      <w:rPr>
        <w:rFonts w:hint="default"/>
        <w:lang w:val="en-US" w:eastAsia="en-US" w:bidi="en-US"/>
      </w:rPr>
    </w:lvl>
    <w:lvl w:ilvl="5" w:tentative="0">
      <w:start w:val="0"/>
      <w:numFmt w:val="bullet"/>
      <w:lvlText w:val="•"/>
      <w:lvlJc w:val="left"/>
      <w:pPr>
        <w:ind w:left="5193" w:hanging="416"/>
      </w:pPr>
      <w:rPr>
        <w:rFonts w:hint="default"/>
        <w:lang w:val="en-US" w:eastAsia="en-US" w:bidi="en-US"/>
      </w:rPr>
    </w:lvl>
    <w:lvl w:ilvl="6" w:tentative="0">
      <w:start w:val="0"/>
      <w:numFmt w:val="bullet"/>
      <w:lvlText w:val="•"/>
      <w:lvlJc w:val="left"/>
      <w:pPr>
        <w:ind w:left="6187" w:hanging="416"/>
      </w:pPr>
      <w:rPr>
        <w:rFonts w:hint="default"/>
        <w:lang w:val="en-US" w:eastAsia="en-US" w:bidi="en-US"/>
      </w:rPr>
    </w:lvl>
    <w:lvl w:ilvl="7" w:tentative="0">
      <w:start w:val="0"/>
      <w:numFmt w:val="bullet"/>
      <w:lvlText w:val="•"/>
      <w:lvlJc w:val="left"/>
      <w:pPr>
        <w:ind w:left="7182" w:hanging="416"/>
      </w:pPr>
      <w:rPr>
        <w:rFonts w:hint="default"/>
        <w:lang w:val="en-US" w:eastAsia="en-US" w:bidi="en-US"/>
      </w:rPr>
    </w:lvl>
    <w:lvl w:ilvl="8" w:tentative="0">
      <w:start w:val="0"/>
      <w:numFmt w:val="bullet"/>
      <w:lvlText w:val="•"/>
      <w:lvlJc w:val="left"/>
      <w:pPr>
        <w:ind w:left="8176" w:hanging="416"/>
      </w:pPr>
      <w:rPr>
        <w:rFonts w:hint="default"/>
        <w:lang w:val="en-US" w:eastAsia="en-US" w:bidi="en-US"/>
      </w:rPr>
    </w:lvl>
  </w:abstractNum>
  <w:abstractNum w:abstractNumId="170">
    <w:nsid w:val="4CD1E351"/>
    <w:multiLevelType w:val="multilevel"/>
    <w:tmpl w:val="4CD1E351"/>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71">
    <w:nsid w:val="4D4DC07F"/>
    <w:multiLevelType w:val="multilevel"/>
    <w:tmpl w:val="4D4DC07F"/>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72">
    <w:nsid w:val="4D63189B"/>
    <w:multiLevelType w:val="multilevel"/>
    <w:tmpl w:val="4D63189B"/>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73">
    <w:nsid w:val="4D94DA66"/>
    <w:multiLevelType w:val="multilevel"/>
    <w:tmpl w:val="4D94DA66"/>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74">
    <w:nsid w:val="4EA76503"/>
    <w:multiLevelType w:val="multilevel"/>
    <w:tmpl w:val="4EA76503"/>
    <w:lvl w:ilvl="0" w:tentative="0">
      <w:start w:val="11"/>
      <w:numFmt w:val="decimal"/>
      <w:lvlText w:val="%1"/>
      <w:lvlJc w:val="left"/>
      <w:pPr>
        <w:ind w:left="112" w:hanging="516"/>
        <w:jc w:val="left"/>
      </w:pPr>
      <w:rPr>
        <w:rFonts w:hint="default" w:ascii="宋体" w:hAnsi="宋体" w:eastAsia="宋体" w:cs="宋体"/>
        <w:spacing w:val="-2"/>
        <w:w w:val="99"/>
        <w:sz w:val="21"/>
        <w:szCs w:val="21"/>
        <w:lang w:val="en-US" w:eastAsia="en-US" w:bidi="en-US"/>
      </w:rPr>
    </w:lvl>
    <w:lvl w:ilvl="1" w:tentative="0">
      <w:start w:val="0"/>
      <w:numFmt w:val="bullet"/>
      <w:lvlText w:val="•"/>
      <w:lvlJc w:val="left"/>
      <w:pPr>
        <w:ind w:left="1114" w:hanging="516"/>
      </w:pPr>
      <w:rPr>
        <w:rFonts w:hint="default"/>
        <w:lang w:val="en-US" w:eastAsia="en-US" w:bidi="en-US"/>
      </w:rPr>
    </w:lvl>
    <w:lvl w:ilvl="2" w:tentative="0">
      <w:start w:val="0"/>
      <w:numFmt w:val="bullet"/>
      <w:lvlText w:val="•"/>
      <w:lvlJc w:val="left"/>
      <w:pPr>
        <w:ind w:left="2109" w:hanging="516"/>
      </w:pPr>
      <w:rPr>
        <w:rFonts w:hint="default"/>
        <w:lang w:val="en-US" w:eastAsia="en-US" w:bidi="en-US"/>
      </w:rPr>
    </w:lvl>
    <w:lvl w:ilvl="3" w:tentative="0">
      <w:start w:val="0"/>
      <w:numFmt w:val="bullet"/>
      <w:lvlText w:val="•"/>
      <w:lvlJc w:val="left"/>
      <w:pPr>
        <w:ind w:left="3103" w:hanging="516"/>
      </w:pPr>
      <w:rPr>
        <w:rFonts w:hint="default"/>
        <w:lang w:val="en-US" w:eastAsia="en-US" w:bidi="en-US"/>
      </w:rPr>
    </w:lvl>
    <w:lvl w:ilvl="4" w:tentative="0">
      <w:start w:val="0"/>
      <w:numFmt w:val="bullet"/>
      <w:lvlText w:val="•"/>
      <w:lvlJc w:val="left"/>
      <w:pPr>
        <w:ind w:left="4098" w:hanging="516"/>
      </w:pPr>
      <w:rPr>
        <w:rFonts w:hint="default"/>
        <w:lang w:val="en-US" w:eastAsia="en-US" w:bidi="en-US"/>
      </w:rPr>
    </w:lvl>
    <w:lvl w:ilvl="5" w:tentative="0">
      <w:start w:val="0"/>
      <w:numFmt w:val="bullet"/>
      <w:lvlText w:val="•"/>
      <w:lvlJc w:val="left"/>
      <w:pPr>
        <w:ind w:left="5093" w:hanging="516"/>
      </w:pPr>
      <w:rPr>
        <w:rFonts w:hint="default"/>
        <w:lang w:val="en-US" w:eastAsia="en-US" w:bidi="en-US"/>
      </w:rPr>
    </w:lvl>
    <w:lvl w:ilvl="6" w:tentative="0">
      <w:start w:val="0"/>
      <w:numFmt w:val="bullet"/>
      <w:lvlText w:val="•"/>
      <w:lvlJc w:val="left"/>
      <w:pPr>
        <w:ind w:left="6087" w:hanging="516"/>
      </w:pPr>
      <w:rPr>
        <w:rFonts w:hint="default"/>
        <w:lang w:val="en-US" w:eastAsia="en-US" w:bidi="en-US"/>
      </w:rPr>
    </w:lvl>
    <w:lvl w:ilvl="7" w:tentative="0">
      <w:start w:val="0"/>
      <w:numFmt w:val="bullet"/>
      <w:lvlText w:val="•"/>
      <w:lvlJc w:val="left"/>
      <w:pPr>
        <w:ind w:left="7082" w:hanging="516"/>
      </w:pPr>
      <w:rPr>
        <w:rFonts w:hint="default"/>
        <w:lang w:val="en-US" w:eastAsia="en-US" w:bidi="en-US"/>
      </w:rPr>
    </w:lvl>
    <w:lvl w:ilvl="8" w:tentative="0">
      <w:start w:val="0"/>
      <w:numFmt w:val="bullet"/>
      <w:lvlText w:val="•"/>
      <w:lvlJc w:val="left"/>
      <w:pPr>
        <w:ind w:left="8076" w:hanging="516"/>
      </w:pPr>
      <w:rPr>
        <w:rFonts w:hint="default"/>
        <w:lang w:val="en-US" w:eastAsia="en-US" w:bidi="en-US"/>
      </w:rPr>
    </w:lvl>
  </w:abstractNum>
  <w:abstractNum w:abstractNumId="175">
    <w:nsid w:val="4F00C6B4"/>
    <w:multiLevelType w:val="multilevel"/>
    <w:tmpl w:val="4F00C6B4"/>
    <w:lvl w:ilvl="0" w:tentative="0">
      <w:start w:val="8"/>
      <w:numFmt w:val="decimal"/>
      <w:lvlText w:val="%1"/>
      <w:lvlJc w:val="left"/>
      <w:pPr>
        <w:ind w:left="952" w:hanging="840"/>
        <w:jc w:val="left"/>
      </w:pPr>
      <w:rPr>
        <w:rFonts w:hint="default"/>
        <w:lang w:val="en-US" w:eastAsia="en-US" w:bidi="en-US"/>
      </w:rPr>
    </w:lvl>
    <w:lvl w:ilvl="1" w:tentative="0">
      <w:start w:val="1"/>
      <w:numFmt w:val="decimal"/>
      <w:lvlText w:val="%1.%2"/>
      <w:lvlJc w:val="left"/>
      <w:pPr>
        <w:ind w:left="952" w:hanging="840"/>
        <w:jc w:val="left"/>
      </w:pPr>
      <w:rPr>
        <w:rFonts w:hint="default"/>
        <w:lang w:val="en-US" w:eastAsia="en-US" w:bidi="en-US"/>
      </w:rPr>
    </w:lvl>
    <w:lvl w:ilvl="2" w:tentative="0">
      <w:start w:val="4"/>
      <w:numFmt w:val="decimal"/>
      <w:lvlText w:val="%1.%2.%3"/>
      <w:lvlJc w:val="left"/>
      <w:pPr>
        <w:ind w:left="95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661" w:hanging="840"/>
      </w:pPr>
      <w:rPr>
        <w:rFonts w:hint="default"/>
        <w:lang w:val="en-US" w:eastAsia="en-US" w:bidi="en-US"/>
      </w:rPr>
    </w:lvl>
    <w:lvl w:ilvl="4" w:tentative="0">
      <w:start w:val="0"/>
      <w:numFmt w:val="bullet"/>
      <w:lvlText w:val="•"/>
      <w:lvlJc w:val="left"/>
      <w:pPr>
        <w:ind w:left="4562" w:hanging="840"/>
      </w:pPr>
      <w:rPr>
        <w:rFonts w:hint="default"/>
        <w:lang w:val="en-US" w:eastAsia="en-US" w:bidi="en-US"/>
      </w:rPr>
    </w:lvl>
    <w:lvl w:ilvl="5" w:tentative="0">
      <w:start w:val="0"/>
      <w:numFmt w:val="bullet"/>
      <w:lvlText w:val="•"/>
      <w:lvlJc w:val="left"/>
      <w:pPr>
        <w:ind w:left="5463" w:hanging="840"/>
      </w:pPr>
      <w:rPr>
        <w:rFonts w:hint="default"/>
        <w:lang w:val="en-US" w:eastAsia="en-US" w:bidi="en-US"/>
      </w:rPr>
    </w:lvl>
    <w:lvl w:ilvl="6" w:tentative="0">
      <w:start w:val="0"/>
      <w:numFmt w:val="bullet"/>
      <w:lvlText w:val="•"/>
      <w:lvlJc w:val="left"/>
      <w:pPr>
        <w:ind w:left="6363" w:hanging="840"/>
      </w:pPr>
      <w:rPr>
        <w:rFonts w:hint="default"/>
        <w:lang w:val="en-US" w:eastAsia="en-US" w:bidi="en-US"/>
      </w:rPr>
    </w:lvl>
    <w:lvl w:ilvl="7" w:tentative="0">
      <w:start w:val="0"/>
      <w:numFmt w:val="bullet"/>
      <w:lvlText w:val="•"/>
      <w:lvlJc w:val="left"/>
      <w:pPr>
        <w:ind w:left="7264" w:hanging="840"/>
      </w:pPr>
      <w:rPr>
        <w:rFonts w:hint="default"/>
        <w:lang w:val="en-US" w:eastAsia="en-US" w:bidi="en-US"/>
      </w:rPr>
    </w:lvl>
    <w:lvl w:ilvl="8" w:tentative="0">
      <w:start w:val="0"/>
      <w:numFmt w:val="bullet"/>
      <w:lvlText w:val="•"/>
      <w:lvlJc w:val="left"/>
      <w:pPr>
        <w:ind w:left="8164" w:hanging="840"/>
      </w:pPr>
      <w:rPr>
        <w:rFonts w:hint="default"/>
        <w:lang w:val="en-US" w:eastAsia="en-US" w:bidi="en-US"/>
      </w:rPr>
    </w:lvl>
  </w:abstractNum>
  <w:abstractNum w:abstractNumId="176">
    <w:nsid w:val="4FA7FC34"/>
    <w:multiLevelType w:val="multilevel"/>
    <w:tmpl w:val="4FA7FC34"/>
    <w:lvl w:ilvl="0" w:tentative="0">
      <w:start w:val="5"/>
      <w:numFmt w:val="decimal"/>
      <w:lvlText w:val="%1"/>
      <w:lvlJc w:val="left"/>
      <w:pPr>
        <w:ind w:left="1060"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970" w:hanging="420"/>
      </w:pPr>
      <w:rPr>
        <w:rFonts w:hint="default"/>
        <w:lang w:val="en-US" w:eastAsia="en-US" w:bidi="en-US"/>
      </w:rPr>
    </w:lvl>
    <w:lvl w:ilvl="2" w:tentative="0">
      <w:start w:val="0"/>
      <w:numFmt w:val="bullet"/>
      <w:lvlText w:val="•"/>
      <w:lvlJc w:val="left"/>
      <w:pPr>
        <w:ind w:left="2881" w:hanging="420"/>
      </w:pPr>
      <w:rPr>
        <w:rFonts w:hint="default"/>
        <w:lang w:val="en-US" w:eastAsia="en-US" w:bidi="en-US"/>
      </w:rPr>
    </w:lvl>
    <w:lvl w:ilvl="3" w:tentative="0">
      <w:start w:val="0"/>
      <w:numFmt w:val="bullet"/>
      <w:lvlText w:val="•"/>
      <w:lvlJc w:val="left"/>
      <w:pPr>
        <w:ind w:left="3791" w:hanging="420"/>
      </w:pPr>
      <w:rPr>
        <w:rFonts w:hint="default"/>
        <w:lang w:val="en-US" w:eastAsia="en-US" w:bidi="en-US"/>
      </w:rPr>
    </w:lvl>
    <w:lvl w:ilvl="4" w:tentative="0">
      <w:start w:val="0"/>
      <w:numFmt w:val="bullet"/>
      <w:lvlText w:val="•"/>
      <w:lvlJc w:val="left"/>
      <w:pPr>
        <w:ind w:left="4702" w:hanging="420"/>
      </w:pPr>
      <w:rPr>
        <w:rFonts w:hint="default"/>
        <w:lang w:val="en-US" w:eastAsia="en-US" w:bidi="en-US"/>
      </w:rPr>
    </w:lvl>
    <w:lvl w:ilvl="5" w:tentative="0">
      <w:start w:val="0"/>
      <w:numFmt w:val="bullet"/>
      <w:lvlText w:val="•"/>
      <w:lvlJc w:val="left"/>
      <w:pPr>
        <w:ind w:left="5613" w:hanging="420"/>
      </w:pPr>
      <w:rPr>
        <w:rFonts w:hint="default"/>
        <w:lang w:val="en-US" w:eastAsia="en-US" w:bidi="en-US"/>
      </w:rPr>
    </w:lvl>
    <w:lvl w:ilvl="6" w:tentative="0">
      <w:start w:val="0"/>
      <w:numFmt w:val="bullet"/>
      <w:lvlText w:val="•"/>
      <w:lvlJc w:val="left"/>
      <w:pPr>
        <w:ind w:left="6523" w:hanging="420"/>
      </w:pPr>
      <w:rPr>
        <w:rFonts w:hint="default"/>
        <w:lang w:val="en-US" w:eastAsia="en-US" w:bidi="en-US"/>
      </w:rPr>
    </w:lvl>
    <w:lvl w:ilvl="7" w:tentative="0">
      <w:start w:val="0"/>
      <w:numFmt w:val="bullet"/>
      <w:lvlText w:val="•"/>
      <w:lvlJc w:val="left"/>
      <w:pPr>
        <w:ind w:left="7434" w:hanging="420"/>
      </w:pPr>
      <w:rPr>
        <w:rFonts w:hint="default"/>
        <w:lang w:val="en-US" w:eastAsia="en-US" w:bidi="en-US"/>
      </w:rPr>
    </w:lvl>
    <w:lvl w:ilvl="8" w:tentative="0">
      <w:start w:val="0"/>
      <w:numFmt w:val="bullet"/>
      <w:lvlText w:val="•"/>
      <w:lvlJc w:val="left"/>
      <w:pPr>
        <w:ind w:left="8344" w:hanging="420"/>
      </w:pPr>
      <w:rPr>
        <w:rFonts w:hint="default"/>
        <w:lang w:val="en-US" w:eastAsia="en-US" w:bidi="en-US"/>
      </w:rPr>
    </w:lvl>
  </w:abstractNum>
  <w:abstractNum w:abstractNumId="177">
    <w:nsid w:val="4FB438A5"/>
    <w:multiLevelType w:val="multilevel"/>
    <w:tmpl w:val="4FB438A5"/>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78">
    <w:nsid w:val="51C4BC33"/>
    <w:multiLevelType w:val="multilevel"/>
    <w:tmpl w:val="51C4BC33"/>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79">
    <w:nsid w:val="54701CA1"/>
    <w:multiLevelType w:val="multilevel"/>
    <w:tmpl w:val="54701CA1"/>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80">
    <w:nsid w:val="58765686"/>
    <w:multiLevelType w:val="multilevel"/>
    <w:tmpl w:val="58765686"/>
    <w:lvl w:ilvl="0" w:tentative="0">
      <w:start w:val="4"/>
      <w:numFmt w:val="decimal"/>
      <w:lvlText w:val="%1"/>
      <w:lvlJc w:val="left"/>
      <w:pPr>
        <w:ind w:left="212" w:hanging="840"/>
        <w:jc w:val="left"/>
      </w:pPr>
      <w:rPr>
        <w:rFonts w:hint="default"/>
        <w:lang w:val="en-US" w:eastAsia="en-US" w:bidi="en-US"/>
      </w:rPr>
    </w:lvl>
    <w:lvl w:ilvl="1" w:tentative="0">
      <w:start w:val="2"/>
      <w:numFmt w:val="decimal"/>
      <w:lvlText w:val="%1.%2"/>
      <w:lvlJc w:val="left"/>
      <w:pPr>
        <w:ind w:left="212" w:hanging="840"/>
        <w:jc w:val="left"/>
      </w:pPr>
      <w:rPr>
        <w:rFonts w:hint="default"/>
        <w:lang w:val="en-US" w:eastAsia="en-US" w:bidi="en-US"/>
      </w:rPr>
    </w:lvl>
    <w:lvl w:ilvl="2" w:tentative="0">
      <w:start w:val="1"/>
      <w:numFmt w:val="decimal"/>
      <w:lvlText w:val="%1.%2.%3"/>
      <w:lvlJc w:val="left"/>
      <w:pPr>
        <w:ind w:left="21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212" w:hanging="416"/>
        <w:jc w:val="left"/>
      </w:pPr>
      <w:rPr>
        <w:rFonts w:hint="default"/>
        <w:b/>
        <w:bCs/>
        <w:w w:val="98"/>
        <w:lang w:val="en-US" w:eastAsia="en-US" w:bidi="en-US"/>
      </w:rPr>
    </w:lvl>
    <w:lvl w:ilvl="4" w:tentative="0">
      <w:start w:val="0"/>
      <w:numFmt w:val="bullet"/>
      <w:lvlText w:val="•"/>
      <w:lvlJc w:val="left"/>
      <w:pPr>
        <w:ind w:left="4198" w:hanging="416"/>
      </w:pPr>
      <w:rPr>
        <w:rFonts w:hint="default"/>
        <w:lang w:val="en-US" w:eastAsia="en-US" w:bidi="en-US"/>
      </w:rPr>
    </w:lvl>
    <w:lvl w:ilvl="5" w:tentative="0">
      <w:start w:val="0"/>
      <w:numFmt w:val="bullet"/>
      <w:lvlText w:val="•"/>
      <w:lvlJc w:val="left"/>
      <w:pPr>
        <w:ind w:left="5193" w:hanging="416"/>
      </w:pPr>
      <w:rPr>
        <w:rFonts w:hint="default"/>
        <w:lang w:val="en-US" w:eastAsia="en-US" w:bidi="en-US"/>
      </w:rPr>
    </w:lvl>
    <w:lvl w:ilvl="6" w:tentative="0">
      <w:start w:val="0"/>
      <w:numFmt w:val="bullet"/>
      <w:lvlText w:val="•"/>
      <w:lvlJc w:val="left"/>
      <w:pPr>
        <w:ind w:left="6187" w:hanging="416"/>
      </w:pPr>
      <w:rPr>
        <w:rFonts w:hint="default"/>
        <w:lang w:val="en-US" w:eastAsia="en-US" w:bidi="en-US"/>
      </w:rPr>
    </w:lvl>
    <w:lvl w:ilvl="7" w:tentative="0">
      <w:start w:val="0"/>
      <w:numFmt w:val="bullet"/>
      <w:lvlText w:val="•"/>
      <w:lvlJc w:val="left"/>
      <w:pPr>
        <w:ind w:left="7182" w:hanging="416"/>
      </w:pPr>
      <w:rPr>
        <w:rFonts w:hint="default"/>
        <w:lang w:val="en-US" w:eastAsia="en-US" w:bidi="en-US"/>
      </w:rPr>
    </w:lvl>
    <w:lvl w:ilvl="8" w:tentative="0">
      <w:start w:val="0"/>
      <w:numFmt w:val="bullet"/>
      <w:lvlText w:val="•"/>
      <w:lvlJc w:val="left"/>
      <w:pPr>
        <w:ind w:left="8176" w:hanging="416"/>
      </w:pPr>
      <w:rPr>
        <w:rFonts w:hint="default"/>
        <w:lang w:val="en-US" w:eastAsia="en-US" w:bidi="en-US"/>
      </w:rPr>
    </w:lvl>
  </w:abstractNum>
  <w:abstractNum w:abstractNumId="181">
    <w:nsid w:val="598DAF6D"/>
    <w:multiLevelType w:val="multilevel"/>
    <w:tmpl w:val="598DAF6D"/>
    <w:lvl w:ilvl="0" w:tentative="0">
      <w:start w:val="8"/>
      <w:numFmt w:val="decimal"/>
      <w:lvlText w:val="%1"/>
      <w:lvlJc w:val="left"/>
      <w:pPr>
        <w:ind w:left="952" w:hanging="840"/>
        <w:jc w:val="left"/>
      </w:pPr>
      <w:rPr>
        <w:rFonts w:hint="default"/>
        <w:lang w:val="en-US" w:eastAsia="en-US" w:bidi="en-US"/>
      </w:rPr>
    </w:lvl>
    <w:lvl w:ilvl="1" w:tentative="0">
      <w:start w:val="5"/>
      <w:numFmt w:val="decimal"/>
      <w:lvlText w:val="%1.%2"/>
      <w:lvlJc w:val="left"/>
      <w:pPr>
        <w:ind w:left="952" w:hanging="840"/>
        <w:jc w:val="left"/>
      </w:pPr>
      <w:rPr>
        <w:rFonts w:hint="default"/>
        <w:lang w:val="en-US" w:eastAsia="en-US" w:bidi="en-US"/>
      </w:rPr>
    </w:lvl>
    <w:lvl w:ilvl="2" w:tentative="0">
      <w:start w:val="2"/>
      <w:numFmt w:val="decimal"/>
      <w:lvlText w:val="%1.%2.%3"/>
      <w:lvlJc w:val="left"/>
      <w:pPr>
        <w:ind w:left="95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2983" w:hanging="840"/>
      </w:pPr>
      <w:rPr>
        <w:rFonts w:hint="default"/>
        <w:lang w:val="en-US" w:eastAsia="en-US" w:bidi="en-US"/>
      </w:rPr>
    </w:lvl>
    <w:lvl w:ilvl="4" w:tentative="0">
      <w:start w:val="0"/>
      <w:numFmt w:val="bullet"/>
      <w:lvlText w:val="•"/>
      <w:lvlJc w:val="left"/>
      <w:pPr>
        <w:ind w:left="3995" w:hanging="840"/>
      </w:pPr>
      <w:rPr>
        <w:rFonts w:hint="default"/>
        <w:lang w:val="en-US" w:eastAsia="en-US" w:bidi="en-US"/>
      </w:rPr>
    </w:lvl>
    <w:lvl w:ilvl="5" w:tentative="0">
      <w:start w:val="0"/>
      <w:numFmt w:val="bullet"/>
      <w:lvlText w:val="•"/>
      <w:lvlJc w:val="left"/>
      <w:pPr>
        <w:ind w:left="5007" w:hanging="840"/>
      </w:pPr>
      <w:rPr>
        <w:rFonts w:hint="default"/>
        <w:lang w:val="en-US" w:eastAsia="en-US" w:bidi="en-US"/>
      </w:rPr>
    </w:lvl>
    <w:lvl w:ilvl="6" w:tentative="0">
      <w:start w:val="0"/>
      <w:numFmt w:val="bullet"/>
      <w:lvlText w:val="•"/>
      <w:lvlJc w:val="left"/>
      <w:pPr>
        <w:ind w:left="6018" w:hanging="840"/>
      </w:pPr>
      <w:rPr>
        <w:rFonts w:hint="default"/>
        <w:lang w:val="en-US" w:eastAsia="en-US" w:bidi="en-US"/>
      </w:rPr>
    </w:lvl>
    <w:lvl w:ilvl="7" w:tentative="0">
      <w:start w:val="0"/>
      <w:numFmt w:val="bullet"/>
      <w:lvlText w:val="•"/>
      <w:lvlJc w:val="left"/>
      <w:pPr>
        <w:ind w:left="7030" w:hanging="840"/>
      </w:pPr>
      <w:rPr>
        <w:rFonts w:hint="default"/>
        <w:lang w:val="en-US" w:eastAsia="en-US" w:bidi="en-US"/>
      </w:rPr>
    </w:lvl>
    <w:lvl w:ilvl="8" w:tentative="0">
      <w:start w:val="0"/>
      <w:numFmt w:val="bullet"/>
      <w:lvlText w:val="•"/>
      <w:lvlJc w:val="left"/>
      <w:pPr>
        <w:ind w:left="8042" w:hanging="840"/>
      </w:pPr>
      <w:rPr>
        <w:rFonts w:hint="default"/>
        <w:lang w:val="en-US" w:eastAsia="en-US" w:bidi="en-US"/>
      </w:rPr>
    </w:lvl>
  </w:abstractNum>
  <w:abstractNum w:abstractNumId="182">
    <w:nsid w:val="59ADCABA"/>
    <w:multiLevelType w:val="multilevel"/>
    <w:tmpl w:val="59ADCABA"/>
    <w:lvl w:ilvl="0" w:tentative="0">
      <w:start w:val="1"/>
      <w:numFmt w:val="decimal"/>
      <w:lvlText w:val="%1"/>
      <w:lvlJc w:val="left"/>
      <w:pPr>
        <w:ind w:left="212" w:hanging="840"/>
        <w:jc w:val="left"/>
      </w:pPr>
      <w:rPr>
        <w:rFonts w:hint="default"/>
        <w:lang w:val="en-US" w:eastAsia="en-US" w:bidi="en-US"/>
      </w:rPr>
    </w:lvl>
    <w:lvl w:ilvl="1" w:tentative="0">
      <w:start w:val="0"/>
      <w:numFmt w:val="decimal"/>
      <w:lvlText w:val="%1.%2"/>
      <w:lvlJc w:val="left"/>
      <w:pPr>
        <w:ind w:left="212" w:hanging="840"/>
        <w:jc w:val="left"/>
      </w:pPr>
      <w:rPr>
        <w:rFonts w:hint="default"/>
        <w:lang w:val="en-US" w:eastAsia="en-US" w:bidi="en-US"/>
      </w:rPr>
    </w:lvl>
    <w:lvl w:ilvl="2" w:tentative="0">
      <w:start w:val="1"/>
      <w:numFmt w:val="decimal"/>
      <w:lvlText w:val="%1.%2.%3"/>
      <w:lvlJc w:val="left"/>
      <w:pPr>
        <w:ind w:left="21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203" w:hanging="840"/>
      </w:pPr>
      <w:rPr>
        <w:rFonts w:hint="default"/>
        <w:lang w:val="en-US" w:eastAsia="en-US" w:bidi="en-US"/>
      </w:rPr>
    </w:lvl>
    <w:lvl w:ilvl="4" w:tentative="0">
      <w:start w:val="0"/>
      <w:numFmt w:val="bullet"/>
      <w:lvlText w:val="•"/>
      <w:lvlJc w:val="left"/>
      <w:pPr>
        <w:ind w:left="4198" w:hanging="840"/>
      </w:pPr>
      <w:rPr>
        <w:rFonts w:hint="default"/>
        <w:lang w:val="en-US" w:eastAsia="en-US" w:bidi="en-US"/>
      </w:rPr>
    </w:lvl>
    <w:lvl w:ilvl="5" w:tentative="0">
      <w:start w:val="0"/>
      <w:numFmt w:val="bullet"/>
      <w:lvlText w:val="•"/>
      <w:lvlJc w:val="left"/>
      <w:pPr>
        <w:ind w:left="5193" w:hanging="840"/>
      </w:pPr>
      <w:rPr>
        <w:rFonts w:hint="default"/>
        <w:lang w:val="en-US" w:eastAsia="en-US" w:bidi="en-US"/>
      </w:rPr>
    </w:lvl>
    <w:lvl w:ilvl="6" w:tentative="0">
      <w:start w:val="0"/>
      <w:numFmt w:val="bullet"/>
      <w:lvlText w:val="•"/>
      <w:lvlJc w:val="left"/>
      <w:pPr>
        <w:ind w:left="6187" w:hanging="840"/>
      </w:pPr>
      <w:rPr>
        <w:rFonts w:hint="default"/>
        <w:lang w:val="en-US" w:eastAsia="en-US" w:bidi="en-US"/>
      </w:rPr>
    </w:lvl>
    <w:lvl w:ilvl="7" w:tentative="0">
      <w:start w:val="0"/>
      <w:numFmt w:val="bullet"/>
      <w:lvlText w:val="•"/>
      <w:lvlJc w:val="left"/>
      <w:pPr>
        <w:ind w:left="7182" w:hanging="840"/>
      </w:pPr>
      <w:rPr>
        <w:rFonts w:hint="default"/>
        <w:lang w:val="en-US" w:eastAsia="en-US" w:bidi="en-US"/>
      </w:rPr>
    </w:lvl>
    <w:lvl w:ilvl="8" w:tentative="0">
      <w:start w:val="0"/>
      <w:numFmt w:val="bullet"/>
      <w:lvlText w:val="•"/>
      <w:lvlJc w:val="left"/>
      <w:pPr>
        <w:ind w:left="8176" w:hanging="840"/>
      </w:pPr>
      <w:rPr>
        <w:rFonts w:hint="default"/>
        <w:lang w:val="en-US" w:eastAsia="en-US" w:bidi="en-US"/>
      </w:rPr>
    </w:lvl>
  </w:abstractNum>
  <w:abstractNum w:abstractNumId="183">
    <w:nsid w:val="59EEFD2A"/>
    <w:multiLevelType w:val="multilevel"/>
    <w:tmpl w:val="59EEFD2A"/>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84">
    <w:nsid w:val="5A241D34"/>
    <w:multiLevelType w:val="multilevel"/>
    <w:tmpl w:val="5A241D34"/>
    <w:lvl w:ilvl="0" w:tentative="0">
      <w:start w:val="5"/>
      <w:numFmt w:val="upperRoman"/>
      <w:lvlText w:val="%1"/>
      <w:lvlJc w:val="left"/>
      <w:pPr>
        <w:ind w:left="4585" w:hanging="156"/>
        <w:jc w:val="right"/>
      </w:pPr>
      <w:rPr>
        <w:rFonts w:hint="default" w:ascii="黑体" w:hAnsi="黑体" w:eastAsia="黑体" w:cs="黑体"/>
        <w:w w:val="99"/>
        <w:sz w:val="21"/>
        <w:szCs w:val="21"/>
        <w:lang w:val="en-US" w:eastAsia="en-US" w:bidi="en-US"/>
      </w:rPr>
    </w:lvl>
    <w:lvl w:ilvl="1" w:tentative="0">
      <w:start w:val="0"/>
      <w:numFmt w:val="bullet"/>
      <w:lvlText w:val="•"/>
      <w:lvlJc w:val="left"/>
      <w:pPr>
        <w:ind w:left="5138" w:hanging="156"/>
      </w:pPr>
      <w:rPr>
        <w:rFonts w:hint="default"/>
        <w:lang w:val="en-US" w:eastAsia="en-US" w:bidi="en-US"/>
      </w:rPr>
    </w:lvl>
    <w:lvl w:ilvl="2" w:tentative="0">
      <w:start w:val="0"/>
      <w:numFmt w:val="bullet"/>
      <w:lvlText w:val="•"/>
      <w:lvlJc w:val="left"/>
      <w:pPr>
        <w:ind w:left="5697" w:hanging="156"/>
      </w:pPr>
      <w:rPr>
        <w:rFonts w:hint="default"/>
        <w:lang w:val="en-US" w:eastAsia="en-US" w:bidi="en-US"/>
      </w:rPr>
    </w:lvl>
    <w:lvl w:ilvl="3" w:tentative="0">
      <w:start w:val="0"/>
      <w:numFmt w:val="bullet"/>
      <w:lvlText w:val="•"/>
      <w:lvlJc w:val="left"/>
      <w:pPr>
        <w:ind w:left="6255" w:hanging="156"/>
      </w:pPr>
      <w:rPr>
        <w:rFonts w:hint="default"/>
        <w:lang w:val="en-US" w:eastAsia="en-US" w:bidi="en-US"/>
      </w:rPr>
    </w:lvl>
    <w:lvl w:ilvl="4" w:tentative="0">
      <w:start w:val="0"/>
      <w:numFmt w:val="bullet"/>
      <w:lvlText w:val="•"/>
      <w:lvlJc w:val="left"/>
      <w:pPr>
        <w:ind w:left="6814" w:hanging="156"/>
      </w:pPr>
      <w:rPr>
        <w:rFonts w:hint="default"/>
        <w:lang w:val="en-US" w:eastAsia="en-US" w:bidi="en-US"/>
      </w:rPr>
    </w:lvl>
    <w:lvl w:ilvl="5" w:tentative="0">
      <w:start w:val="0"/>
      <w:numFmt w:val="bullet"/>
      <w:lvlText w:val="•"/>
      <w:lvlJc w:val="left"/>
      <w:pPr>
        <w:ind w:left="7373" w:hanging="156"/>
      </w:pPr>
      <w:rPr>
        <w:rFonts w:hint="default"/>
        <w:lang w:val="en-US" w:eastAsia="en-US" w:bidi="en-US"/>
      </w:rPr>
    </w:lvl>
    <w:lvl w:ilvl="6" w:tentative="0">
      <w:start w:val="0"/>
      <w:numFmt w:val="bullet"/>
      <w:lvlText w:val="•"/>
      <w:lvlJc w:val="left"/>
      <w:pPr>
        <w:ind w:left="7931" w:hanging="156"/>
      </w:pPr>
      <w:rPr>
        <w:rFonts w:hint="default"/>
        <w:lang w:val="en-US" w:eastAsia="en-US" w:bidi="en-US"/>
      </w:rPr>
    </w:lvl>
    <w:lvl w:ilvl="7" w:tentative="0">
      <w:start w:val="0"/>
      <w:numFmt w:val="bullet"/>
      <w:lvlText w:val="•"/>
      <w:lvlJc w:val="left"/>
      <w:pPr>
        <w:ind w:left="8490" w:hanging="156"/>
      </w:pPr>
      <w:rPr>
        <w:rFonts w:hint="default"/>
        <w:lang w:val="en-US" w:eastAsia="en-US" w:bidi="en-US"/>
      </w:rPr>
    </w:lvl>
    <w:lvl w:ilvl="8" w:tentative="0">
      <w:start w:val="0"/>
      <w:numFmt w:val="bullet"/>
      <w:lvlText w:val="•"/>
      <w:lvlJc w:val="left"/>
      <w:pPr>
        <w:ind w:left="9048" w:hanging="156"/>
      </w:pPr>
      <w:rPr>
        <w:rFonts w:hint="default"/>
        <w:lang w:val="en-US" w:eastAsia="en-US" w:bidi="en-US"/>
      </w:rPr>
    </w:lvl>
  </w:abstractNum>
  <w:abstractNum w:abstractNumId="185">
    <w:nsid w:val="5A8377A7"/>
    <w:multiLevelType w:val="multilevel"/>
    <w:tmpl w:val="5A8377A7"/>
    <w:lvl w:ilvl="0" w:tentative="0">
      <w:start w:val="8"/>
      <w:numFmt w:val="decimal"/>
      <w:lvlText w:val="%1"/>
      <w:lvlJc w:val="left"/>
      <w:pPr>
        <w:ind w:left="112" w:hanging="840"/>
        <w:jc w:val="left"/>
      </w:pPr>
      <w:rPr>
        <w:rFonts w:hint="default"/>
        <w:lang w:val="en-US" w:eastAsia="en-US" w:bidi="en-US"/>
      </w:rPr>
    </w:lvl>
    <w:lvl w:ilvl="1" w:tentative="0">
      <w:start w:val="2"/>
      <w:numFmt w:val="decimal"/>
      <w:lvlText w:val="%1.%2"/>
      <w:lvlJc w:val="left"/>
      <w:pPr>
        <w:ind w:left="112" w:hanging="840"/>
        <w:jc w:val="left"/>
      </w:pPr>
      <w:rPr>
        <w:rFonts w:hint="default"/>
        <w:lang w:val="en-US" w:eastAsia="en-US" w:bidi="en-US"/>
      </w:rPr>
    </w:lvl>
    <w:lvl w:ilvl="2" w:tentative="0">
      <w:start w:val="2"/>
      <w:numFmt w:val="decimal"/>
      <w:lvlText w:val="%1.%2.%3"/>
      <w:lvlJc w:val="left"/>
      <w:pPr>
        <w:ind w:left="11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103" w:hanging="840"/>
      </w:pPr>
      <w:rPr>
        <w:rFonts w:hint="default"/>
        <w:lang w:val="en-US" w:eastAsia="en-US" w:bidi="en-US"/>
      </w:rPr>
    </w:lvl>
    <w:lvl w:ilvl="4" w:tentative="0">
      <w:start w:val="0"/>
      <w:numFmt w:val="bullet"/>
      <w:lvlText w:val="•"/>
      <w:lvlJc w:val="left"/>
      <w:pPr>
        <w:ind w:left="4098" w:hanging="840"/>
      </w:pPr>
      <w:rPr>
        <w:rFonts w:hint="default"/>
        <w:lang w:val="en-US" w:eastAsia="en-US" w:bidi="en-US"/>
      </w:rPr>
    </w:lvl>
    <w:lvl w:ilvl="5" w:tentative="0">
      <w:start w:val="0"/>
      <w:numFmt w:val="bullet"/>
      <w:lvlText w:val="•"/>
      <w:lvlJc w:val="left"/>
      <w:pPr>
        <w:ind w:left="5093" w:hanging="840"/>
      </w:pPr>
      <w:rPr>
        <w:rFonts w:hint="default"/>
        <w:lang w:val="en-US" w:eastAsia="en-US" w:bidi="en-US"/>
      </w:rPr>
    </w:lvl>
    <w:lvl w:ilvl="6" w:tentative="0">
      <w:start w:val="0"/>
      <w:numFmt w:val="bullet"/>
      <w:lvlText w:val="•"/>
      <w:lvlJc w:val="left"/>
      <w:pPr>
        <w:ind w:left="6087" w:hanging="840"/>
      </w:pPr>
      <w:rPr>
        <w:rFonts w:hint="default"/>
        <w:lang w:val="en-US" w:eastAsia="en-US" w:bidi="en-US"/>
      </w:rPr>
    </w:lvl>
    <w:lvl w:ilvl="7" w:tentative="0">
      <w:start w:val="0"/>
      <w:numFmt w:val="bullet"/>
      <w:lvlText w:val="•"/>
      <w:lvlJc w:val="left"/>
      <w:pPr>
        <w:ind w:left="7082" w:hanging="840"/>
      </w:pPr>
      <w:rPr>
        <w:rFonts w:hint="default"/>
        <w:lang w:val="en-US" w:eastAsia="en-US" w:bidi="en-US"/>
      </w:rPr>
    </w:lvl>
    <w:lvl w:ilvl="8" w:tentative="0">
      <w:start w:val="0"/>
      <w:numFmt w:val="bullet"/>
      <w:lvlText w:val="•"/>
      <w:lvlJc w:val="left"/>
      <w:pPr>
        <w:ind w:left="8076" w:hanging="840"/>
      </w:pPr>
      <w:rPr>
        <w:rFonts w:hint="default"/>
        <w:lang w:val="en-US" w:eastAsia="en-US" w:bidi="en-US"/>
      </w:rPr>
    </w:lvl>
  </w:abstractNum>
  <w:abstractNum w:abstractNumId="186">
    <w:nsid w:val="5E29AB5A"/>
    <w:multiLevelType w:val="multilevel"/>
    <w:tmpl w:val="5E29AB5A"/>
    <w:lvl w:ilvl="0" w:tentative="0">
      <w:start w:val="1"/>
      <w:numFmt w:val="decimal"/>
      <w:lvlText w:val="%1"/>
      <w:lvlJc w:val="left"/>
      <w:pPr>
        <w:ind w:left="1052" w:hanging="416"/>
        <w:jc w:val="left"/>
      </w:pPr>
      <w:rPr>
        <w:rFonts w:hint="default"/>
        <w:b/>
        <w:bCs/>
        <w:w w:val="99"/>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87">
    <w:nsid w:val="5FCE4367"/>
    <w:multiLevelType w:val="multilevel"/>
    <w:tmpl w:val="5FCE4367"/>
    <w:lvl w:ilvl="0" w:tentative="0">
      <w:start w:val="1"/>
      <w:numFmt w:val="decimal"/>
      <w:lvlText w:val="%1"/>
      <w:lvlJc w:val="left"/>
      <w:pPr>
        <w:ind w:left="21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214" w:hanging="416"/>
      </w:pPr>
      <w:rPr>
        <w:rFonts w:hint="default"/>
        <w:lang w:val="en-US" w:eastAsia="en-US" w:bidi="en-US"/>
      </w:rPr>
    </w:lvl>
    <w:lvl w:ilvl="2" w:tentative="0">
      <w:start w:val="0"/>
      <w:numFmt w:val="bullet"/>
      <w:lvlText w:val="•"/>
      <w:lvlJc w:val="left"/>
      <w:pPr>
        <w:ind w:left="2209" w:hanging="416"/>
      </w:pPr>
      <w:rPr>
        <w:rFonts w:hint="default"/>
        <w:lang w:val="en-US" w:eastAsia="en-US" w:bidi="en-US"/>
      </w:rPr>
    </w:lvl>
    <w:lvl w:ilvl="3" w:tentative="0">
      <w:start w:val="0"/>
      <w:numFmt w:val="bullet"/>
      <w:lvlText w:val="•"/>
      <w:lvlJc w:val="left"/>
      <w:pPr>
        <w:ind w:left="3203" w:hanging="416"/>
      </w:pPr>
      <w:rPr>
        <w:rFonts w:hint="default"/>
        <w:lang w:val="en-US" w:eastAsia="en-US" w:bidi="en-US"/>
      </w:rPr>
    </w:lvl>
    <w:lvl w:ilvl="4" w:tentative="0">
      <w:start w:val="0"/>
      <w:numFmt w:val="bullet"/>
      <w:lvlText w:val="•"/>
      <w:lvlJc w:val="left"/>
      <w:pPr>
        <w:ind w:left="4198" w:hanging="416"/>
      </w:pPr>
      <w:rPr>
        <w:rFonts w:hint="default"/>
        <w:lang w:val="en-US" w:eastAsia="en-US" w:bidi="en-US"/>
      </w:rPr>
    </w:lvl>
    <w:lvl w:ilvl="5" w:tentative="0">
      <w:start w:val="0"/>
      <w:numFmt w:val="bullet"/>
      <w:lvlText w:val="•"/>
      <w:lvlJc w:val="left"/>
      <w:pPr>
        <w:ind w:left="5193" w:hanging="416"/>
      </w:pPr>
      <w:rPr>
        <w:rFonts w:hint="default"/>
        <w:lang w:val="en-US" w:eastAsia="en-US" w:bidi="en-US"/>
      </w:rPr>
    </w:lvl>
    <w:lvl w:ilvl="6" w:tentative="0">
      <w:start w:val="0"/>
      <w:numFmt w:val="bullet"/>
      <w:lvlText w:val="•"/>
      <w:lvlJc w:val="left"/>
      <w:pPr>
        <w:ind w:left="6187" w:hanging="416"/>
      </w:pPr>
      <w:rPr>
        <w:rFonts w:hint="default"/>
        <w:lang w:val="en-US" w:eastAsia="en-US" w:bidi="en-US"/>
      </w:rPr>
    </w:lvl>
    <w:lvl w:ilvl="7" w:tentative="0">
      <w:start w:val="0"/>
      <w:numFmt w:val="bullet"/>
      <w:lvlText w:val="•"/>
      <w:lvlJc w:val="left"/>
      <w:pPr>
        <w:ind w:left="7182" w:hanging="416"/>
      </w:pPr>
      <w:rPr>
        <w:rFonts w:hint="default"/>
        <w:lang w:val="en-US" w:eastAsia="en-US" w:bidi="en-US"/>
      </w:rPr>
    </w:lvl>
    <w:lvl w:ilvl="8" w:tentative="0">
      <w:start w:val="0"/>
      <w:numFmt w:val="bullet"/>
      <w:lvlText w:val="•"/>
      <w:lvlJc w:val="left"/>
      <w:pPr>
        <w:ind w:left="8176" w:hanging="416"/>
      </w:pPr>
      <w:rPr>
        <w:rFonts w:hint="default"/>
        <w:lang w:val="en-US" w:eastAsia="en-US" w:bidi="en-US"/>
      </w:rPr>
    </w:lvl>
  </w:abstractNum>
  <w:abstractNum w:abstractNumId="188">
    <w:nsid w:val="5FFFB1A7"/>
    <w:multiLevelType w:val="multilevel"/>
    <w:tmpl w:val="5FFFB1A7"/>
    <w:lvl w:ilvl="0" w:tentative="0">
      <w:start w:val="1"/>
      <w:numFmt w:val="decimal"/>
      <w:lvlText w:val="%1"/>
      <w:lvlJc w:val="left"/>
      <w:pPr>
        <w:ind w:left="21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214" w:hanging="416"/>
      </w:pPr>
      <w:rPr>
        <w:rFonts w:hint="default"/>
        <w:lang w:val="en-US" w:eastAsia="en-US" w:bidi="en-US"/>
      </w:rPr>
    </w:lvl>
    <w:lvl w:ilvl="2" w:tentative="0">
      <w:start w:val="0"/>
      <w:numFmt w:val="bullet"/>
      <w:lvlText w:val="•"/>
      <w:lvlJc w:val="left"/>
      <w:pPr>
        <w:ind w:left="2209" w:hanging="416"/>
      </w:pPr>
      <w:rPr>
        <w:rFonts w:hint="default"/>
        <w:lang w:val="en-US" w:eastAsia="en-US" w:bidi="en-US"/>
      </w:rPr>
    </w:lvl>
    <w:lvl w:ilvl="3" w:tentative="0">
      <w:start w:val="0"/>
      <w:numFmt w:val="bullet"/>
      <w:lvlText w:val="•"/>
      <w:lvlJc w:val="left"/>
      <w:pPr>
        <w:ind w:left="3203" w:hanging="416"/>
      </w:pPr>
      <w:rPr>
        <w:rFonts w:hint="default"/>
        <w:lang w:val="en-US" w:eastAsia="en-US" w:bidi="en-US"/>
      </w:rPr>
    </w:lvl>
    <w:lvl w:ilvl="4" w:tentative="0">
      <w:start w:val="0"/>
      <w:numFmt w:val="bullet"/>
      <w:lvlText w:val="•"/>
      <w:lvlJc w:val="left"/>
      <w:pPr>
        <w:ind w:left="4198" w:hanging="416"/>
      </w:pPr>
      <w:rPr>
        <w:rFonts w:hint="default"/>
        <w:lang w:val="en-US" w:eastAsia="en-US" w:bidi="en-US"/>
      </w:rPr>
    </w:lvl>
    <w:lvl w:ilvl="5" w:tentative="0">
      <w:start w:val="0"/>
      <w:numFmt w:val="bullet"/>
      <w:lvlText w:val="•"/>
      <w:lvlJc w:val="left"/>
      <w:pPr>
        <w:ind w:left="5193" w:hanging="416"/>
      </w:pPr>
      <w:rPr>
        <w:rFonts w:hint="default"/>
        <w:lang w:val="en-US" w:eastAsia="en-US" w:bidi="en-US"/>
      </w:rPr>
    </w:lvl>
    <w:lvl w:ilvl="6" w:tentative="0">
      <w:start w:val="0"/>
      <w:numFmt w:val="bullet"/>
      <w:lvlText w:val="•"/>
      <w:lvlJc w:val="left"/>
      <w:pPr>
        <w:ind w:left="6187" w:hanging="416"/>
      </w:pPr>
      <w:rPr>
        <w:rFonts w:hint="default"/>
        <w:lang w:val="en-US" w:eastAsia="en-US" w:bidi="en-US"/>
      </w:rPr>
    </w:lvl>
    <w:lvl w:ilvl="7" w:tentative="0">
      <w:start w:val="0"/>
      <w:numFmt w:val="bullet"/>
      <w:lvlText w:val="•"/>
      <w:lvlJc w:val="left"/>
      <w:pPr>
        <w:ind w:left="7182" w:hanging="416"/>
      </w:pPr>
      <w:rPr>
        <w:rFonts w:hint="default"/>
        <w:lang w:val="en-US" w:eastAsia="en-US" w:bidi="en-US"/>
      </w:rPr>
    </w:lvl>
    <w:lvl w:ilvl="8" w:tentative="0">
      <w:start w:val="0"/>
      <w:numFmt w:val="bullet"/>
      <w:lvlText w:val="•"/>
      <w:lvlJc w:val="left"/>
      <w:pPr>
        <w:ind w:left="8176" w:hanging="416"/>
      </w:pPr>
      <w:rPr>
        <w:rFonts w:hint="default"/>
        <w:lang w:val="en-US" w:eastAsia="en-US" w:bidi="en-US"/>
      </w:rPr>
    </w:lvl>
  </w:abstractNum>
  <w:abstractNum w:abstractNumId="189">
    <w:nsid w:val="60382F6E"/>
    <w:multiLevelType w:val="multilevel"/>
    <w:tmpl w:val="60382F6E"/>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90">
    <w:nsid w:val="610EFE5C"/>
    <w:multiLevelType w:val="multilevel"/>
    <w:tmpl w:val="610EFE5C"/>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91">
    <w:nsid w:val="629F7852"/>
    <w:multiLevelType w:val="multilevel"/>
    <w:tmpl w:val="629F7852"/>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92">
    <w:nsid w:val="63B12E74"/>
    <w:multiLevelType w:val="multilevel"/>
    <w:tmpl w:val="63B12E74"/>
    <w:lvl w:ilvl="0" w:tentative="0">
      <w:start w:val="1"/>
      <w:numFmt w:val="decimal"/>
      <w:lvlText w:val="%1"/>
      <w:lvlJc w:val="left"/>
      <w:pPr>
        <w:ind w:left="960"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860" w:hanging="420"/>
      </w:pPr>
      <w:rPr>
        <w:rFonts w:hint="default"/>
        <w:lang w:val="en-US" w:eastAsia="en-US" w:bidi="en-US"/>
      </w:rPr>
    </w:lvl>
    <w:lvl w:ilvl="2" w:tentative="0">
      <w:start w:val="0"/>
      <w:numFmt w:val="bullet"/>
      <w:lvlText w:val="•"/>
      <w:lvlJc w:val="left"/>
      <w:pPr>
        <w:ind w:left="2761" w:hanging="420"/>
      </w:pPr>
      <w:rPr>
        <w:rFonts w:hint="default"/>
        <w:lang w:val="en-US" w:eastAsia="en-US" w:bidi="en-US"/>
      </w:rPr>
    </w:lvl>
    <w:lvl w:ilvl="3" w:tentative="0">
      <w:start w:val="0"/>
      <w:numFmt w:val="bullet"/>
      <w:lvlText w:val="•"/>
      <w:lvlJc w:val="left"/>
      <w:pPr>
        <w:ind w:left="3661" w:hanging="420"/>
      </w:pPr>
      <w:rPr>
        <w:rFonts w:hint="default"/>
        <w:lang w:val="en-US" w:eastAsia="en-US" w:bidi="en-US"/>
      </w:rPr>
    </w:lvl>
    <w:lvl w:ilvl="4" w:tentative="0">
      <w:start w:val="0"/>
      <w:numFmt w:val="bullet"/>
      <w:lvlText w:val="•"/>
      <w:lvlJc w:val="left"/>
      <w:pPr>
        <w:ind w:left="4562" w:hanging="420"/>
      </w:pPr>
      <w:rPr>
        <w:rFonts w:hint="default"/>
        <w:lang w:val="en-US" w:eastAsia="en-US" w:bidi="en-US"/>
      </w:rPr>
    </w:lvl>
    <w:lvl w:ilvl="5" w:tentative="0">
      <w:start w:val="0"/>
      <w:numFmt w:val="bullet"/>
      <w:lvlText w:val="•"/>
      <w:lvlJc w:val="left"/>
      <w:pPr>
        <w:ind w:left="5463" w:hanging="420"/>
      </w:pPr>
      <w:rPr>
        <w:rFonts w:hint="default"/>
        <w:lang w:val="en-US" w:eastAsia="en-US" w:bidi="en-US"/>
      </w:rPr>
    </w:lvl>
    <w:lvl w:ilvl="6" w:tentative="0">
      <w:start w:val="0"/>
      <w:numFmt w:val="bullet"/>
      <w:lvlText w:val="•"/>
      <w:lvlJc w:val="left"/>
      <w:pPr>
        <w:ind w:left="6363" w:hanging="420"/>
      </w:pPr>
      <w:rPr>
        <w:rFonts w:hint="default"/>
        <w:lang w:val="en-US" w:eastAsia="en-US" w:bidi="en-US"/>
      </w:rPr>
    </w:lvl>
    <w:lvl w:ilvl="7" w:tentative="0">
      <w:start w:val="0"/>
      <w:numFmt w:val="bullet"/>
      <w:lvlText w:val="•"/>
      <w:lvlJc w:val="left"/>
      <w:pPr>
        <w:ind w:left="7264" w:hanging="420"/>
      </w:pPr>
      <w:rPr>
        <w:rFonts w:hint="default"/>
        <w:lang w:val="en-US" w:eastAsia="en-US" w:bidi="en-US"/>
      </w:rPr>
    </w:lvl>
    <w:lvl w:ilvl="8" w:tentative="0">
      <w:start w:val="0"/>
      <w:numFmt w:val="bullet"/>
      <w:lvlText w:val="•"/>
      <w:lvlJc w:val="left"/>
      <w:pPr>
        <w:ind w:left="8164" w:hanging="420"/>
      </w:pPr>
      <w:rPr>
        <w:rFonts w:hint="default"/>
        <w:lang w:val="en-US" w:eastAsia="en-US" w:bidi="en-US"/>
      </w:rPr>
    </w:lvl>
  </w:abstractNum>
  <w:abstractNum w:abstractNumId="193">
    <w:nsid w:val="64C0CB79"/>
    <w:multiLevelType w:val="multilevel"/>
    <w:tmpl w:val="64C0CB79"/>
    <w:lvl w:ilvl="0" w:tentative="0">
      <w:start w:val="8"/>
      <w:numFmt w:val="decimal"/>
      <w:lvlText w:val="%1"/>
      <w:lvlJc w:val="left"/>
      <w:pPr>
        <w:ind w:left="112" w:hanging="840"/>
        <w:jc w:val="left"/>
      </w:pPr>
      <w:rPr>
        <w:rFonts w:hint="default"/>
        <w:lang w:val="en-US" w:eastAsia="en-US" w:bidi="en-US"/>
      </w:rPr>
    </w:lvl>
    <w:lvl w:ilvl="1" w:tentative="0">
      <w:start w:val="1"/>
      <w:numFmt w:val="decimal"/>
      <w:lvlText w:val="%1.%2"/>
      <w:lvlJc w:val="left"/>
      <w:pPr>
        <w:ind w:left="112" w:hanging="840"/>
        <w:jc w:val="left"/>
      </w:pPr>
      <w:rPr>
        <w:rFonts w:hint="default"/>
        <w:lang w:val="en-US" w:eastAsia="en-US" w:bidi="en-US"/>
      </w:rPr>
    </w:lvl>
    <w:lvl w:ilvl="2" w:tentative="0">
      <w:start w:val="1"/>
      <w:numFmt w:val="decimal"/>
      <w:lvlText w:val="%1.%2.%3"/>
      <w:lvlJc w:val="left"/>
      <w:pPr>
        <w:ind w:left="11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073" w:hanging="840"/>
      </w:pPr>
      <w:rPr>
        <w:rFonts w:hint="default"/>
        <w:lang w:val="en-US" w:eastAsia="en-US" w:bidi="en-US"/>
      </w:rPr>
    </w:lvl>
    <w:lvl w:ilvl="4" w:tentative="0">
      <w:start w:val="0"/>
      <w:numFmt w:val="bullet"/>
      <w:lvlText w:val="•"/>
      <w:lvlJc w:val="left"/>
      <w:pPr>
        <w:ind w:left="4058" w:hanging="840"/>
      </w:pPr>
      <w:rPr>
        <w:rFonts w:hint="default"/>
        <w:lang w:val="en-US" w:eastAsia="en-US" w:bidi="en-US"/>
      </w:rPr>
    </w:lvl>
    <w:lvl w:ilvl="5" w:tentative="0">
      <w:start w:val="0"/>
      <w:numFmt w:val="bullet"/>
      <w:lvlText w:val="•"/>
      <w:lvlJc w:val="left"/>
      <w:pPr>
        <w:ind w:left="5043" w:hanging="840"/>
      </w:pPr>
      <w:rPr>
        <w:rFonts w:hint="default"/>
        <w:lang w:val="en-US" w:eastAsia="en-US" w:bidi="en-US"/>
      </w:rPr>
    </w:lvl>
    <w:lvl w:ilvl="6" w:tentative="0">
      <w:start w:val="0"/>
      <w:numFmt w:val="bullet"/>
      <w:lvlText w:val="•"/>
      <w:lvlJc w:val="left"/>
      <w:pPr>
        <w:ind w:left="6027" w:hanging="840"/>
      </w:pPr>
      <w:rPr>
        <w:rFonts w:hint="default"/>
        <w:lang w:val="en-US" w:eastAsia="en-US" w:bidi="en-US"/>
      </w:rPr>
    </w:lvl>
    <w:lvl w:ilvl="7" w:tentative="0">
      <w:start w:val="0"/>
      <w:numFmt w:val="bullet"/>
      <w:lvlText w:val="•"/>
      <w:lvlJc w:val="left"/>
      <w:pPr>
        <w:ind w:left="7012" w:hanging="840"/>
      </w:pPr>
      <w:rPr>
        <w:rFonts w:hint="default"/>
        <w:lang w:val="en-US" w:eastAsia="en-US" w:bidi="en-US"/>
      </w:rPr>
    </w:lvl>
    <w:lvl w:ilvl="8" w:tentative="0">
      <w:start w:val="0"/>
      <w:numFmt w:val="bullet"/>
      <w:lvlText w:val="•"/>
      <w:lvlJc w:val="left"/>
      <w:pPr>
        <w:ind w:left="7996" w:hanging="840"/>
      </w:pPr>
      <w:rPr>
        <w:rFonts w:hint="default"/>
        <w:lang w:val="en-US" w:eastAsia="en-US" w:bidi="en-US"/>
      </w:rPr>
    </w:lvl>
  </w:abstractNum>
  <w:abstractNum w:abstractNumId="194">
    <w:nsid w:val="651422BE"/>
    <w:multiLevelType w:val="multilevel"/>
    <w:tmpl w:val="651422BE"/>
    <w:lvl w:ilvl="0" w:tentative="0">
      <w:start w:val="8"/>
      <w:numFmt w:val="decimal"/>
      <w:lvlText w:val="%1"/>
      <w:lvlJc w:val="left"/>
      <w:pPr>
        <w:ind w:left="952" w:hanging="840"/>
        <w:jc w:val="left"/>
      </w:pPr>
      <w:rPr>
        <w:rFonts w:hint="default"/>
        <w:lang w:val="en-US" w:eastAsia="en-US" w:bidi="en-US"/>
      </w:rPr>
    </w:lvl>
    <w:lvl w:ilvl="1" w:tentative="0">
      <w:start w:val="3"/>
      <w:numFmt w:val="decimal"/>
      <w:lvlText w:val="%1.%2"/>
      <w:lvlJc w:val="left"/>
      <w:pPr>
        <w:ind w:left="952" w:hanging="840"/>
        <w:jc w:val="left"/>
      </w:pPr>
      <w:rPr>
        <w:rFonts w:hint="default"/>
        <w:lang w:val="en-US" w:eastAsia="en-US" w:bidi="en-US"/>
      </w:rPr>
    </w:lvl>
    <w:lvl w:ilvl="2" w:tentative="0">
      <w:start w:val="24"/>
      <w:numFmt w:val="decimal"/>
      <w:lvlText w:val="%1.%2.%3"/>
      <w:lvlJc w:val="left"/>
      <w:pPr>
        <w:ind w:left="95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2983" w:hanging="840"/>
      </w:pPr>
      <w:rPr>
        <w:rFonts w:hint="default"/>
        <w:lang w:val="en-US" w:eastAsia="en-US" w:bidi="en-US"/>
      </w:rPr>
    </w:lvl>
    <w:lvl w:ilvl="4" w:tentative="0">
      <w:start w:val="0"/>
      <w:numFmt w:val="bullet"/>
      <w:lvlText w:val="•"/>
      <w:lvlJc w:val="left"/>
      <w:pPr>
        <w:ind w:left="3995" w:hanging="840"/>
      </w:pPr>
      <w:rPr>
        <w:rFonts w:hint="default"/>
        <w:lang w:val="en-US" w:eastAsia="en-US" w:bidi="en-US"/>
      </w:rPr>
    </w:lvl>
    <w:lvl w:ilvl="5" w:tentative="0">
      <w:start w:val="0"/>
      <w:numFmt w:val="bullet"/>
      <w:lvlText w:val="•"/>
      <w:lvlJc w:val="left"/>
      <w:pPr>
        <w:ind w:left="5007" w:hanging="840"/>
      </w:pPr>
      <w:rPr>
        <w:rFonts w:hint="default"/>
        <w:lang w:val="en-US" w:eastAsia="en-US" w:bidi="en-US"/>
      </w:rPr>
    </w:lvl>
    <w:lvl w:ilvl="6" w:tentative="0">
      <w:start w:val="0"/>
      <w:numFmt w:val="bullet"/>
      <w:lvlText w:val="•"/>
      <w:lvlJc w:val="left"/>
      <w:pPr>
        <w:ind w:left="6018" w:hanging="840"/>
      </w:pPr>
      <w:rPr>
        <w:rFonts w:hint="default"/>
        <w:lang w:val="en-US" w:eastAsia="en-US" w:bidi="en-US"/>
      </w:rPr>
    </w:lvl>
    <w:lvl w:ilvl="7" w:tentative="0">
      <w:start w:val="0"/>
      <w:numFmt w:val="bullet"/>
      <w:lvlText w:val="•"/>
      <w:lvlJc w:val="left"/>
      <w:pPr>
        <w:ind w:left="7030" w:hanging="840"/>
      </w:pPr>
      <w:rPr>
        <w:rFonts w:hint="default"/>
        <w:lang w:val="en-US" w:eastAsia="en-US" w:bidi="en-US"/>
      </w:rPr>
    </w:lvl>
    <w:lvl w:ilvl="8" w:tentative="0">
      <w:start w:val="0"/>
      <w:numFmt w:val="bullet"/>
      <w:lvlText w:val="•"/>
      <w:lvlJc w:val="left"/>
      <w:pPr>
        <w:ind w:left="8042" w:hanging="840"/>
      </w:pPr>
      <w:rPr>
        <w:rFonts w:hint="default"/>
        <w:lang w:val="en-US" w:eastAsia="en-US" w:bidi="en-US"/>
      </w:rPr>
    </w:lvl>
  </w:abstractNum>
  <w:abstractNum w:abstractNumId="195">
    <w:nsid w:val="659EB354"/>
    <w:multiLevelType w:val="multilevel"/>
    <w:tmpl w:val="659EB354"/>
    <w:lvl w:ilvl="0" w:tentative="0">
      <w:start w:val="2"/>
      <w:numFmt w:val="decimal"/>
      <w:lvlText w:val="%1"/>
      <w:lvlJc w:val="left"/>
      <w:pPr>
        <w:ind w:left="1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104" w:hanging="420"/>
      </w:pPr>
      <w:rPr>
        <w:rFonts w:hint="default"/>
        <w:lang w:val="en-US" w:eastAsia="en-US" w:bidi="en-US"/>
      </w:rPr>
    </w:lvl>
    <w:lvl w:ilvl="2" w:tentative="0">
      <w:start w:val="0"/>
      <w:numFmt w:val="bullet"/>
      <w:lvlText w:val="•"/>
      <w:lvlJc w:val="left"/>
      <w:pPr>
        <w:ind w:left="2089" w:hanging="420"/>
      </w:pPr>
      <w:rPr>
        <w:rFonts w:hint="default"/>
        <w:lang w:val="en-US" w:eastAsia="en-US" w:bidi="en-US"/>
      </w:rPr>
    </w:lvl>
    <w:lvl w:ilvl="3" w:tentative="0">
      <w:start w:val="0"/>
      <w:numFmt w:val="bullet"/>
      <w:lvlText w:val="•"/>
      <w:lvlJc w:val="left"/>
      <w:pPr>
        <w:ind w:left="3073" w:hanging="420"/>
      </w:pPr>
      <w:rPr>
        <w:rFonts w:hint="default"/>
        <w:lang w:val="en-US" w:eastAsia="en-US" w:bidi="en-US"/>
      </w:rPr>
    </w:lvl>
    <w:lvl w:ilvl="4" w:tentative="0">
      <w:start w:val="0"/>
      <w:numFmt w:val="bullet"/>
      <w:lvlText w:val="•"/>
      <w:lvlJc w:val="left"/>
      <w:pPr>
        <w:ind w:left="4058" w:hanging="420"/>
      </w:pPr>
      <w:rPr>
        <w:rFonts w:hint="default"/>
        <w:lang w:val="en-US" w:eastAsia="en-US" w:bidi="en-US"/>
      </w:rPr>
    </w:lvl>
    <w:lvl w:ilvl="5" w:tentative="0">
      <w:start w:val="0"/>
      <w:numFmt w:val="bullet"/>
      <w:lvlText w:val="•"/>
      <w:lvlJc w:val="left"/>
      <w:pPr>
        <w:ind w:left="5043" w:hanging="420"/>
      </w:pPr>
      <w:rPr>
        <w:rFonts w:hint="default"/>
        <w:lang w:val="en-US" w:eastAsia="en-US" w:bidi="en-US"/>
      </w:rPr>
    </w:lvl>
    <w:lvl w:ilvl="6" w:tentative="0">
      <w:start w:val="0"/>
      <w:numFmt w:val="bullet"/>
      <w:lvlText w:val="•"/>
      <w:lvlJc w:val="left"/>
      <w:pPr>
        <w:ind w:left="6027" w:hanging="420"/>
      </w:pPr>
      <w:rPr>
        <w:rFonts w:hint="default"/>
        <w:lang w:val="en-US" w:eastAsia="en-US" w:bidi="en-US"/>
      </w:rPr>
    </w:lvl>
    <w:lvl w:ilvl="7" w:tentative="0">
      <w:start w:val="0"/>
      <w:numFmt w:val="bullet"/>
      <w:lvlText w:val="•"/>
      <w:lvlJc w:val="left"/>
      <w:pPr>
        <w:ind w:left="7012" w:hanging="420"/>
      </w:pPr>
      <w:rPr>
        <w:rFonts w:hint="default"/>
        <w:lang w:val="en-US" w:eastAsia="en-US" w:bidi="en-US"/>
      </w:rPr>
    </w:lvl>
    <w:lvl w:ilvl="8" w:tentative="0">
      <w:start w:val="0"/>
      <w:numFmt w:val="bullet"/>
      <w:lvlText w:val="•"/>
      <w:lvlJc w:val="left"/>
      <w:pPr>
        <w:ind w:left="7996" w:hanging="420"/>
      </w:pPr>
      <w:rPr>
        <w:rFonts w:hint="default"/>
        <w:lang w:val="en-US" w:eastAsia="en-US" w:bidi="en-US"/>
      </w:rPr>
    </w:lvl>
  </w:abstractNum>
  <w:abstractNum w:abstractNumId="196">
    <w:nsid w:val="65CD0074"/>
    <w:multiLevelType w:val="multilevel"/>
    <w:tmpl w:val="65CD0074"/>
    <w:lvl w:ilvl="0" w:tentative="0">
      <w:start w:val="4"/>
      <w:numFmt w:val="decimal"/>
      <w:lvlText w:val="%1"/>
      <w:lvlJc w:val="left"/>
      <w:pPr>
        <w:ind w:left="1052" w:hanging="840"/>
        <w:jc w:val="left"/>
      </w:pPr>
      <w:rPr>
        <w:rFonts w:hint="default"/>
        <w:lang w:val="en-US" w:eastAsia="en-US" w:bidi="en-US"/>
      </w:rPr>
    </w:lvl>
    <w:lvl w:ilvl="1" w:tentative="0">
      <w:start w:val="3"/>
      <w:numFmt w:val="decimal"/>
      <w:lvlText w:val="%1.%2"/>
      <w:lvlJc w:val="left"/>
      <w:pPr>
        <w:ind w:left="1052" w:hanging="840"/>
        <w:jc w:val="left"/>
      </w:pPr>
      <w:rPr>
        <w:rFonts w:hint="default"/>
        <w:lang w:val="en-US" w:eastAsia="en-US" w:bidi="en-US"/>
      </w:rPr>
    </w:lvl>
    <w:lvl w:ilvl="2" w:tentative="0">
      <w:start w:val="1"/>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1052" w:hanging="416"/>
        <w:jc w:val="left"/>
      </w:pPr>
      <w:rPr>
        <w:rFonts w:hint="default" w:ascii="宋体" w:hAnsi="宋体" w:eastAsia="宋体" w:cs="宋体"/>
        <w:b/>
        <w:bCs/>
        <w:w w:val="98"/>
        <w:sz w:val="21"/>
        <w:szCs w:val="21"/>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197">
    <w:nsid w:val="68B298F7"/>
    <w:multiLevelType w:val="multilevel"/>
    <w:tmpl w:val="68B298F7"/>
    <w:lvl w:ilvl="0" w:tentative="0">
      <w:start w:val="8"/>
      <w:numFmt w:val="decimal"/>
      <w:lvlText w:val="%1"/>
      <w:lvlJc w:val="left"/>
      <w:pPr>
        <w:ind w:left="1052" w:hanging="840"/>
        <w:jc w:val="left"/>
      </w:pPr>
      <w:rPr>
        <w:rFonts w:hint="default"/>
        <w:lang w:val="en-US" w:eastAsia="en-US" w:bidi="en-US"/>
      </w:rPr>
    </w:lvl>
    <w:lvl w:ilvl="1" w:tentative="0">
      <w:start w:val="2"/>
      <w:numFmt w:val="decimal"/>
      <w:lvlText w:val="%1.%2"/>
      <w:lvlJc w:val="left"/>
      <w:pPr>
        <w:ind w:left="1052" w:hanging="840"/>
        <w:jc w:val="left"/>
      </w:pPr>
      <w:rPr>
        <w:rFonts w:hint="default"/>
        <w:lang w:val="en-US" w:eastAsia="en-US" w:bidi="en-US"/>
      </w:rPr>
    </w:lvl>
    <w:lvl w:ilvl="2" w:tentative="0">
      <w:start w:val="1"/>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212" w:hanging="418"/>
        <w:jc w:val="left"/>
      </w:pPr>
      <w:rPr>
        <w:rFonts w:hint="default" w:ascii="宋体" w:hAnsi="宋体" w:eastAsia="宋体" w:cs="宋体"/>
        <w:b/>
        <w:bCs/>
        <w:w w:val="98"/>
        <w:sz w:val="21"/>
        <w:szCs w:val="21"/>
        <w:lang w:val="en-US" w:eastAsia="en-US" w:bidi="en-US"/>
      </w:rPr>
    </w:lvl>
    <w:lvl w:ilvl="4" w:tentative="0">
      <w:start w:val="0"/>
      <w:numFmt w:val="bullet"/>
      <w:lvlText w:val="•"/>
      <w:lvlJc w:val="left"/>
      <w:pPr>
        <w:ind w:left="4095" w:hanging="418"/>
      </w:pPr>
      <w:rPr>
        <w:rFonts w:hint="default"/>
        <w:lang w:val="en-US" w:eastAsia="en-US" w:bidi="en-US"/>
      </w:rPr>
    </w:lvl>
    <w:lvl w:ilvl="5" w:tentative="0">
      <w:start w:val="0"/>
      <w:numFmt w:val="bullet"/>
      <w:lvlText w:val="•"/>
      <w:lvlJc w:val="left"/>
      <w:pPr>
        <w:ind w:left="5107" w:hanging="418"/>
      </w:pPr>
      <w:rPr>
        <w:rFonts w:hint="default"/>
        <w:lang w:val="en-US" w:eastAsia="en-US" w:bidi="en-US"/>
      </w:rPr>
    </w:lvl>
    <w:lvl w:ilvl="6" w:tentative="0">
      <w:start w:val="0"/>
      <w:numFmt w:val="bullet"/>
      <w:lvlText w:val="•"/>
      <w:lvlJc w:val="left"/>
      <w:pPr>
        <w:ind w:left="6118" w:hanging="418"/>
      </w:pPr>
      <w:rPr>
        <w:rFonts w:hint="default"/>
        <w:lang w:val="en-US" w:eastAsia="en-US" w:bidi="en-US"/>
      </w:rPr>
    </w:lvl>
    <w:lvl w:ilvl="7" w:tentative="0">
      <w:start w:val="0"/>
      <w:numFmt w:val="bullet"/>
      <w:lvlText w:val="•"/>
      <w:lvlJc w:val="left"/>
      <w:pPr>
        <w:ind w:left="7130" w:hanging="418"/>
      </w:pPr>
      <w:rPr>
        <w:rFonts w:hint="default"/>
        <w:lang w:val="en-US" w:eastAsia="en-US" w:bidi="en-US"/>
      </w:rPr>
    </w:lvl>
    <w:lvl w:ilvl="8" w:tentative="0">
      <w:start w:val="0"/>
      <w:numFmt w:val="bullet"/>
      <w:lvlText w:val="•"/>
      <w:lvlJc w:val="left"/>
      <w:pPr>
        <w:ind w:left="8142" w:hanging="418"/>
      </w:pPr>
      <w:rPr>
        <w:rFonts w:hint="default"/>
        <w:lang w:val="en-US" w:eastAsia="en-US" w:bidi="en-US"/>
      </w:rPr>
    </w:lvl>
  </w:abstractNum>
  <w:abstractNum w:abstractNumId="198">
    <w:nsid w:val="6AFC2A1C"/>
    <w:multiLevelType w:val="multilevel"/>
    <w:tmpl w:val="6AFC2A1C"/>
    <w:lvl w:ilvl="0" w:tentative="0">
      <w:start w:val="3"/>
      <w:numFmt w:val="decimal"/>
      <w:lvlText w:val="%1"/>
      <w:lvlJc w:val="left"/>
      <w:pPr>
        <w:ind w:left="2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214" w:hanging="420"/>
      </w:pPr>
      <w:rPr>
        <w:rFonts w:hint="default"/>
        <w:lang w:val="en-US" w:eastAsia="en-US" w:bidi="en-US"/>
      </w:rPr>
    </w:lvl>
    <w:lvl w:ilvl="2" w:tentative="0">
      <w:start w:val="0"/>
      <w:numFmt w:val="bullet"/>
      <w:lvlText w:val="•"/>
      <w:lvlJc w:val="left"/>
      <w:pPr>
        <w:ind w:left="2209" w:hanging="420"/>
      </w:pPr>
      <w:rPr>
        <w:rFonts w:hint="default"/>
        <w:lang w:val="en-US" w:eastAsia="en-US" w:bidi="en-US"/>
      </w:rPr>
    </w:lvl>
    <w:lvl w:ilvl="3" w:tentative="0">
      <w:start w:val="0"/>
      <w:numFmt w:val="bullet"/>
      <w:lvlText w:val="•"/>
      <w:lvlJc w:val="left"/>
      <w:pPr>
        <w:ind w:left="3203" w:hanging="420"/>
      </w:pPr>
      <w:rPr>
        <w:rFonts w:hint="default"/>
        <w:lang w:val="en-US" w:eastAsia="en-US" w:bidi="en-US"/>
      </w:rPr>
    </w:lvl>
    <w:lvl w:ilvl="4" w:tentative="0">
      <w:start w:val="0"/>
      <w:numFmt w:val="bullet"/>
      <w:lvlText w:val="•"/>
      <w:lvlJc w:val="left"/>
      <w:pPr>
        <w:ind w:left="4198" w:hanging="420"/>
      </w:pPr>
      <w:rPr>
        <w:rFonts w:hint="default"/>
        <w:lang w:val="en-US" w:eastAsia="en-US" w:bidi="en-US"/>
      </w:rPr>
    </w:lvl>
    <w:lvl w:ilvl="5" w:tentative="0">
      <w:start w:val="0"/>
      <w:numFmt w:val="bullet"/>
      <w:lvlText w:val="•"/>
      <w:lvlJc w:val="left"/>
      <w:pPr>
        <w:ind w:left="5193" w:hanging="420"/>
      </w:pPr>
      <w:rPr>
        <w:rFonts w:hint="default"/>
        <w:lang w:val="en-US" w:eastAsia="en-US" w:bidi="en-US"/>
      </w:rPr>
    </w:lvl>
    <w:lvl w:ilvl="6" w:tentative="0">
      <w:start w:val="0"/>
      <w:numFmt w:val="bullet"/>
      <w:lvlText w:val="•"/>
      <w:lvlJc w:val="left"/>
      <w:pPr>
        <w:ind w:left="6187" w:hanging="420"/>
      </w:pPr>
      <w:rPr>
        <w:rFonts w:hint="default"/>
        <w:lang w:val="en-US" w:eastAsia="en-US" w:bidi="en-US"/>
      </w:rPr>
    </w:lvl>
    <w:lvl w:ilvl="7" w:tentative="0">
      <w:start w:val="0"/>
      <w:numFmt w:val="bullet"/>
      <w:lvlText w:val="•"/>
      <w:lvlJc w:val="left"/>
      <w:pPr>
        <w:ind w:left="7182" w:hanging="420"/>
      </w:pPr>
      <w:rPr>
        <w:rFonts w:hint="default"/>
        <w:lang w:val="en-US" w:eastAsia="en-US" w:bidi="en-US"/>
      </w:rPr>
    </w:lvl>
    <w:lvl w:ilvl="8" w:tentative="0">
      <w:start w:val="0"/>
      <w:numFmt w:val="bullet"/>
      <w:lvlText w:val="•"/>
      <w:lvlJc w:val="left"/>
      <w:pPr>
        <w:ind w:left="8176" w:hanging="420"/>
      </w:pPr>
      <w:rPr>
        <w:rFonts w:hint="default"/>
        <w:lang w:val="en-US" w:eastAsia="en-US" w:bidi="en-US"/>
      </w:rPr>
    </w:lvl>
  </w:abstractNum>
  <w:abstractNum w:abstractNumId="199">
    <w:nsid w:val="6C0BE2D1"/>
    <w:multiLevelType w:val="multilevel"/>
    <w:tmpl w:val="6C0BE2D1"/>
    <w:lvl w:ilvl="0" w:tentative="0">
      <w:start w:val="5"/>
      <w:numFmt w:val="decimal"/>
      <w:lvlText w:val="%1"/>
      <w:lvlJc w:val="left"/>
      <w:pPr>
        <w:ind w:left="964" w:hanging="852"/>
        <w:jc w:val="left"/>
      </w:pPr>
      <w:rPr>
        <w:rFonts w:hint="default"/>
        <w:lang w:val="en-US" w:eastAsia="en-US" w:bidi="en-US"/>
      </w:rPr>
    </w:lvl>
    <w:lvl w:ilvl="1" w:tentative="0">
      <w:start w:val="2"/>
      <w:numFmt w:val="decimal"/>
      <w:lvlText w:val="%1.%2"/>
      <w:lvlJc w:val="left"/>
      <w:pPr>
        <w:ind w:left="964" w:hanging="852"/>
        <w:jc w:val="left"/>
      </w:pPr>
      <w:rPr>
        <w:rFonts w:hint="default"/>
        <w:lang w:val="en-US" w:eastAsia="en-US" w:bidi="en-US"/>
      </w:rPr>
    </w:lvl>
    <w:lvl w:ilvl="2" w:tentative="0">
      <w:start w:val="1"/>
      <w:numFmt w:val="decimal"/>
      <w:lvlText w:val="%1.%2.%3"/>
      <w:lvlJc w:val="left"/>
      <w:pPr>
        <w:ind w:left="964" w:hanging="852"/>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112" w:hanging="423"/>
        <w:jc w:val="left"/>
      </w:pPr>
      <w:rPr>
        <w:rFonts w:hint="default" w:ascii="宋体" w:hAnsi="宋体" w:eastAsia="宋体" w:cs="宋体"/>
        <w:w w:val="99"/>
        <w:sz w:val="21"/>
        <w:szCs w:val="21"/>
        <w:lang w:val="en-US" w:eastAsia="en-US" w:bidi="en-US"/>
      </w:rPr>
    </w:lvl>
    <w:lvl w:ilvl="4" w:tentative="0">
      <w:start w:val="0"/>
      <w:numFmt w:val="bullet"/>
      <w:lvlText w:val="•"/>
      <w:lvlJc w:val="left"/>
      <w:pPr>
        <w:ind w:left="3962" w:hanging="423"/>
      </w:pPr>
      <w:rPr>
        <w:rFonts w:hint="default"/>
        <w:lang w:val="en-US" w:eastAsia="en-US" w:bidi="en-US"/>
      </w:rPr>
    </w:lvl>
    <w:lvl w:ilvl="5" w:tentative="0">
      <w:start w:val="0"/>
      <w:numFmt w:val="bullet"/>
      <w:lvlText w:val="•"/>
      <w:lvlJc w:val="left"/>
      <w:pPr>
        <w:ind w:left="4962" w:hanging="423"/>
      </w:pPr>
      <w:rPr>
        <w:rFonts w:hint="default"/>
        <w:lang w:val="en-US" w:eastAsia="en-US" w:bidi="en-US"/>
      </w:rPr>
    </w:lvl>
    <w:lvl w:ilvl="6" w:tentative="0">
      <w:start w:val="0"/>
      <w:numFmt w:val="bullet"/>
      <w:lvlText w:val="•"/>
      <w:lvlJc w:val="left"/>
      <w:pPr>
        <w:ind w:left="5963" w:hanging="423"/>
      </w:pPr>
      <w:rPr>
        <w:rFonts w:hint="default"/>
        <w:lang w:val="en-US" w:eastAsia="en-US" w:bidi="en-US"/>
      </w:rPr>
    </w:lvl>
    <w:lvl w:ilvl="7" w:tentative="0">
      <w:start w:val="0"/>
      <w:numFmt w:val="bullet"/>
      <w:lvlText w:val="•"/>
      <w:lvlJc w:val="left"/>
      <w:pPr>
        <w:ind w:left="6964" w:hanging="423"/>
      </w:pPr>
      <w:rPr>
        <w:rFonts w:hint="default"/>
        <w:lang w:val="en-US" w:eastAsia="en-US" w:bidi="en-US"/>
      </w:rPr>
    </w:lvl>
    <w:lvl w:ilvl="8" w:tentative="0">
      <w:start w:val="0"/>
      <w:numFmt w:val="bullet"/>
      <w:lvlText w:val="•"/>
      <w:lvlJc w:val="left"/>
      <w:pPr>
        <w:ind w:left="7964" w:hanging="423"/>
      </w:pPr>
      <w:rPr>
        <w:rFonts w:hint="default"/>
        <w:lang w:val="en-US" w:eastAsia="en-US" w:bidi="en-US"/>
      </w:rPr>
    </w:lvl>
  </w:abstractNum>
  <w:abstractNum w:abstractNumId="200">
    <w:nsid w:val="6D423078"/>
    <w:multiLevelType w:val="multilevel"/>
    <w:tmpl w:val="6D423078"/>
    <w:lvl w:ilvl="0" w:tentative="0">
      <w:start w:val="4"/>
      <w:numFmt w:val="decimal"/>
      <w:lvlText w:val="%1"/>
      <w:lvlJc w:val="left"/>
      <w:pPr>
        <w:ind w:left="212" w:hanging="840"/>
        <w:jc w:val="left"/>
      </w:pPr>
      <w:rPr>
        <w:rFonts w:hint="default"/>
        <w:lang w:val="en-US" w:eastAsia="en-US" w:bidi="en-US"/>
      </w:rPr>
    </w:lvl>
    <w:lvl w:ilvl="1" w:tentative="0">
      <w:start w:val="1"/>
      <w:numFmt w:val="decimal"/>
      <w:lvlText w:val="%1.%2"/>
      <w:lvlJc w:val="left"/>
      <w:pPr>
        <w:ind w:left="212" w:hanging="840"/>
        <w:jc w:val="left"/>
      </w:pPr>
      <w:rPr>
        <w:rFonts w:hint="default"/>
        <w:lang w:val="en-US" w:eastAsia="en-US" w:bidi="en-US"/>
      </w:rPr>
    </w:lvl>
    <w:lvl w:ilvl="2" w:tentative="0">
      <w:start w:val="1"/>
      <w:numFmt w:val="decimal"/>
      <w:lvlText w:val="%1.%2.%3"/>
      <w:lvlJc w:val="left"/>
      <w:pPr>
        <w:ind w:left="212" w:hanging="840"/>
        <w:jc w:val="righ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212" w:hanging="420"/>
        <w:jc w:val="left"/>
      </w:pPr>
      <w:rPr>
        <w:rFonts w:hint="default" w:ascii="宋体" w:hAnsi="宋体" w:eastAsia="宋体" w:cs="宋体"/>
        <w:w w:val="99"/>
        <w:sz w:val="21"/>
        <w:szCs w:val="21"/>
        <w:lang w:val="en-US" w:eastAsia="en-US" w:bidi="en-US"/>
      </w:rPr>
    </w:lvl>
    <w:lvl w:ilvl="4" w:tentative="0">
      <w:start w:val="0"/>
      <w:numFmt w:val="bullet"/>
      <w:lvlText w:val="•"/>
      <w:lvlJc w:val="left"/>
      <w:pPr>
        <w:ind w:left="4198" w:hanging="420"/>
      </w:pPr>
      <w:rPr>
        <w:rFonts w:hint="default"/>
        <w:lang w:val="en-US" w:eastAsia="en-US" w:bidi="en-US"/>
      </w:rPr>
    </w:lvl>
    <w:lvl w:ilvl="5" w:tentative="0">
      <w:start w:val="0"/>
      <w:numFmt w:val="bullet"/>
      <w:lvlText w:val="•"/>
      <w:lvlJc w:val="left"/>
      <w:pPr>
        <w:ind w:left="5193" w:hanging="420"/>
      </w:pPr>
      <w:rPr>
        <w:rFonts w:hint="default"/>
        <w:lang w:val="en-US" w:eastAsia="en-US" w:bidi="en-US"/>
      </w:rPr>
    </w:lvl>
    <w:lvl w:ilvl="6" w:tentative="0">
      <w:start w:val="0"/>
      <w:numFmt w:val="bullet"/>
      <w:lvlText w:val="•"/>
      <w:lvlJc w:val="left"/>
      <w:pPr>
        <w:ind w:left="6187" w:hanging="420"/>
      </w:pPr>
      <w:rPr>
        <w:rFonts w:hint="default"/>
        <w:lang w:val="en-US" w:eastAsia="en-US" w:bidi="en-US"/>
      </w:rPr>
    </w:lvl>
    <w:lvl w:ilvl="7" w:tentative="0">
      <w:start w:val="0"/>
      <w:numFmt w:val="bullet"/>
      <w:lvlText w:val="•"/>
      <w:lvlJc w:val="left"/>
      <w:pPr>
        <w:ind w:left="7182" w:hanging="420"/>
      </w:pPr>
      <w:rPr>
        <w:rFonts w:hint="default"/>
        <w:lang w:val="en-US" w:eastAsia="en-US" w:bidi="en-US"/>
      </w:rPr>
    </w:lvl>
    <w:lvl w:ilvl="8" w:tentative="0">
      <w:start w:val="0"/>
      <w:numFmt w:val="bullet"/>
      <w:lvlText w:val="•"/>
      <w:lvlJc w:val="left"/>
      <w:pPr>
        <w:ind w:left="8176" w:hanging="420"/>
      </w:pPr>
      <w:rPr>
        <w:rFonts w:hint="default"/>
        <w:lang w:val="en-US" w:eastAsia="en-US" w:bidi="en-US"/>
      </w:rPr>
    </w:lvl>
  </w:abstractNum>
  <w:abstractNum w:abstractNumId="201">
    <w:nsid w:val="700FDCEF"/>
    <w:multiLevelType w:val="multilevel"/>
    <w:tmpl w:val="700FDCEF"/>
    <w:lvl w:ilvl="0" w:tentative="0">
      <w:start w:val="6"/>
      <w:numFmt w:val="decimal"/>
      <w:lvlText w:val="%1"/>
      <w:lvlJc w:val="left"/>
      <w:pPr>
        <w:ind w:left="1052" w:hanging="840"/>
        <w:jc w:val="left"/>
      </w:pPr>
      <w:rPr>
        <w:rFonts w:hint="default"/>
        <w:lang w:val="en-US" w:eastAsia="en-US" w:bidi="en-US"/>
      </w:rPr>
    </w:lvl>
    <w:lvl w:ilvl="1" w:tentative="0">
      <w:start w:val="1"/>
      <w:numFmt w:val="decimal"/>
      <w:lvlText w:val="%1.%2"/>
      <w:lvlJc w:val="left"/>
      <w:pPr>
        <w:ind w:left="1052" w:hanging="840"/>
        <w:jc w:val="left"/>
      </w:pPr>
      <w:rPr>
        <w:rFonts w:hint="default"/>
        <w:lang w:val="en-US" w:eastAsia="en-US" w:bidi="en-US"/>
      </w:rPr>
    </w:lvl>
    <w:lvl w:ilvl="2" w:tentative="0">
      <w:start w:val="1"/>
      <w:numFmt w:val="decimal"/>
      <w:lvlText w:val="%1.%2.%3"/>
      <w:lvlJc w:val="left"/>
      <w:pPr>
        <w:ind w:left="1052" w:hanging="840"/>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791" w:hanging="840"/>
      </w:pPr>
      <w:rPr>
        <w:rFonts w:hint="default"/>
        <w:lang w:val="en-US" w:eastAsia="en-US" w:bidi="en-US"/>
      </w:rPr>
    </w:lvl>
    <w:lvl w:ilvl="4" w:tentative="0">
      <w:start w:val="0"/>
      <w:numFmt w:val="bullet"/>
      <w:lvlText w:val="•"/>
      <w:lvlJc w:val="left"/>
      <w:pPr>
        <w:ind w:left="4702" w:hanging="840"/>
      </w:pPr>
      <w:rPr>
        <w:rFonts w:hint="default"/>
        <w:lang w:val="en-US" w:eastAsia="en-US" w:bidi="en-US"/>
      </w:rPr>
    </w:lvl>
    <w:lvl w:ilvl="5" w:tentative="0">
      <w:start w:val="0"/>
      <w:numFmt w:val="bullet"/>
      <w:lvlText w:val="•"/>
      <w:lvlJc w:val="left"/>
      <w:pPr>
        <w:ind w:left="5613" w:hanging="840"/>
      </w:pPr>
      <w:rPr>
        <w:rFonts w:hint="default"/>
        <w:lang w:val="en-US" w:eastAsia="en-US" w:bidi="en-US"/>
      </w:rPr>
    </w:lvl>
    <w:lvl w:ilvl="6" w:tentative="0">
      <w:start w:val="0"/>
      <w:numFmt w:val="bullet"/>
      <w:lvlText w:val="•"/>
      <w:lvlJc w:val="left"/>
      <w:pPr>
        <w:ind w:left="6523" w:hanging="840"/>
      </w:pPr>
      <w:rPr>
        <w:rFonts w:hint="default"/>
        <w:lang w:val="en-US" w:eastAsia="en-US" w:bidi="en-US"/>
      </w:rPr>
    </w:lvl>
    <w:lvl w:ilvl="7" w:tentative="0">
      <w:start w:val="0"/>
      <w:numFmt w:val="bullet"/>
      <w:lvlText w:val="•"/>
      <w:lvlJc w:val="left"/>
      <w:pPr>
        <w:ind w:left="7434" w:hanging="840"/>
      </w:pPr>
      <w:rPr>
        <w:rFonts w:hint="default"/>
        <w:lang w:val="en-US" w:eastAsia="en-US" w:bidi="en-US"/>
      </w:rPr>
    </w:lvl>
    <w:lvl w:ilvl="8" w:tentative="0">
      <w:start w:val="0"/>
      <w:numFmt w:val="bullet"/>
      <w:lvlText w:val="•"/>
      <w:lvlJc w:val="left"/>
      <w:pPr>
        <w:ind w:left="8344" w:hanging="840"/>
      </w:pPr>
      <w:rPr>
        <w:rFonts w:hint="default"/>
        <w:lang w:val="en-US" w:eastAsia="en-US" w:bidi="en-US"/>
      </w:rPr>
    </w:lvl>
  </w:abstractNum>
  <w:abstractNum w:abstractNumId="202">
    <w:nsid w:val="70F95E71"/>
    <w:multiLevelType w:val="multilevel"/>
    <w:tmpl w:val="70F95E71"/>
    <w:lvl w:ilvl="0" w:tentative="0">
      <w:start w:val="1"/>
      <w:numFmt w:val="decimal"/>
      <w:lvlText w:val="%1"/>
      <w:lvlJc w:val="left"/>
      <w:pPr>
        <w:ind w:left="112" w:hanging="420"/>
        <w:jc w:val="left"/>
      </w:pPr>
      <w:rPr>
        <w:rFonts w:hint="default" w:ascii="宋体" w:hAnsi="宋体" w:eastAsia="宋体" w:cs="宋体"/>
        <w:w w:val="99"/>
        <w:sz w:val="21"/>
        <w:szCs w:val="21"/>
        <w:lang w:val="en-US" w:eastAsia="en-US" w:bidi="en-US"/>
      </w:rPr>
    </w:lvl>
    <w:lvl w:ilvl="1" w:tentative="0">
      <w:start w:val="0"/>
      <w:numFmt w:val="bullet"/>
      <w:lvlText w:val="•"/>
      <w:lvlJc w:val="left"/>
      <w:pPr>
        <w:ind w:left="1104" w:hanging="420"/>
      </w:pPr>
      <w:rPr>
        <w:rFonts w:hint="default"/>
        <w:lang w:val="en-US" w:eastAsia="en-US" w:bidi="en-US"/>
      </w:rPr>
    </w:lvl>
    <w:lvl w:ilvl="2" w:tentative="0">
      <w:start w:val="0"/>
      <w:numFmt w:val="bullet"/>
      <w:lvlText w:val="•"/>
      <w:lvlJc w:val="left"/>
      <w:pPr>
        <w:ind w:left="2089" w:hanging="420"/>
      </w:pPr>
      <w:rPr>
        <w:rFonts w:hint="default"/>
        <w:lang w:val="en-US" w:eastAsia="en-US" w:bidi="en-US"/>
      </w:rPr>
    </w:lvl>
    <w:lvl w:ilvl="3" w:tentative="0">
      <w:start w:val="0"/>
      <w:numFmt w:val="bullet"/>
      <w:lvlText w:val="•"/>
      <w:lvlJc w:val="left"/>
      <w:pPr>
        <w:ind w:left="3073" w:hanging="420"/>
      </w:pPr>
      <w:rPr>
        <w:rFonts w:hint="default"/>
        <w:lang w:val="en-US" w:eastAsia="en-US" w:bidi="en-US"/>
      </w:rPr>
    </w:lvl>
    <w:lvl w:ilvl="4" w:tentative="0">
      <w:start w:val="0"/>
      <w:numFmt w:val="bullet"/>
      <w:lvlText w:val="•"/>
      <w:lvlJc w:val="left"/>
      <w:pPr>
        <w:ind w:left="4058" w:hanging="420"/>
      </w:pPr>
      <w:rPr>
        <w:rFonts w:hint="default"/>
        <w:lang w:val="en-US" w:eastAsia="en-US" w:bidi="en-US"/>
      </w:rPr>
    </w:lvl>
    <w:lvl w:ilvl="5" w:tentative="0">
      <w:start w:val="0"/>
      <w:numFmt w:val="bullet"/>
      <w:lvlText w:val="•"/>
      <w:lvlJc w:val="left"/>
      <w:pPr>
        <w:ind w:left="5043" w:hanging="420"/>
      </w:pPr>
      <w:rPr>
        <w:rFonts w:hint="default"/>
        <w:lang w:val="en-US" w:eastAsia="en-US" w:bidi="en-US"/>
      </w:rPr>
    </w:lvl>
    <w:lvl w:ilvl="6" w:tentative="0">
      <w:start w:val="0"/>
      <w:numFmt w:val="bullet"/>
      <w:lvlText w:val="•"/>
      <w:lvlJc w:val="left"/>
      <w:pPr>
        <w:ind w:left="6027" w:hanging="420"/>
      </w:pPr>
      <w:rPr>
        <w:rFonts w:hint="default"/>
        <w:lang w:val="en-US" w:eastAsia="en-US" w:bidi="en-US"/>
      </w:rPr>
    </w:lvl>
    <w:lvl w:ilvl="7" w:tentative="0">
      <w:start w:val="0"/>
      <w:numFmt w:val="bullet"/>
      <w:lvlText w:val="•"/>
      <w:lvlJc w:val="left"/>
      <w:pPr>
        <w:ind w:left="7012" w:hanging="420"/>
      </w:pPr>
      <w:rPr>
        <w:rFonts w:hint="default"/>
        <w:lang w:val="en-US" w:eastAsia="en-US" w:bidi="en-US"/>
      </w:rPr>
    </w:lvl>
    <w:lvl w:ilvl="8" w:tentative="0">
      <w:start w:val="0"/>
      <w:numFmt w:val="bullet"/>
      <w:lvlText w:val="•"/>
      <w:lvlJc w:val="left"/>
      <w:pPr>
        <w:ind w:left="7996" w:hanging="420"/>
      </w:pPr>
      <w:rPr>
        <w:rFonts w:hint="default"/>
        <w:lang w:val="en-US" w:eastAsia="en-US" w:bidi="en-US"/>
      </w:rPr>
    </w:lvl>
  </w:abstractNum>
  <w:abstractNum w:abstractNumId="203">
    <w:nsid w:val="72183CF9"/>
    <w:multiLevelType w:val="multilevel"/>
    <w:tmpl w:val="72183CF9"/>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204">
    <w:nsid w:val="744F3566"/>
    <w:multiLevelType w:val="multilevel"/>
    <w:tmpl w:val="744F3566"/>
    <w:lvl w:ilvl="0" w:tentative="0">
      <w:start w:val="6"/>
      <w:numFmt w:val="decimal"/>
      <w:lvlText w:val="%1"/>
      <w:lvlJc w:val="left"/>
      <w:pPr>
        <w:ind w:left="112" w:hanging="852"/>
        <w:jc w:val="left"/>
      </w:pPr>
      <w:rPr>
        <w:rFonts w:hint="default"/>
        <w:lang w:val="en-US" w:eastAsia="en-US" w:bidi="en-US"/>
      </w:rPr>
    </w:lvl>
    <w:lvl w:ilvl="1" w:tentative="0">
      <w:start w:val="2"/>
      <w:numFmt w:val="decimal"/>
      <w:lvlText w:val="%1.%2"/>
      <w:lvlJc w:val="left"/>
      <w:pPr>
        <w:ind w:left="112" w:hanging="852"/>
        <w:jc w:val="left"/>
      </w:pPr>
      <w:rPr>
        <w:rFonts w:hint="default"/>
        <w:lang w:val="en-US" w:eastAsia="en-US" w:bidi="en-US"/>
      </w:rPr>
    </w:lvl>
    <w:lvl w:ilvl="2" w:tentative="0">
      <w:start w:val="1"/>
      <w:numFmt w:val="decimal"/>
      <w:lvlText w:val="%1.%2.%3"/>
      <w:lvlJc w:val="left"/>
      <w:pPr>
        <w:ind w:left="112" w:hanging="852"/>
        <w:jc w:val="left"/>
      </w:pPr>
      <w:rPr>
        <w:rFonts w:hint="default" w:ascii="宋体" w:hAnsi="宋体" w:eastAsia="宋体" w:cs="宋体"/>
        <w:b/>
        <w:bCs/>
        <w:spacing w:val="0"/>
        <w:w w:val="98"/>
        <w:sz w:val="21"/>
        <w:szCs w:val="21"/>
        <w:lang w:val="en-US" w:eastAsia="en-US" w:bidi="en-US"/>
      </w:rPr>
    </w:lvl>
    <w:lvl w:ilvl="3" w:tentative="0">
      <w:start w:val="0"/>
      <w:numFmt w:val="bullet"/>
      <w:lvlText w:val="•"/>
      <w:lvlJc w:val="left"/>
      <w:pPr>
        <w:ind w:left="3073" w:hanging="852"/>
      </w:pPr>
      <w:rPr>
        <w:rFonts w:hint="default"/>
        <w:lang w:val="en-US" w:eastAsia="en-US" w:bidi="en-US"/>
      </w:rPr>
    </w:lvl>
    <w:lvl w:ilvl="4" w:tentative="0">
      <w:start w:val="0"/>
      <w:numFmt w:val="bullet"/>
      <w:lvlText w:val="•"/>
      <w:lvlJc w:val="left"/>
      <w:pPr>
        <w:ind w:left="4058" w:hanging="852"/>
      </w:pPr>
      <w:rPr>
        <w:rFonts w:hint="default"/>
        <w:lang w:val="en-US" w:eastAsia="en-US" w:bidi="en-US"/>
      </w:rPr>
    </w:lvl>
    <w:lvl w:ilvl="5" w:tentative="0">
      <w:start w:val="0"/>
      <w:numFmt w:val="bullet"/>
      <w:lvlText w:val="•"/>
      <w:lvlJc w:val="left"/>
      <w:pPr>
        <w:ind w:left="5043" w:hanging="852"/>
      </w:pPr>
      <w:rPr>
        <w:rFonts w:hint="default"/>
        <w:lang w:val="en-US" w:eastAsia="en-US" w:bidi="en-US"/>
      </w:rPr>
    </w:lvl>
    <w:lvl w:ilvl="6" w:tentative="0">
      <w:start w:val="0"/>
      <w:numFmt w:val="bullet"/>
      <w:lvlText w:val="•"/>
      <w:lvlJc w:val="left"/>
      <w:pPr>
        <w:ind w:left="6027" w:hanging="852"/>
      </w:pPr>
      <w:rPr>
        <w:rFonts w:hint="default"/>
        <w:lang w:val="en-US" w:eastAsia="en-US" w:bidi="en-US"/>
      </w:rPr>
    </w:lvl>
    <w:lvl w:ilvl="7" w:tentative="0">
      <w:start w:val="0"/>
      <w:numFmt w:val="bullet"/>
      <w:lvlText w:val="•"/>
      <w:lvlJc w:val="left"/>
      <w:pPr>
        <w:ind w:left="7012" w:hanging="852"/>
      </w:pPr>
      <w:rPr>
        <w:rFonts w:hint="default"/>
        <w:lang w:val="en-US" w:eastAsia="en-US" w:bidi="en-US"/>
      </w:rPr>
    </w:lvl>
    <w:lvl w:ilvl="8" w:tentative="0">
      <w:start w:val="0"/>
      <w:numFmt w:val="bullet"/>
      <w:lvlText w:val="•"/>
      <w:lvlJc w:val="left"/>
      <w:pPr>
        <w:ind w:left="7996" w:hanging="852"/>
      </w:pPr>
      <w:rPr>
        <w:rFonts w:hint="default"/>
        <w:lang w:val="en-US" w:eastAsia="en-US" w:bidi="en-US"/>
      </w:rPr>
    </w:lvl>
  </w:abstractNum>
  <w:abstractNum w:abstractNumId="205">
    <w:nsid w:val="7499D7B3"/>
    <w:multiLevelType w:val="multilevel"/>
    <w:tmpl w:val="7499D7B3"/>
    <w:lvl w:ilvl="0" w:tentative="0">
      <w:start w:val="4"/>
      <w:numFmt w:val="decimal"/>
      <w:lvlText w:val="%1"/>
      <w:lvlJc w:val="left"/>
      <w:pPr>
        <w:ind w:left="212" w:hanging="852"/>
        <w:jc w:val="left"/>
      </w:pPr>
      <w:rPr>
        <w:rFonts w:hint="default"/>
        <w:lang w:val="en-US" w:eastAsia="en-US" w:bidi="en-US"/>
      </w:rPr>
    </w:lvl>
    <w:lvl w:ilvl="1" w:tentative="0">
      <w:start w:val="3"/>
      <w:numFmt w:val="decimal"/>
      <w:lvlText w:val="%1.%2"/>
      <w:lvlJc w:val="left"/>
      <w:pPr>
        <w:ind w:left="212" w:hanging="852"/>
        <w:jc w:val="left"/>
      </w:pPr>
      <w:rPr>
        <w:rFonts w:hint="default"/>
        <w:lang w:val="en-US" w:eastAsia="en-US" w:bidi="en-US"/>
      </w:rPr>
    </w:lvl>
    <w:lvl w:ilvl="2" w:tentative="0">
      <w:start w:val="10"/>
      <w:numFmt w:val="decimal"/>
      <w:lvlText w:val="%1.%2.%3"/>
      <w:lvlJc w:val="left"/>
      <w:pPr>
        <w:ind w:left="212" w:hanging="852"/>
        <w:jc w:val="left"/>
      </w:pPr>
      <w:rPr>
        <w:rFonts w:hint="default" w:ascii="宋体" w:hAnsi="宋体" w:eastAsia="宋体" w:cs="宋体"/>
        <w:b/>
        <w:bCs/>
        <w:spacing w:val="0"/>
        <w:w w:val="98"/>
        <w:sz w:val="21"/>
        <w:szCs w:val="21"/>
        <w:lang w:val="en-US" w:eastAsia="en-US" w:bidi="en-US"/>
      </w:rPr>
    </w:lvl>
    <w:lvl w:ilvl="3" w:tentative="0">
      <w:start w:val="1"/>
      <w:numFmt w:val="decimal"/>
      <w:lvlText w:val="%4"/>
      <w:lvlJc w:val="left"/>
      <w:pPr>
        <w:ind w:left="212" w:hanging="420"/>
        <w:jc w:val="right"/>
      </w:pPr>
      <w:rPr>
        <w:rFonts w:hint="default"/>
        <w:w w:val="99"/>
        <w:lang w:val="en-US" w:eastAsia="en-US" w:bidi="en-US"/>
      </w:rPr>
    </w:lvl>
    <w:lvl w:ilvl="4" w:tentative="0">
      <w:start w:val="1"/>
      <w:numFmt w:val="decimal"/>
      <w:lvlText w:val="%4.%5"/>
      <w:lvlJc w:val="left"/>
      <w:pPr>
        <w:ind w:left="4823" w:hanging="420"/>
        <w:jc w:val="right"/>
      </w:pPr>
      <w:rPr>
        <w:rFonts w:hint="default" w:ascii="宋体" w:hAnsi="宋体" w:eastAsia="宋体" w:cs="宋体"/>
        <w:b/>
        <w:bCs/>
        <w:spacing w:val="0"/>
        <w:w w:val="98"/>
        <w:sz w:val="21"/>
        <w:szCs w:val="21"/>
        <w:lang w:val="en-US" w:eastAsia="en-US" w:bidi="en-US"/>
      </w:rPr>
    </w:lvl>
    <w:lvl w:ilvl="5" w:tentative="0">
      <w:start w:val="0"/>
      <w:numFmt w:val="bullet"/>
      <w:lvlText w:val="•"/>
      <w:lvlJc w:val="left"/>
      <w:pPr>
        <w:ind w:left="7196" w:hanging="420"/>
      </w:pPr>
      <w:rPr>
        <w:rFonts w:hint="default"/>
        <w:lang w:val="en-US" w:eastAsia="en-US" w:bidi="en-US"/>
      </w:rPr>
    </w:lvl>
    <w:lvl w:ilvl="6" w:tentative="0">
      <w:start w:val="0"/>
      <w:numFmt w:val="bullet"/>
      <w:lvlText w:val="•"/>
      <w:lvlJc w:val="left"/>
      <w:pPr>
        <w:ind w:left="7790" w:hanging="420"/>
      </w:pPr>
      <w:rPr>
        <w:rFonts w:hint="default"/>
        <w:lang w:val="en-US" w:eastAsia="en-US" w:bidi="en-US"/>
      </w:rPr>
    </w:lvl>
    <w:lvl w:ilvl="7" w:tentative="0">
      <w:start w:val="0"/>
      <w:numFmt w:val="bullet"/>
      <w:lvlText w:val="•"/>
      <w:lvlJc w:val="left"/>
      <w:pPr>
        <w:ind w:left="8384" w:hanging="420"/>
      </w:pPr>
      <w:rPr>
        <w:rFonts w:hint="default"/>
        <w:lang w:val="en-US" w:eastAsia="en-US" w:bidi="en-US"/>
      </w:rPr>
    </w:lvl>
    <w:lvl w:ilvl="8" w:tentative="0">
      <w:start w:val="0"/>
      <w:numFmt w:val="bullet"/>
      <w:lvlText w:val="•"/>
      <w:lvlJc w:val="left"/>
      <w:pPr>
        <w:ind w:left="8978" w:hanging="420"/>
      </w:pPr>
      <w:rPr>
        <w:rFonts w:hint="default"/>
        <w:lang w:val="en-US" w:eastAsia="en-US" w:bidi="en-US"/>
      </w:rPr>
    </w:lvl>
  </w:abstractNum>
  <w:abstractNum w:abstractNumId="206">
    <w:nsid w:val="74C28B35"/>
    <w:multiLevelType w:val="multilevel"/>
    <w:tmpl w:val="74C28B35"/>
    <w:lvl w:ilvl="0" w:tentative="0">
      <w:start w:val="1"/>
      <w:numFmt w:val="decimal"/>
      <w:lvlText w:val="%1"/>
      <w:lvlJc w:val="left"/>
      <w:pPr>
        <w:ind w:left="21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214" w:hanging="416"/>
      </w:pPr>
      <w:rPr>
        <w:rFonts w:hint="default"/>
        <w:lang w:val="en-US" w:eastAsia="en-US" w:bidi="en-US"/>
      </w:rPr>
    </w:lvl>
    <w:lvl w:ilvl="2" w:tentative="0">
      <w:start w:val="0"/>
      <w:numFmt w:val="bullet"/>
      <w:lvlText w:val="•"/>
      <w:lvlJc w:val="left"/>
      <w:pPr>
        <w:ind w:left="2209" w:hanging="416"/>
      </w:pPr>
      <w:rPr>
        <w:rFonts w:hint="default"/>
        <w:lang w:val="en-US" w:eastAsia="en-US" w:bidi="en-US"/>
      </w:rPr>
    </w:lvl>
    <w:lvl w:ilvl="3" w:tentative="0">
      <w:start w:val="0"/>
      <w:numFmt w:val="bullet"/>
      <w:lvlText w:val="•"/>
      <w:lvlJc w:val="left"/>
      <w:pPr>
        <w:ind w:left="3203" w:hanging="416"/>
      </w:pPr>
      <w:rPr>
        <w:rFonts w:hint="default"/>
        <w:lang w:val="en-US" w:eastAsia="en-US" w:bidi="en-US"/>
      </w:rPr>
    </w:lvl>
    <w:lvl w:ilvl="4" w:tentative="0">
      <w:start w:val="0"/>
      <w:numFmt w:val="bullet"/>
      <w:lvlText w:val="•"/>
      <w:lvlJc w:val="left"/>
      <w:pPr>
        <w:ind w:left="4198" w:hanging="416"/>
      </w:pPr>
      <w:rPr>
        <w:rFonts w:hint="default"/>
        <w:lang w:val="en-US" w:eastAsia="en-US" w:bidi="en-US"/>
      </w:rPr>
    </w:lvl>
    <w:lvl w:ilvl="5" w:tentative="0">
      <w:start w:val="0"/>
      <w:numFmt w:val="bullet"/>
      <w:lvlText w:val="•"/>
      <w:lvlJc w:val="left"/>
      <w:pPr>
        <w:ind w:left="5193" w:hanging="416"/>
      </w:pPr>
      <w:rPr>
        <w:rFonts w:hint="default"/>
        <w:lang w:val="en-US" w:eastAsia="en-US" w:bidi="en-US"/>
      </w:rPr>
    </w:lvl>
    <w:lvl w:ilvl="6" w:tentative="0">
      <w:start w:val="0"/>
      <w:numFmt w:val="bullet"/>
      <w:lvlText w:val="•"/>
      <w:lvlJc w:val="left"/>
      <w:pPr>
        <w:ind w:left="6187" w:hanging="416"/>
      </w:pPr>
      <w:rPr>
        <w:rFonts w:hint="default"/>
        <w:lang w:val="en-US" w:eastAsia="en-US" w:bidi="en-US"/>
      </w:rPr>
    </w:lvl>
    <w:lvl w:ilvl="7" w:tentative="0">
      <w:start w:val="0"/>
      <w:numFmt w:val="bullet"/>
      <w:lvlText w:val="•"/>
      <w:lvlJc w:val="left"/>
      <w:pPr>
        <w:ind w:left="7182" w:hanging="416"/>
      </w:pPr>
      <w:rPr>
        <w:rFonts w:hint="default"/>
        <w:lang w:val="en-US" w:eastAsia="en-US" w:bidi="en-US"/>
      </w:rPr>
    </w:lvl>
    <w:lvl w:ilvl="8" w:tentative="0">
      <w:start w:val="0"/>
      <w:numFmt w:val="bullet"/>
      <w:lvlText w:val="•"/>
      <w:lvlJc w:val="left"/>
      <w:pPr>
        <w:ind w:left="8176" w:hanging="416"/>
      </w:pPr>
      <w:rPr>
        <w:rFonts w:hint="default"/>
        <w:lang w:val="en-US" w:eastAsia="en-US" w:bidi="en-US"/>
      </w:rPr>
    </w:lvl>
  </w:abstractNum>
  <w:abstractNum w:abstractNumId="207">
    <w:nsid w:val="77633216"/>
    <w:multiLevelType w:val="multilevel"/>
    <w:tmpl w:val="77633216"/>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208">
    <w:nsid w:val="77ECEA79"/>
    <w:multiLevelType w:val="multilevel"/>
    <w:tmpl w:val="77ECEA79"/>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209">
    <w:nsid w:val="79AA4FA4"/>
    <w:multiLevelType w:val="multilevel"/>
    <w:tmpl w:val="79AA4FA4"/>
    <w:lvl w:ilvl="0" w:tentative="0">
      <w:start w:val="2"/>
      <w:numFmt w:val="upperRoman"/>
      <w:lvlText w:val="%1"/>
      <w:lvlJc w:val="left"/>
      <w:pPr>
        <w:ind w:left="4532" w:hanging="262"/>
        <w:jc w:val="right"/>
      </w:pPr>
      <w:rPr>
        <w:rFonts w:hint="default"/>
        <w:spacing w:val="0"/>
        <w:w w:val="99"/>
        <w:lang w:val="en-US" w:eastAsia="en-US" w:bidi="en-US"/>
      </w:rPr>
    </w:lvl>
    <w:lvl w:ilvl="1" w:tentative="0">
      <w:start w:val="0"/>
      <w:numFmt w:val="bullet"/>
      <w:lvlText w:val="•"/>
      <w:lvlJc w:val="left"/>
      <w:pPr>
        <w:ind w:left="5102" w:hanging="262"/>
      </w:pPr>
      <w:rPr>
        <w:rFonts w:hint="default"/>
        <w:lang w:val="en-US" w:eastAsia="en-US" w:bidi="en-US"/>
      </w:rPr>
    </w:lvl>
    <w:lvl w:ilvl="2" w:tentative="0">
      <w:start w:val="0"/>
      <w:numFmt w:val="bullet"/>
      <w:lvlText w:val="•"/>
      <w:lvlJc w:val="left"/>
      <w:pPr>
        <w:ind w:left="5665" w:hanging="262"/>
      </w:pPr>
      <w:rPr>
        <w:rFonts w:hint="default"/>
        <w:lang w:val="en-US" w:eastAsia="en-US" w:bidi="en-US"/>
      </w:rPr>
    </w:lvl>
    <w:lvl w:ilvl="3" w:tentative="0">
      <w:start w:val="0"/>
      <w:numFmt w:val="bullet"/>
      <w:lvlText w:val="•"/>
      <w:lvlJc w:val="left"/>
      <w:pPr>
        <w:ind w:left="6227" w:hanging="262"/>
      </w:pPr>
      <w:rPr>
        <w:rFonts w:hint="default"/>
        <w:lang w:val="en-US" w:eastAsia="en-US" w:bidi="en-US"/>
      </w:rPr>
    </w:lvl>
    <w:lvl w:ilvl="4" w:tentative="0">
      <w:start w:val="0"/>
      <w:numFmt w:val="bullet"/>
      <w:lvlText w:val="•"/>
      <w:lvlJc w:val="left"/>
      <w:pPr>
        <w:ind w:left="6790" w:hanging="262"/>
      </w:pPr>
      <w:rPr>
        <w:rFonts w:hint="default"/>
        <w:lang w:val="en-US" w:eastAsia="en-US" w:bidi="en-US"/>
      </w:rPr>
    </w:lvl>
    <w:lvl w:ilvl="5" w:tentative="0">
      <w:start w:val="0"/>
      <w:numFmt w:val="bullet"/>
      <w:lvlText w:val="•"/>
      <w:lvlJc w:val="left"/>
      <w:pPr>
        <w:ind w:left="7353" w:hanging="262"/>
      </w:pPr>
      <w:rPr>
        <w:rFonts w:hint="default"/>
        <w:lang w:val="en-US" w:eastAsia="en-US" w:bidi="en-US"/>
      </w:rPr>
    </w:lvl>
    <w:lvl w:ilvl="6" w:tentative="0">
      <w:start w:val="0"/>
      <w:numFmt w:val="bullet"/>
      <w:lvlText w:val="•"/>
      <w:lvlJc w:val="left"/>
      <w:pPr>
        <w:ind w:left="7915" w:hanging="262"/>
      </w:pPr>
      <w:rPr>
        <w:rFonts w:hint="default"/>
        <w:lang w:val="en-US" w:eastAsia="en-US" w:bidi="en-US"/>
      </w:rPr>
    </w:lvl>
    <w:lvl w:ilvl="7" w:tentative="0">
      <w:start w:val="0"/>
      <w:numFmt w:val="bullet"/>
      <w:lvlText w:val="•"/>
      <w:lvlJc w:val="left"/>
      <w:pPr>
        <w:ind w:left="8478" w:hanging="262"/>
      </w:pPr>
      <w:rPr>
        <w:rFonts w:hint="default"/>
        <w:lang w:val="en-US" w:eastAsia="en-US" w:bidi="en-US"/>
      </w:rPr>
    </w:lvl>
    <w:lvl w:ilvl="8" w:tentative="0">
      <w:start w:val="0"/>
      <w:numFmt w:val="bullet"/>
      <w:lvlText w:val="•"/>
      <w:lvlJc w:val="left"/>
      <w:pPr>
        <w:ind w:left="9040" w:hanging="262"/>
      </w:pPr>
      <w:rPr>
        <w:rFonts w:hint="default"/>
        <w:lang w:val="en-US" w:eastAsia="en-US" w:bidi="en-US"/>
      </w:rPr>
    </w:lvl>
  </w:abstractNum>
  <w:abstractNum w:abstractNumId="210">
    <w:nsid w:val="7C246926"/>
    <w:multiLevelType w:val="multilevel"/>
    <w:tmpl w:val="7C246926"/>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abstractNum w:abstractNumId="211">
    <w:nsid w:val="7DEC2089"/>
    <w:multiLevelType w:val="multilevel"/>
    <w:tmpl w:val="7DEC2089"/>
    <w:lvl w:ilvl="0" w:tentative="0">
      <w:start w:val="1"/>
      <w:numFmt w:val="decimal"/>
      <w:lvlText w:val="%1"/>
      <w:lvlJc w:val="left"/>
      <w:pPr>
        <w:ind w:left="1052" w:hanging="416"/>
        <w:jc w:val="left"/>
      </w:pPr>
      <w:rPr>
        <w:rFonts w:hint="default" w:ascii="宋体" w:hAnsi="宋体" w:eastAsia="宋体" w:cs="宋体"/>
        <w:b/>
        <w:bCs/>
        <w:w w:val="98"/>
        <w:sz w:val="21"/>
        <w:szCs w:val="21"/>
        <w:lang w:val="en-US" w:eastAsia="en-US" w:bidi="en-US"/>
      </w:rPr>
    </w:lvl>
    <w:lvl w:ilvl="1" w:tentative="0">
      <w:start w:val="0"/>
      <w:numFmt w:val="bullet"/>
      <w:lvlText w:val="•"/>
      <w:lvlJc w:val="left"/>
      <w:pPr>
        <w:ind w:left="1970" w:hanging="416"/>
      </w:pPr>
      <w:rPr>
        <w:rFonts w:hint="default"/>
        <w:lang w:val="en-US" w:eastAsia="en-US" w:bidi="en-US"/>
      </w:rPr>
    </w:lvl>
    <w:lvl w:ilvl="2" w:tentative="0">
      <w:start w:val="0"/>
      <w:numFmt w:val="bullet"/>
      <w:lvlText w:val="•"/>
      <w:lvlJc w:val="left"/>
      <w:pPr>
        <w:ind w:left="2881" w:hanging="416"/>
      </w:pPr>
      <w:rPr>
        <w:rFonts w:hint="default"/>
        <w:lang w:val="en-US" w:eastAsia="en-US" w:bidi="en-US"/>
      </w:rPr>
    </w:lvl>
    <w:lvl w:ilvl="3" w:tentative="0">
      <w:start w:val="0"/>
      <w:numFmt w:val="bullet"/>
      <w:lvlText w:val="•"/>
      <w:lvlJc w:val="left"/>
      <w:pPr>
        <w:ind w:left="3791" w:hanging="416"/>
      </w:pPr>
      <w:rPr>
        <w:rFonts w:hint="default"/>
        <w:lang w:val="en-US" w:eastAsia="en-US" w:bidi="en-US"/>
      </w:rPr>
    </w:lvl>
    <w:lvl w:ilvl="4" w:tentative="0">
      <w:start w:val="0"/>
      <w:numFmt w:val="bullet"/>
      <w:lvlText w:val="•"/>
      <w:lvlJc w:val="left"/>
      <w:pPr>
        <w:ind w:left="4702" w:hanging="416"/>
      </w:pPr>
      <w:rPr>
        <w:rFonts w:hint="default"/>
        <w:lang w:val="en-US" w:eastAsia="en-US" w:bidi="en-US"/>
      </w:rPr>
    </w:lvl>
    <w:lvl w:ilvl="5" w:tentative="0">
      <w:start w:val="0"/>
      <w:numFmt w:val="bullet"/>
      <w:lvlText w:val="•"/>
      <w:lvlJc w:val="left"/>
      <w:pPr>
        <w:ind w:left="5613" w:hanging="416"/>
      </w:pPr>
      <w:rPr>
        <w:rFonts w:hint="default"/>
        <w:lang w:val="en-US" w:eastAsia="en-US" w:bidi="en-US"/>
      </w:rPr>
    </w:lvl>
    <w:lvl w:ilvl="6" w:tentative="0">
      <w:start w:val="0"/>
      <w:numFmt w:val="bullet"/>
      <w:lvlText w:val="•"/>
      <w:lvlJc w:val="left"/>
      <w:pPr>
        <w:ind w:left="6523" w:hanging="416"/>
      </w:pPr>
      <w:rPr>
        <w:rFonts w:hint="default"/>
        <w:lang w:val="en-US" w:eastAsia="en-US" w:bidi="en-US"/>
      </w:rPr>
    </w:lvl>
    <w:lvl w:ilvl="7" w:tentative="0">
      <w:start w:val="0"/>
      <w:numFmt w:val="bullet"/>
      <w:lvlText w:val="•"/>
      <w:lvlJc w:val="left"/>
      <w:pPr>
        <w:ind w:left="7434" w:hanging="416"/>
      </w:pPr>
      <w:rPr>
        <w:rFonts w:hint="default"/>
        <w:lang w:val="en-US" w:eastAsia="en-US" w:bidi="en-US"/>
      </w:rPr>
    </w:lvl>
    <w:lvl w:ilvl="8" w:tentative="0">
      <w:start w:val="0"/>
      <w:numFmt w:val="bullet"/>
      <w:lvlText w:val="•"/>
      <w:lvlJc w:val="left"/>
      <w:pPr>
        <w:ind w:left="8344" w:hanging="416"/>
      </w:pPr>
      <w:rPr>
        <w:rFonts w:hint="default"/>
        <w:lang w:val="en-US" w:eastAsia="en-US" w:bidi="en-US"/>
      </w:rPr>
    </w:lvl>
  </w:abstractNum>
  <w:num w:numId="1">
    <w:abstractNumId w:val="100"/>
  </w:num>
  <w:num w:numId="2">
    <w:abstractNumId w:val="66"/>
  </w:num>
  <w:num w:numId="3">
    <w:abstractNumId w:val="182"/>
  </w:num>
  <w:num w:numId="4">
    <w:abstractNumId w:val="56"/>
  </w:num>
  <w:num w:numId="5">
    <w:abstractNumId w:val="45"/>
  </w:num>
  <w:num w:numId="6">
    <w:abstractNumId w:val="107"/>
  </w:num>
  <w:num w:numId="7">
    <w:abstractNumId w:val="139"/>
  </w:num>
  <w:num w:numId="8">
    <w:abstractNumId w:val="203"/>
  </w:num>
  <w:num w:numId="9">
    <w:abstractNumId w:val="103"/>
  </w:num>
  <w:num w:numId="10">
    <w:abstractNumId w:val="11"/>
  </w:num>
  <w:num w:numId="11">
    <w:abstractNumId w:val="142"/>
  </w:num>
  <w:num w:numId="12">
    <w:abstractNumId w:val="184"/>
  </w:num>
  <w:num w:numId="13">
    <w:abstractNumId w:val="61"/>
  </w:num>
  <w:num w:numId="14">
    <w:abstractNumId w:val="171"/>
  </w:num>
  <w:num w:numId="15">
    <w:abstractNumId w:val="92"/>
  </w:num>
  <w:num w:numId="16">
    <w:abstractNumId w:val="136"/>
  </w:num>
  <w:num w:numId="17">
    <w:abstractNumId w:val="74"/>
  </w:num>
  <w:num w:numId="18">
    <w:abstractNumId w:val="71"/>
  </w:num>
  <w:num w:numId="19">
    <w:abstractNumId w:val="22"/>
  </w:num>
  <w:num w:numId="20">
    <w:abstractNumId w:val="168"/>
  </w:num>
  <w:num w:numId="21">
    <w:abstractNumId w:val="189"/>
  </w:num>
  <w:num w:numId="22">
    <w:abstractNumId w:val="114"/>
  </w:num>
  <w:num w:numId="23">
    <w:abstractNumId w:val="165"/>
  </w:num>
  <w:num w:numId="24">
    <w:abstractNumId w:val="37"/>
  </w:num>
  <w:num w:numId="25">
    <w:abstractNumId w:val="210"/>
  </w:num>
  <w:num w:numId="26">
    <w:abstractNumId w:val="208"/>
  </w:num>
  <w:num w:numId="27">
    <w:abstractNumId w:val="55"/>
  </w:num>
  <w:num w:numId="28">
    <w:abstractNumId w:val="191"/>
  </w:num>
  <w:num w:numId="29">
    <w:abstractNumId w:val="12"/>
  </w:num>
  <w:num w:numId="30">
    <w:abstractNumId w:val="155"/>
  </w:num>
  <w:num w:numId="31">
    <w:abstractNumId w:val="4"/>
  </w:num>
  <w:num w:numId="32">
    <w:abstractNumId w:val="180"/>
  </w:num>
  <w:num w:numId="33">
    <w:abstractNumId w:val="211"/>
  </w:num>
  <w:num w:numId="34">
    <w:abstractNumId w:val="1"/>
  </w:num>
  <w:num w:numId="35">
    <w:abstractNumId w:val="135"/>
  </w:num>
  <w:num w:numId="36">
    <w:abstractNumId w:val="173"/>
  </w:num>
  <w:num w:numId="37">
    <w:abstractNumId w:val="95"/>
  </w:num>
  <w:num w:numId="38">
    <w:abstractNumId w:val="76"/>
  </w:num>
  <w:num w:numId="39">
    <w:abstractNumId w:val="146"/>
  </w:num>
  <w:num w:numId="40">
    <w:abstractNumId w:val="209"/>
  </w:num>
  <w:num w:numId="41">
    <w:abstractNumId w:val="50"/>
  </w:num>
  <w:num w:numId="42">
    <w:abstractNumId w:val="9"/>
  </w:num>
  <w:num w:numId="43">
    <w:abstractNumId w:val="47"/>
  </w:num>
  <w:num w:numId="44">
    <w:abstractNumId w:val="186"/>
  </w:num>
  <w:num w:numId="45">
    <w:abstractNumId w:val="3"/>
  </w:num>
  <w:num w:numId="46">
    <w:abstractNumId w:val="125"/>
  </w:num>
  <w:num w:numId="47">
    <w:abstractNumId w:val="8"/>
  </w:num>
  <w:num w:numId="48">
    <w:abstractNumId w:val="188"/>
  </w:num>
  <w:num w:numId="49">
    <w:abstractNumId w:val="206"/>
  </w:num>
  <w:num w:numId="50">
    <w:abstractNumId w:val="169"/>
  </w:num>
  <w:num w:numId="51">
    <w:abstractNumId w:val="147"/>
  </w:num>
  <w:num w:numId="52">
    <w:abstractNumId w:val="196"/>
  </w:num>
  <w:num w:numId="53">
    <w:abstractNumId w:val="108"/>
  </w:num>
  <w:num w:numId="54">
    <w:abstractNumId w:val="112"/>
  </w:num>
  <w:num w:numId="55">
    <w:abstractNumId w:val="70"/>
  </w:num>
  <w:num w:numId="56">
    <w:abstractNumId w:val="149"/>
  </w:num>
  <w:num w:numId="57">
    <w:abstractNumId w:val="130"/>
  </w:num>
  <w:num w:numId="58">
    <w:abstractNumId w:val="84"/>
  </w:num>
  <w:num w:numId="59">
    <w:abstractNumId w:val="134"/>
  </w:num>
  <w:num w:numId="60">
    <w:abstractNumId w:val="42"/>
  </w:num>
  <w:num w:numId="61">
    <w:abstractNumId w:val="161"/>
  </w:num>
  <w:num w:numId="62">
    <w:abstractNumId w:val="116"/>
  </w:num>
  <w:num w:numId="63">
    <w:abstractNumId w:val="151"/>
  </w:num>
  <w:num w:numId="64">
    <w:abstractNumId w:val="105"/>
  </w:num>
  <w:num w:numId="65">
    <w:abstractNumId w:val="59"/>
  </w:num>
  <w:num w:numId="66">
    <w:abstractNumId w:val="119"/>
  </w:num>
  <w:num w:numId="67">
    <w:abstractNumId w:val="40"/>
  </w:num>
  <w:num w:numId="68">
    <w:abstractNumId w:val="157"/>
  </w:num>
  <w:num w:numId="69">
    <w:abstractNumId w:val="29"/>
  </w:num>
  <w:num w:numId="70">
    <w:abstractNumId w:val="94"/>
  </w:num>
  <w:num w:numId="71">
    <w:abstractNumId w:val="145"/>
  </w:num>
  <w:num w:numId="72">
    <w:abstractNumId w:val="99"/>
  </w:num>
  <w:num w:numId="73">
    <w:abstractNumId w:val="123"/>
  </w:num>
  <w:num w:numId="74">
    <w:abstractNumId w:val="201"/>
  </w:num>
  <w:num w:numId="75">
    <w:abstractNumId w:val="78"/>
  </w:num>
  <w:num w:numId="76">
    <w:abstractNumId w:val="60"/>
  </w:num>
  <w:num w:numId="77">
    <w:abstractNumId w:val="28"/>
  </w:num>
  <w:num w:numId="78">
    <w:abstractNumId w:val="207"/>
  </w:num>
  <w:num w:numId="79">
    <w:abstractNumId w:val="72"/>
  </w:num>
  <w:num w:numId="80">
    <w:abstractNumId w:val="46"/>
  </w:num>
  <w:num w:numId="81">
    <w:abstractNumId w:val="144"/>
  </w:num>
  <w:num w:numId="82">
    <w:abstractNumId w:val="80"/>
  </w:num>
  <w:num w:numId="83">
    <w:abstractNumId w:val="18"/>
  </w:num>
  <w:num w:numId="84">
    <w:abstractNumId w:val="183"/>
  </w:num>
  <w:num w:numId="85">
    <w:abstractNumId w:val="53"/>
  </w:num>
  <w:num w:numId="86">
    <w:abstractNumId w:val="36"/>
  </w:num>
  <w:num w:numId="87">
    <w:abstractNumId w:val="14"/>
  </w:num>
  <w:num w:numId="88">
    <w:abstractNumId w:val="23"/>
  </w:num>
  <w:num w:numId="89">
    <w:abstractNumId w:val="33"/>
  </w:num>
  <w:num w:numId="90">
    <w:abstractNumId w:val="10"/>
  </w:num>
  <w:num w:numId="91">
    <w:abstractNumId w:val="128"/>
  </w:num>
  <w:num w:numId="92">
    <w:abstractNumId w:val="54"/>
  </w:num>
  <w:num w:numId="93">
    <w:abstractNumId w:val="121"/>
  </w:num>
  <w:num w:numId="94">
    <w:abstractNumId w:val="67"/>
  </w:num>
  <w:num w:numId="95">
    <w:abstractNumId w:val="197"/>
  </w:num>
  <w:num w:numId="96">
    <w:abstractNumId w:val="0"/>
  </w:num>
  <w:num w:numId="97">
    <w:abstractNumId w:val="52"/>
  </w:num>
  <w:num w:numId="98">
    <w:abstractNumId w:val="93"/>
  </w:num>
  <w:num w:numId="99">
    <w:abstractNumId w:val="170"/>
  </w:num>
  <w:num w:numId="100">
    <w:abstractNumId w:val="117"/>
  </w:num>
  <w:num w:numId="101">
    <w:abstractNumId w:val="20"/>
  </w:num>
  <w:num w:numId="102">
    <w:abstractNumId w:val="75"/>
  </w:num>
  <w:num w:numId="103">
    <w:abstractNumId w:val="126"/>
  </w:num>
  <w:num w:numId="104">
    <w:abstractNumId w:val="166"/>
  </w:num>
  <w:num w:numId="105">
    <w:abstractNumId w:val="32"/>
  </w:num>
  <w:num w:numId="106">
    <w:abstractNumId w:val="190"/>
  </w:num>
  <w:num w:numId="107">
    <w:abstractNumId w:val="2"/>
  </w:num>
  <w:num w:numId="108">
    <w:abstractNumId w:val="7"/>
  </w:num>
  <w:num w:numId="109">
    <w:abstractNumId w:val="101"/>
  </w:num>
  <w:num w:numId="110">
    <w:abstractNumId w:val="27"/>
  </w:num>
  <w:num w:numId="111">
    <w:abstractNumId w:val="57"/>
  </w:num>
  <w:num w:numId="112">
    <w:abstractNumId w:val="62"/>
  </w:num>
  <w:num w:numId="113">
    <w:abstractNumId w:val="91"/>
  </w:num>
  <w:num w:numId="114">
    <w:abstractNumId w:val="187"/>
  </w:num>
  <w:num w:numId="115">
    <w:abstractNumId w:val="89"/>
  </w:num>
  <w:num w:numId="116">
    <w:abstractNumId w:val="179"/>
  </w:num>
  <w:num w:numId="117">
    <w:abstractNumId w:val="132"/>
  </w:num>
  <w:num w:numId="118">
    <w:abstractNumId w:val="17"/>
  </w:num>
  <w:num w:numId="119">
    <w:abstractNumId w:val="106"/>
  </w:num>
  <w:num w:numId="120">
    <w:abstractNumId w:val="26"/>
  </w:num>
  <w:num w:numId="121">
    <w:abstractNumId w:val="143"/>
  </w:num>
  <w:num w:numId="122">
    <w:abstractNumId w:val="178"/>
  </w:num>
  <w:num w:numId="123">
    <w:abstractNumId w:val="65"/>
  </w:num>
  <w:num w:numId="124">
    <w:abstractNumId w:val="21"/>
  </w:num>
  <w:num w:numId="125">
    <w:abstractNumId w:val="137"/>
  </w:num>
  <w:num w:numId="126">
    <w:abstractNumId w:val="162"/>
  </w:num>
  <w:num w:numId="127">
    <w:abstractNumId w:val="118"/>
  </w:num>
  <w:num w:numId="128">
    <w:abstractNumId w:val="172"/>
  </w:num>
  <w:num w:numId="129">
    <w:abstractNumId w:val="177"/>
  </w:num>
  <w:num w:numId="130">
    <w:abstractNumId w:val="133"/>
  </w:num>
  <w:num w:numId="131">
    <w:abstractNumId w:val="79"/>
  </w:num>
  <w:num w:numId="132">
    <w:abstractNumId w:val="24"/>
  </w:num>
  <w:num w:numId="133">
    <w:abstractNumId w:val="156"/>
  </w:num>
  <w:num w:numId="134">
    <w:abstractNumId w:val="159"/>
  </w:num>
  <w:num w:numId="135">
    <w:abstractNumId w:val="113"/>
  </w:num>
  <w:num w:numId="136">
    <w:abstractNumId w:val="200"/>
  </w:num>
  <w:num w:numId="137">
    <w:abstractNumId w:val="77"/>
  </w:num>
  <w:num w:numId="138">
    <w:abstractNumId w:val="131"/>
  </w:num>
  <w:num w:numId="139">
    <w:abstractNumId w:val="110"/>
  </w:num>
  <w:num w:numId="140">
    <w:abstractNumId w:val="82"/>
  </w:num>
  <w:num w:numId="141">
    <w:abstractNumId w:val="86"/>
  </w:num>
  <w:num w:numId="142">
    <w:abstractNumId w:val="69"/>
  </w:num>
  <w:num w:numId="143">
    <w:abstractNumId w:val="163"/>
  </w:num>
  <w:num w:numId="144">
    <w:abstractNumId w:val="90"/>
  </w:num>
  <w:num w:numId="145">
    <w:abstractNumId w:val="16"/>
  </w:num>
  <w:num w:numId="146">
    <w:abstractNumId w:val="85"/>
  </w:num>
  <w:num w:numId="147">
    <w:abstractNumId w:val="102"/>
  </w:num>
  <w:num w:numId="148">
    <w:abstractNumId w:val="63"/>
  </w:num>
  <w:num w:numId="149">
    <w:abstractNumId w:val="154"/>
  </w:num>
  <w:num w:numId="150">
    <w:abstractNumId w:val="198"/>
  </w:num>
  <w:num w:numId="151">
    <w:abstractNumId w:val="73"/>
  </w:num>
  <w:num w:numId="152">
    <w:abstractNumId w:val="31"/>
  </w:num>
  <w:num w:numId="153">
    <w:abstractNumId w:val="6"/>
  </w:num>
  <w:num w:numId="154">
    <w:abstractNumId w:val="35"/>
  </w:num>
  <w:num w:numId="155">
    <w:abstractNumId w:val="109"/>
  </w:num>
  <w:num w:numId="156">
    <w:abstractNumId w:val="41"/>
  </w:num>
  <w:num w:numId="157">
    <w:abstractNumId w:val="87"/>
  </w:num>
  <w:num w:numId="158">
    <w:abstractNumId w:val="138"/>
  </w:num>
  <w:num w:numId="159">
    <w:abstractNumId w:val="167"/>
  </w:num>
  <w:num w:numId="160">
    <w:abstractNumId w:val="39"/>
  </w:num>
  <w:num w:numId="161">
    <w:abstractNumId w:val="158"/>
  </w:num>
  <w:num w:numId="162">
    <w:abstractNumId w:val="127"/>
  </w:num>
  <w:num w:numId="163">
    <w:abstractNumId w:val="122"/>
  </w:num>
  <w:num w:numId="164">
    <w:abstractNumId w:val="96"/>
  </w:num>
  <w:num w:numId="165">
    <w:abstractNumId w:val="152"/>
  </w:num>
  <w:num w:numId="166">
    <w:abstractNumId w:val="58"/>
  </w:num>
  <w:num w:numId="167">
    <w:abstractNumId w:val="176"/>
  </w:num>
  <w:num w:numId="168">
    <w:abstractNumId w:val="160"/>
  </w:num>
  <w:num w:numId="169">
    <w:abstractNumId w:val="141"/>
  </w:num>
  <w:num w:numId="170">
    <w:abstractNumId w:val="83"/>
  </w:num>
  <w:num w:numId="171">
    <w:abstractNumId w:val="30"/>
  </w:num>
  <w:num w:numId="172">
    <w:abstractNumId w:val="205"/>
  </w:num>
  <w:num w:numId="173">
    <w:abstractNumId w:val="140"/>
  </w:num>
  <w:num w:numId="174">
    <w:abstractNumId w:val="199"/>
  </w:num>
  <w:num w:numId="175">
    <w:abstractNumId w:val="15"/>
  </w:num>
  <w:num w:numId="176">
    <w:abstractNumId w:val="195"/>
  </w:num>
  <w:num w:numId="177">
    <w:abstractNumId w:val="64"/>
  </w:num>
  <w:num w:numId="178">
    <w:abstractNumId w:val="192"/>
  </w:num>
  <w:num w:numId="179">
    <w:abstractNumId w:val="148"/>
  </w:num>
  <w:num w:numId="180">
    <w:abstractNumId w:val="204"/>
  </w:num>
  <w:num w:numId="181">
    <w:abstractNumId w:val="202"/>
  </w:num>
  <w:num w:numId="182">
    <w:abstractNumId w:val="68"/>
  </w:num>
  <w:num w:numId="183">
    <w:abstractNumId w:val="88"/>
  </w:num>
  <w:num w:numId="184">
    <w:abstractNumId w:val="98"/>
  </w:num>
  <w:num w:numId="185">
    <w:abstractNumId w:val="13"/>
  </w:num>
  <w:num w:numId="186">
    <w:abstractNumId w:val="43"/>
  </w:num>
  <w:num w:numId="187">
    <w:abstractNumId w:val="164"/>
  </w:num>
  <w:num w:numId="188">
    <w:abstractNumId w:val="44"/>
  </w:num>
  <w:num w:numId="189">
    <w:abstractNumId w:val="193"/>
  </w:num>
  <w:num w:numId="190">
    <w:abstractNumId w:val="175"/>
  </w:num>
  <w:num w:numId="191">
    <w:abstractNumId w:val="185"/>
  </w:num>
  <w:num w:numId="192">
    <w:abstractNumId w:val="51"/>
  </w:num>
  <w:num w:numId="193">
    <w:abstractNumId w:val="150"/>
  </w:num>
  <w:num w:numId="194">
    <w:abstractNumId w:val="81"/>
  </w:num>
  <w:num w:numId="195">
    <w:abstractNumId w:val="129"/>
  </w:num>
  <w:num w:numId="196">
    <w:abstractNumId w:val="5"/>
  </w:num>
  <w:num w:numId="197">
    <w:abstractNumId w:val="34"/>
  </w:num>
  <w:num w:numId="198">
    <w:abstractNumId w:val="120"/>
  </w:num>
  <w:num w:numId="199">
    <w:abstractNumId w:val="174"/>
  </w:num>
  <w:num w:numId="200">
    <w:abstractNumId w:val="194"/>
  </w:num>
  <w:num w:numId="201">
    <w:abstractNumId w:val="48"/>
  </w:num>
  <w:num w:numId="202">
    <w:abstractNumId w:val="25"/>
  </w:num>
  <w:num w:numId="203">
    <w:abstractNumId w:val="124"/>
  </w:num>
  <w:num w:numId="204">
    <w:abstractNumId w:val="97"/>
  </w:num>
  <w:num w:numId="205">
    <w:abstractNumId w:val="49"/>
  </w:num>
  <w:num w:numId="206">
    <w:abstractNumId w:val="38"/>
  </w:num>
  <w:num w:numId="207">
    <w:abstractNumId w:val="111"/>
  </w:num>
  <w:num w:numId="208">
    <w:abstractNumId w:val="115"/>
  </w:num>
  <w:num w:numId="209">
    <w:abstractNumId w:val="153"/>
  </w:num>
  <w:num w:numId="210">
    <w:abstractNumId w:val="104"/>
  </w:num>
  <w:num w:numId="211">
    <w:abstractNumId w:val="19"/>
  </w:num>
  <w:num w:numId="212">
    <w:abstractNumId w:val="1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38D09F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en-US"/>
    </w:rPr>
  </w:style>
  <w:style w:type="paragraph" w:styleId="2">
    <w:name w:val="heading 1"/>
    <w:basedOn w:val="1"/>
    <w:next w:val="1"/>
    <w:qFormat/>
    <w:uiPriority w:val="1"/>
    <w:pPr>
      <w:spacing w:before="68"/>
      <w:ind w:left="4600" w:hanging="420"/>
      <w:outlineLvl w:val="1"/>
    </w:pPr>
    <w:rPr>
      <w:rFonts w:ascii="宋体" w:hAnsi="宋体" w:eastAsia="宋体" w:cs="宋体"/>
      <w:b/>
      <w:bCs/>
      <w:sz w:val="32"/>
      <w:szCs w:val="32"/>
      <w:lang w:val="en-US" w:eastAsia="en-US" w:bidi="en-US"/>
    </w:rPr>
  </w:style>
  <w:style w:type="paragraph" w:styleId="3">
    <w:name w:val="heading 2"/>
    <w:basedOn w:val="1"/>
    <w:next w:val="1"/>
    <w:qFormat/>
    <w:uiPriority w:val="1"/>
    <w:pPr>
      <w:ind w:right="96"/>
      <w:jc w:val="center"/>
      <w:outlineLvl w:val="2"/>
    </w:pPr>
    <w:rPr>
      <w:rFonts w:ascii="宋体" w:hAnsi="宋体" w:eastAsia="宋体" w:cs="宋体"/>
      <w:b/>
      <w:bCs/>
      <w:sz w:val="30"/>
      <w:szCs w:val="30"/>
      <w:lang w:val="en-US" w:eastAsia="en-US" w:bidi="en-US"/>
    </w:rPr>
  </w:style>
  <w:style w:type="paragraph" w:styleId="4">
    <w:name w:val="heading 3"/>
    <w:basedOn w:val="1"/>
    <w:next w:val="1"/>
    <w:qFormat/>
    <w:uiPriority w:val="1"/>
    <w:pPr>
      <w:spacing w:before="93"/>
      <w:ind w:right="99"/>
      <w:jc w:val="center"/>
      <w:outlineLvl w:val="3"/>
    </w:pPr>
    <w:rPr>
      <w:rFonts w:ascii="宋体" w:hAnsi="宋体" w:eastAsia="宋体" w:cs="宋体"/>
      <w:b/>
      <w:bCs/>
      <w:sz w:val="28"/>
      <w:szCs w:val="28"/>
      <w:lang w:val="en-US" w:eastAsia="en-US" w:bidi="en-US"/>
    </w:rPr>
  </w:style>
  <w:style w:type="character" w:default="1" w:styleId="10">
    <w:name w:val="Default Paragraph Font"/>
    <w:semiHidden/>
    <w:unhideWhenUsed/>
    <w:uiPriority w:val="1"/>
  </w:style>
  <w:style w:type="table" w:default="1" w:styleId="9">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1"/>
      <w:szCs w:val="21"/>
      <w:lang w:val="en-US" w:eastAsia="en-US" w:bidi="en-US"/>
    </w:rPr>
  </w:style>
  <w:style w:type="paragraph" w:styleId="6">
    <w:name w:val="toc 3"/>
    <w:basedOn w:val="1"/>
    <w:next w:val="1"/>
    <w:qFormat/>
    <w:uiPriority w:val="1"/>
    <w:pPr>
      <w:spacing w:before="56"/>
      <w:ind w:left="1052" w:hanging="629"/>
    </w:pPr>
    <w:rPr>
      <w:rFonts w:ascii="黑体" w:hAnsi="黑体" w:eastAsia="黑体" w:cs="黑体"/>
      <w:sz w:val="20"/>
      <w:szCs w:val="20"/>
      <w:lang w:val="en-US" w:eastAsia="en-US" w:bidi="en-US"/>
    </w:rPr>
  </w:style>
  <w:style w:type="paragraph" w:styleId="7">
    <w:name w:val="toc 1"/>
    <w:basedOn w:val="1"/>
    <w:next w:val="1"/>
    <w:qFormat/>
    <w:uiPriority w:val="1"/>
    <w:pPr>
      <w:spacing w:before="176"/>
      <w:ind w:left="632" w:right="322" w:hanging="633"/>
      <w:jc w:val="right"/>
    </w:pPr>
    <w:rPr>
      <w:rFonts w:ascii="宋体" w:hAnsi="宋体" w:eastAsia="宋体" w:cs="宋体"/>
      <w:b/>
      <w:bCs/>
      <w:sz w:val="20"/>
      <w:szCs w:val="20"/>
      <w:lang w:val="en-US" w:eastAsia="en-US" w:bidi="en-US"/>
    </w:rPr>
  </w:style>
  <w:style w:type="paragraph" w:styleId="8">
    <w:name w:val="toc 2"/>
    <w:basedOn w:val="1"/>
    <w:next w:val="1"/>
    <w:qFormat/>
    <w:uiPriority w:val="1"/>
    <w:pPr>
      <w:spacing w:before="55"/>
      <w:ind w:left="1052" w:right="322" w:hanging="1053"/>
      <w:jc w:val="right"/>
    </w:pPr>
    <w:rPr>
      <w:rFonts w:ascii="黑体" w:hAnsi="黑体" w:eastAsia="黑体" w:cs="黑体"/>
      <w:sz w:val="20"/>
      <w:szCs w:val="20"/>
      <w:lang w:val="en-US" w:eastAsia="en-US" w:bidi="en-US"/>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1052" w:hanging="416"/>
    </w:pPr>
    <w:rPr>
      <w:rFonts w:ascii="宋体" w:hAnsi="宋体" w:eastAsia="宋体" w:cs="宋体"/>
      <w:lang w:val="en-US" w:eastAsia="en-US" w:bidi="en-US"/>
    </w:rPr>
  </w:style>
  <w:style w:type="paragraph" w:customStyle="1" w:styleId="13">
    <w:name w:val="Table Paragraph"/>
    <w:basedOn w:val="1"/>
    <w:qFormat/>
    <w:uiPriority w:val="1"/>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1.xml"/><Relationship Id="rId98" Type="http://schemas.openxmlformats.org/officeDocument/2006/relationships/image" Target="media/image73.jpeg"/><Relationship Id="rId97" Type="http://schemas.openxmlformats.org/officeDocument/2006/relationships/image" Target="media/image72.jpeg"/><Relationship Id="rId96" Type="http://schemas.openxmlformats.org/officeDocument/2006/relationships/image" Target="media/image71.jpeg"/><Relationship Id="rId95" Type="http://schemas.openxmlformats.org/officeDocument/2006/relationships/image" Target="media/image70.jpeg"/><Relationship Id="rId94" Type="http://schemas.openxmlformats.org/officeDocument/2006/relationships/image" Target="media/image69.jpeg"/><Relationship Id="rId93" Type="http://schemas.openxmlformats.org/officeDocument/2006/relationships/image" Target="media/image68.jpeg"/><Relationship Id="rId92" Type="http://schemas.openxmlformats.org/officeDocument/2006/relationships/image" Target="media/image67.jpeg"/><Relationship Id="rId91" Type="http://schemas.openxmlformats.org/officeDocument/2006/relationships/image" Target="media/image66.jpeg"/><Relationship Id="rId90" Type="http://schemas.openxmlformats.org/officeDocument/2006/relationships/image" Target="media/image65.jpeg"/><Relationship Id="rId9" Type="http://schemas.openxmlformats.org/officeDocument/2006/relationships/footer" Target="footer5.xml"/><Relationship Id="rId89" Type="http://schemas.openxmlformats.org/officeDocument/2006/relationships/image" Target="media/image64.jpeg"/><Relationship Id="rId88" Type="http://schemas.openxmlformats.org/officeDocument/2006/relationships/image" Target="media/image63.jpeg"/><Relationship Id="rId87" Type="http://schemas.openxmlformats.org/officeDocument/2006/relationships/image" Target="media/image62.jpeg"/><Relationship Id="rId86" Type="http://schemas.openxmlformats.org/officeDocument/2006/relationships/image" Target="media/image61.jpeg"/><Relationship Id="rId85" Type="http://schemas.openxmlformats.org/officeDocument/2006/relationships/image" Target="media/image60.jpeg"/><Relationship Id="rId84" Type="http://schemas.openxmlformats.org/officeDocument/2006/relationships/image" Target="media/image59.jpeg"/><Relationship Id="rId83" Type="http://schemas.openxmlformats.org/officeDocument/2006/relationships/image" Target="media/image58.jpeg"/><Relationship Id="rId82" Type="http://schemas.openxmlformats.org/officeDocument/2006/relationships/image" Target="media/image57.jpeg"/><Relationship Id="rId81" Type="http://schemas.openxmlformats.org/officeDocument/2006/relationships/image" Target="media/image56.jpeg"/><Relationship Id="rId80" Type="http://schemas.openxmlformats.org/officeDocument/2006/relationships/image" Target="media/image55.jpeg"/><Relationship Id="rId8" Type="http://schemas.openxmlformats.org/officeDocument/2006/relationships/footer" Target="footer4.xml"/><Relationship Id="rId79" Type="http://schemas.openxmlformats.org/officeDocument/2006/relationships/image" Target="media/image54.jpeg"/><Relationship Id="rId78" Type="http://schemas.openxmlformats.org/officeDocument/2006/relationships/image" Target="media/image53.jpeg"/><Relationship Id="rId77" Type="http://schemas.openxmlformats.org/officeDocument/2006/relationships/image" Target="media/image52.jpeg"/><Relationship Id="rId76" Type="http://schemas.openxmlformats.org/officeDocument/2006/relationships/image" Target="media/image51.jpeg"/><Relationship Id="rId75" Type="http://schemas.openxmlformats.org/officeDocument/2006/relationships/image" Target="media/image50.jpeg"/><Relationship Id="rId74" Type="http://schemas.openxmlformats.org/officeDocument/2006/relationships/image" Target="media/image49.jpeg"/><Relationship Id="rId73" Type="http://schemas.openxmlformats.org/officeDocument/2006/relationships/image" Target="media/image48.png"/><Relationship Id="rId72" Type="http://schemas.openxmlformats.org/officeDocument/2006/relationships/image" Target="media/image47.jpeg"/><Relationship Id="rId71" Type="http://schemas.openxmlformats.org/officeDocument/2006/relationships/image" Target="media/image46.jpeg"/><Relationship Id="rId70" Type="http://schemas.openxmlformats.org/officeDocument/2006/relationships/image" Target="media/image45.jpeg"/><Relationship Id="rId7" Type="http://schemas.openxmlformats.org/officeDocument/2006/relationships/footer" Target="footer3.xml"/><Relationship Id="rId69" Type="http://schemas.openxmlformats.org/officeDocument/2006/relationships/image" Target="media/image44.jpeg"/><Relationship Id="rId68" Type="http://schemas.openxmlformats.org/officeDocument/2006/relationships/image" Target="media/image43.jpeg"/><Relationship Id="rId67" Type="http://schemas.openxmlformats.org/officeDocument/2006/relationships/image" Target="media/image42.jpeg"/><Relationship Id="rId66" Type="http://schemas.openxmlformats.org/officeDocument/2006/relationships/image" Target="media/image41.jpeg"/><Relationship Id="rId65" Type="http://schemas.openxmlformats.org/officeDocument/2006/relationships/image" Target="media/image40.jpeg"/><Relationship Id="rId64" Type="http://schemas.openxmlformats.org/officeDocument/2006/relationships/image" Target="media/image39.jpeg"/><Relationship Id="rId63" Type="http://schemas.openxmlformats.org/officeDocument/2006/relationships/image" Target="media/image38.jpeg"/><Relationship Id="rId62" Type="http://schemas.openxmlformats.org/officeDocument/2006/relationships/image" Target="media/image37.jpeg"/><Relationship Id="rId61" Type="http://schemas.openxmlformats.org/officeDocument/2006/relationships/image" Target="media/image36.jpeg"/><Relationship Id="rId60" Type="http://schemas.openxmlformats.org/officeDocument/2006/relationships/image" Target="media/image35.jpeg"/><Relationship Id="rId6" Type="http://schemas.openxmlformats.org/officeDocument/2006/relationships/footer" Target="footer2.xml"/><Relationship Id="rId59" Type="http://schemas.openxmlformats.org/officeDocument/2006/relationships/image" Target="media/image34.jpeg"/><Relationship Id="rId58" Type="http://schemas.openxmlformats.org/officeDocument/2006/relationships/image" Target="media/image33.jpeg"/><Relationship Id="rId57" Type="http://schemas.openxmlformats.org/officeDocument/2006/relationships/image" Target="media/image32.jpeg"/><Relationship Id="rId56" Type="http://schemas.openxmlformats.org/officeDocument/2006/relationships/image" Target="media/image31.jpeg"/><Relationship Id="rId55" Type="http://schemas.openxmlformats.org/officeDocument/2006/relationships/image" Target="media/image30.jpeg"/><Relationship Id="rId54" Type="http://schemas.openxmlformats.org/officeDocument/2006/relationships/image" Target="media/image29.jpeg"/><Relationship Id="rId53" Type="http://schemas.openxmlformats.org/officeDocument/2006/relationships/image" Target="media/image28.jpeg"/><Relationship Id="rId52" Type="http://schemas.openxmlformats.org/officeDocument/2006/relationships/image" Target="media/image27.jpeg"/><Relationship Id="rId51" Type="http://schemas.openxmlformats.org/officeDocument/2006/relationships/image" Target="media/image26.jpeg"/><Relationship Id="rId50" Type="http://schemas.openxmlformats.org/officeDocument/2006/relationships/image" Target="media/image25.jpeg"/><Relationship Id="rId5" Type="http://schemas.openxmlformats.org/officeDocument/2006/relationships/footer" Target="footer1.xml"/><Relationship Id="rId49" Type="http://schemas.openxmlformats.org/officeDocument/2006/relationships/image" Target="media/image24.jpeg"/><Relationship Id="rId48" Type="http://schemas.openxmlformats.org/officeDocument/2006/relationships/image" Target="media/image23.jpeg"/><Relationship Id="rId47" Type="http://schemas.openxmlformats.org/officeDocument/2006/relationships/image" Target="media/image22.jpeg"/><Relationship Id="rId46" Type="http://schemas.openxmlformats.org/officeDocument/2006/relationships/image" Target="media/image21.jpeg"/><Relationship Id="rId45" Type="http://schemas.openxmlformats.org/officeDocument/2006/relationships/image" Target="media/image20.jpeg"/><Relationship Id="rId44" Type="http://schemas.openxmlformats.org/officeDocument/2006/relationships/image" Target="media/image19.jpeg"/><Relationship Id="rId43" Type="http://schemas.openxmlformats.org/officeDocument/2006/relationships/image" Target="media/image18.jpeg"/><Relationship Id="rId42" Type="http://schemas.openxmlformats.org/officeDocument/2006/relationships/image" Target="media/image17.jpeg"/><Relationship Id="rId41" Type="http://schemas.openxmlformats.org/officeDocument/2006/relationships/image" Target="media/image16.jpeg"/><Relationship Id="rId40" Type="http://schemas.openxmlformats.org/officeDocument/2006/relationships/image" Target="media/image15.jpeg"/><Relationship Id="rId4" Type="http://schemas.openxmlformats.org/officeDocument/2006/relationships/endnotes" Target="endnotes.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jpe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footnotes" Target="footnotes.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1" Type="http://schemas.openxmlformats.org/officeDocument/2006/relationships/fontTable" Target="fontTable.xml"/><Relationship Id="rId100" Type="http://schemas.openxmlformats.org/officeDocument/2006/relationships/numbering" Target="numbering.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123</TotalTime>
  <ScaleCrop>false</ScaleCrop>
  <LinksUpToDate>false</LinksUpToDate>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2022-01-04T06:34:00Z</dcterms:created>
  <dc:creator>xie qiupeng</dc:creator>
  <cp:lastModifiedBy>甜  (^_^)v</cp:lastModifiedBy>
  <dcterms:modified xsi:type="dcterms:W3CDTF">2022-01-04T09:11:06Z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2021-12-27T00:00:00Z</vt:filetime>
  </property>
  <property fmtid="{D5CDD505-2E9C-101B-9397-08002B2CF9AE}" pid="3" name="Creator">
    <vt:lpwstr>WPS 文字</vt:lpwstr>
  </property>
  <property fmtid="{D5CDD505-2E9C-101B-9397-08002B2CF9AE}" pid="4" name="LastSaved">
    <vt:filetime>2022-01-04T00:00:00Z</vt:filetime>
  </property>
  <property fmtid="{D5CDD505-2E9C-101B-9397-08002B2CF9AE}" pid="5" name="KSOProductBuildVer">
    <vt:lpwstr>2052-11.1.0.11294</vt:lpwstr>
  </property>
  <property fmtid="{D5CDD505-2E9C-101B-9397-08002B2CF9AE}" pid="6" name="ICV">
    <vt:lpwstr>A83E86C93A4A44359D579238DA41276E</vt:lpwstr>
  </property>
</Properties>
</file>