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4.9.0.0 -->
  <w:body>
    <w:p>
      <w:pPr>
        <w:widowControl/>
        <w:spacing w:beforeAutospacing="1" w:afterAutospacing="1"/>
        <w:jc w:val="center"/>
        <w:outlineLvl w:val="1"/>
        <w:rPr>
          <w:rFonts w:ascii="黑体" w:eastAsia="黑体" w:hAnsi="宋体" w:cs="黑体"/>
          <w:kern w:val="0"/>
          <w:sz w:val="40"/>
          <w:szCs w:val="40"/>
        </w:rPr>
      </w:pPr>
      <w:r>
        <w:rPr>
          <w:rFonts w:hint="eastAsia"/>
          <w:b/>
          <w:bCs/>
          <w:kern w:val="0"/>
          <w:sz w:val="40"/>
          <w:szCs w:val="40"/>
        </w:rPr>
        <w:t>深圳市残疾人联合会深圳市残疾人综合服务大楼物业服务项目</w:t>
      </w:r>
    </w:p>
    <w:tbl>
      <w:tblPr>
        <w:tblStyle w:val="TableNormal"/>
        <w:tblW w:w="7943" w:type="dxa"/>
        <w:jc w:val="center"/>
        <w:tblCellSpacing w:w="0" w:type="dxa"/>
        <w:tblCellMar>
          <w:top w:w="45" w:type="dxa"/>
          <w:left w:w="45" w:type="dxa"/>
          <w:bottom w:w="45" w:type="dxa"/>
          <w:right w:w="45" w:type="dxa"/>
        </w:tblCellMar>
      </w:tblPr>
      <w:tblGrid>
        <w:gridCol w:w="2723"/>
        <w:gridCol w:w="5220"/>
      </w:tblGrid>
      <w:tr>
        <w:tblPrEx>
          <w:tblW w:w="7943" w:type="dxa"/>
          <w:jc w:val="center"/>
          <w:tblCellSpacing w:w="0" w:type="dxa"/>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jc w:val="right"/>
              <w:rPr>
                <w:sz w:val="30"/>
                <w:szCs w:val="30"/>
              </w:rPr>
            </w:pPr>
            <w:r>
              <w:rPr>
                <w:rFonts w:ascii="宋体" w:hAnsi="宋体" w:cs="宋体"/>
                <w:kern w:val="0"/>
                <w:sz w:val="30"/>
                <w:szCs w:val="30"/>
              </w:rPr>
              <w:t>项目编号：</w:t>
            </w:r>
          </w:p>
        </w:tc>
        <w:tc>
          <w:tcPr>
            <w:tcW w:w="5220" w:type="dxa"/>
            <w:shd w:val="clear" w:color="auto" w:fill="auto"/>
            <w:vAlign w:val="center"/>
          </w:tcPr>
          <w:p>
            <w:pPr>
              <w:widowControl/>
              <w:jc w:val="left"/>
              <w:rPr>
                <w:sz w:val="30"/>
                <w:szCs w:val="30"/>
              </w:rPr>
            </w:pPr>
            <w:r>
              <w:rPr>
                <w:rFonts w:hint="eastAsia"/>
                <w:sz w:val="30"/>
                <w:szCs w:val="30"/>
              </w:rPr>
              <w:t>SZCG2023000185</w:t>
            </w:r>
          </w:p>
        </w:tc>
      </w:tr>
      <w:tr>
        <w:tblPrEx>
          <w:tblW w:w="7943" w:type="dxa"/>
          <w:jc w:val="center"/>
          <w:tblCellSpacing w:w="0" w:type="dxa"/>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jc w:val="right"/>
              <w:rPr>
                <w:sz w:val="30"/>
                <w:szCs w:val="30"/>
              </w:rPr>
            </w:pPr>
            <w:r>
              <w:rPr>
                <w:rFonts w:ascii="宋体" w:hAnsi="宋体" w:cs="宋体"/>
                <w:kern w:val="0"/>
                <w:sz w:val="30"/>
                <w:szCs w:val="30"/>
              </w:rPr>
              <w:t>项目名称：</w:t>
            </w:r>
          </w:p>
        </w:tc>
        <w:tc>
          <w:tcPr>
            <w:tcW w:w="5220" w:type="dxa"/>
            <w:shd w:val="clear" w:color="auto" w:fill="auto"/>
            <w:vAlign w:val="center"/>
          </w:tcPr>
          <w:p>
            <w:pPr>
              <w:widowControl/>
              <w:jc w:val="left"/>
              <w:rPr>
                <w:sz w:val="30"/>
                <w:szCs w:val="30"/>
              </w:rPr>
            </w:pPr>
            <w:r>
              <w:rPr>
                <w:rFonts w:hint="eastAsia"/>
                <w:sz w:val="30"/>
                <w:szCs w:val="30"/>
              </w:rPr>
              <w:t>深圳市残疾人联合会深圳市残疾人综合服务大楼物业服务项目</w:t>
            </w:r>
          </w:p>
        </w:tc>
      </w:tr>
      <w:tr>
        <w:tblPrEx>
          <w:tblW w:w="7943" w:type="dxa"/>
          <w:jc w:val="center"/>
          <w:tblCellSpacing w:w="0" w:type="dxa"/>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jc w:val="right"/>
              <w:rPr>
                <w:sz w:val="30"/>
                <w:szCs w:val="30"/>
              </w:rPr>
            </w:pPr>
            <w:r>
              <w:rPr>
                <w:rFonts w:ascii="宋体" w:hAnsi="宋体" w:cs="宋体"/>
                <w:kern w:val="0"/>
                <w:sz w:val="30"/>
                <w:szCs w:val="30"/>
              </w:rPr>
              <w:t>包 号：</w:t>
            </w:r>
          </w:p>
        </w:tc>
        <w:tc>
          <w:tcPr>
            <w:tcW w:w="5220" w:type="dxa"/>
            <w:shd w:val="clear" w:color="auto" w:fill="auto"/>
            <w:vAlign w:val="center"/>
          </w:tcPr>
          <w:p>
            <w:pPr>
              <w:widowControl/>
              <w:jc w:val="left"/>
              <w:rPr>
                <w:sz w:val="30"/>
                <w:szCs w:val="30"/>
              </w:rPr>
            </w:pPr>
            <w:r>
              <w:rPr>
                <w:rFonts w:ascii="宋体" w:hAnsi="宋体" w:cs="宋体"/>
                <w:kern w:val="0"/>
                <w:sz w:val="30"/>
                <w:szCs w:val="30"/>
              </w:rPr>
              <w:t>A</w:t>
            </w:r>
          </w:p>
        </w:tc>
      </w:tr>
      <w:tr>
        <w:tblPrEx>
          <w:tblW w:w="7943" w:type="dxa"/>
          <w:jc w:val="center"/>
          <w:tblCellSpacing w:w="0" w:type="dxa"/>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jc w:val="right"/>
              <w:rPr>
                <w:sz w:val="30"/>
                <w:szCs w:val="30"/>
              </w:rPr>
            </w:pPr>
            <w:r>
              <w:rPr>
                <w:rFonts w:ascii="宋体" w:hAnsi="宋体" w:cs="宋体"/>
                <w:kern w:val="0"/>
                <w:sz w:val="30"/>
                <w:szCs w:val="30"/>
              </w:rPr>
              <w:t>项目类型：</w:t>
            </w:r>
          </w:p>
        </w:tc>
        <w:tc>
          <w:tcPr>
            <w:tcW w:w="5220" w:type="dxa"/>
            <w:shd w:val="clear" w:color="auto" w:fill="auto"/>
            <w:vAlign w:val="center"/>
          </w:tcPr>
          <w:p>
            <w:pPr>
              <w:widowControl/>
              <w:jc w:val="left"/>
              <w:rPr>
                <w:sz w:val="30"/>
                <w:szCs w:val="30"/>
              </w:rPr>
            </w:pPr>
            <w:r>
              <w:rPr>
                <w:rFonts w:ascii="宋体" w:hAnsi="宋体" w:cs="宋体" w:hint="eastAsia"/>
                <w:kern w:val="0"/>
                <w:sz w:val="30"/>
                <w:szCs w:val="30"/>
              </w:rPr>
              <w:t>服务</w:t>
            </w:r>
            <w:r>
              <w:rPr>
                <w:rFonts w:ascii="宋体" w:hAnsi="宋体" w:cs="宋体"/>
                <w:kern w:val="0"/>
                <w:sz w:val="30"/>
                <w:szCs w:val="30"/>
              </w:rPr>
              <w:t>类</w:t>
            </w:r>
          </w:p>
        </w:tc>
      </w:tr>
      <w:tr>
        <w:tblPrEx>
          <w:tblW w:w="7943" w:type="dxa"/>
          <w:jc w:val="center"/>
          <w:tblCellSpacing w:w="0" w:type="dxa"/>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jc w:val="right"/>
              <w:rPr>
                <w:sz w:val="30"/>
                <w:szCs w:val="30"/>
              </w:rPr>
            </w:pPr>
            <w:r>
              <w:rPr>
                <w:rFonts w:ascii="宋体" w:hAnsi="宋体" w:cs="宋体"/>
                <w:kern w:val="0"/>
                <w:sz w:val="30"/>
                <w:szCs w:val="30"/>
              </w:rPr>
              <w:t>采购方式：</w:t>
            </w:r>
          </w:p>
        </w:tc>
        <w:tc>
          <w:tcPr>
            <w:tcW w:w="5220" w:type="dxa"/>
            <w:shd w:val="clear" w:color="auto" w:fill="auto"/>
            <w:vAlign w:val="center"/>
          </w:tcPr>
          <w:p>
            <w:pPr>
              <w:widowControl/>
              <w:jc w:val="left"/>
              <w:rPr>
                <w:sz w:val="30"/>
                <w:szCs w:val="30"/>
              </w:rPr>
            </w:pPr>
            <w:r>
              <w:rPr>
                <w:rFonts w:ascii="宋体" w:hAnsi="宋体" w:cs="宋体"/>
                <w:kern w:val="0"/>
                <w:sz w:val="30"/>
                <w:szCs w:val="30"/>
              </w:rPr>
              <w:t>公开招标</w:t>
            </w:r>
          </w:p>
        </w:tc>
      </w:tr>
      <w:tr>
        <w:tblPrEx>
          <w:tblW w:w="7943" w:type="dxa"/>
          <w:jc w:val="center"/>
          <w:tblCellSpacing w:w="0" w:type="dxa"/>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jc w:val="right"/>
              <w:rPr>
                <w:sz w:val="30"/>
                <w:szCs w:val="30"/>
              </w:rPr>
            </w:pPr>
            <w:r>
              <w:rPr>
                <w:rFonts w:ascii="宋体" w:hAnsi="宋体" w:cs="宋体"/>
                <w:kern w:val="0"/>
                <w:sz w:val="30"/>
                <w:szCs w:val="30"/>
              </w:rPr>
              <w:t>货币类型：</w:t>
            </w:r>
          </w:p>
        </w:tc>
        <w:tc>
          <w:tcPr>
            <w:tcW w:w="5220" w:type="dxa"/>
            <w:shd w:val="clear" w:color="auto" w:fill="auto"/>
            <w:vAlign w:val="center"/>
          </w:tcPr>
          <w:p>
            <w:pPr>
              <w:widowControl/>
              <w:jc w:val="left"/>
              <w:rPr>
                <w:sz w:val="30"/>
                <w:szCs w:val="30"/>
              </w:rPr>
            </w:pPr>
            <w:r>
              <w:rPr>
                <w:rFonts w:ascii="宋体" w:hAnsi="宋体" w:cs="宋体"/>
                <w:kern w:val="0"/>
                <w:sz w:val="30"/>
                <w:szCs w:val="30"/>
              </w:rPr>
              <w:t>人民币</w:t>
            </w:r>
          </w:p>
        </w:tc>
      </w:tr>
      <w:tr>
        <w:tblPrEx>
          <w:tblW w:w="7943" w:type="dxa"/>
          <w:jc w:val="center"/>
          <w:tblCellSpacing w:w="0" w:type="dxa"/>
          <w:tblCellMar>
            <w:top w:w="45" w:type="dxa"/>
            <w:left w:w="45" w:type="dxa"/>
            <w:bottom w:w="45" w:type="dxa"/>
            <w:right w:w="45" w:type="dxa"/>
          </w:tblCellMar>
        </w:tblPrEx>
        <w:trPr>
          <w:trHeight w:val="738"/>
          <w:tblCellSpacing w:w="0" w:type="dxa"/>
          <w:jc w:val="center"/>
        </w:trPr>
        <w:tc>
          <w:tcPr>
            <w:tcW w:w="2723" w:type="dxa"/>
            <w:shd w:val="clear" w:color="auto" w:fill="auto"/>
            <w:vAlign w:val="center"/>
          </w:tcPr>
          <w:p>
            <w:pPr>
              <w:widowControl/>
              <w:jc w:val="right"/>
              <w:rPr>
                <w:sz w:val="30"/>
                <w:szCs w:val="30"/>
              </w:rPr>
            </w:pPr>
            <w:r>
              <w:rPr>
                <w:rFonts w:ascii="宋体" w:hAnsi="宋体" w:cs="宋体"/>
                <w:kern w:val="0"/>
                <w:sz w:val="30"/>
                <w:szCs w:val="30"/>
              </w:rPr>
              <w:t>评标方法：</w:t>
            </w:r>
          </w:p>
        </w:tc>
        <w:tc>
          <w:tcPr>
            <w:tcW w:w="5220" w:type="dxa"/>
            <w:shd w:val="clear" w:color="auto" w:fill="auto"/>
            <w:vAlign w:val="center"/>
          </w:tcPr>
          <w:p>
            <w:pPr>
              <w:widowControl/>
              <w:jc w:val="left"/>
              <w:rPr>
                <w:sz w:val="30"/>
                <w:szCs w:val="30"/>
              </w:rPr>
            </w:pPr>
            <w:r>
              <w:rPr>
                <w:rFonts w:ascii="宋体" w:hAnsi="宋体" w:cs="宋体"/>
                <w:kern w:val="0"/>
                <w:sz w:val="30"/>
                <w:szCs w:val="30"/>
              </w:rPr>
              <w:t>综合评分法</w:t>
            </w:r>
          </w:p>
        </w:tc>
      </w:tr>
    </w:tbl>
    <w:p>
      <w:pPr>
        <w:pStyle w:val="NormalWeb"/>
        <w:jc w:val="center"/>
        <w:outlineLvl w:val="1"/>
        <w:rPr>
          <w:rFonts w:ascii="黑体" w:eastAsia="黑体" w:hAnsi="黑体"/>
          <w:sz w:val="40"/>
          <w:szCs w:val="40"/>
        </w:rPr>
      </w:pPr>
      <w:r>
        <w:rPr>
          <w:rFonts w:ascii="黑体" w:eastAsia="黑体" w:hAnsi="黑体" w:hint="eastAsia"/>
          <w:sz w:val="40"/>
          <w:szCs w:val="40"/>
        </w:rPr>
        <w:t>资格性审查表</w:t>
      </w:r>
    </w:p>
    <w:tbl>
      <w:tblPr>
        <w:tblStyle w:val="TableNormal"/>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
      <w:tblGrid>
        <w:gridCol w:w="794"/>
        <w:gridCol w:w="8278"/>
      </w:tblGrid>
      <w:tr>
        <w:tblPrEx>
          <w:tblW w:w="907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sz w:val="28"/>
                <w:szCs w:val="28"/>
              </w:rPr>
            </w:pPr>
            <w:r>
              <w:rPr>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tcPr>
          <w:p>
            <w:pPr>
              <w:jc w:val="center"/>
              <w:rPr>
                <w:rFonts w:ascii="宋体" w:hAnsi="宋体" w:cs="宋体"/>
                <w:sz w:val="28"/>
                <w:szCs w:val="28"/>
              </w:rPr>
            </w:pPr>
            <w:r>
              <w:rPr>
                <w:sz w:val="28"/>
                <w:szCs w:val="28"/>
              </w:rPr>
              <w:t>内容</w:t>
            </w:r>
          </w:p>
        </w:tc>
      </w:tr>
      <w:tr>
        <w:tblPrEx>
          <w:tblW w:w="9072" w:type="dxa"/>
          <w:jc w:val="center"/>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tcPr>
          <w:p>
            <w:pPr>
              <w:jc w:val="center"/>
              <w:rPr>
                <w:rFonts w:ascii="宋体" w:hAnsi="宋体" w:cs="宋体"/>
                <w:szCs w:val="21"/>
              </w:rPr>
            </w:pPr>
            <w:r>
              <w:rPr>
                <w:szCs w:val="21"/>
              </w:rPr>
              <w:t>1</w:t>
            </w:r>
          </w:p>
        </w:tc>
        <w:tc>
          <w:tcPr>
            <w:tcW w:w="0" w:type="auto"/>
            <w:tcBorders>
              <w:top w:val="single" w:sz="8" w:space="0" w:color="000000"/>
              <w:left w:val="single" w:sz="8" w:space="0" w:color="000000"/>
              <w:bottom w:val="single" w:sz="8" w:space="0" w:color="000000"/>
              <w:right w:val="single" w:sz="8" w:space="0" w:color="000000"/>
            </w:tcBorders>
          </w:tcPr>
          <w:p>
            <w:pPr>
              <w:rPr>
                <w:rFonts w:ascii="宋体" w:hAnsi="宋体" w:cs="宋体"/>
                <w:szCs w:val="21"/>
              </w:rPr>
            </w:pPr>
            <w:r>
              <w:rPr>
                <w:rFonts w:ascii="宋体" w:hAnsi="宋体" w:cs="宋体"/>
                <w:kern w:val="0"/>
                <w:szCs w:val="21"/>
              </w:rPr>
              <w:t>投标人不</w:t>
            </w:r>
            <w:r>
              <w:rPr>
                <w:rFonts w:ascii="宋体" w:hAnsi="宋体" w:cs="宋体" w:hint="eastAsia"/>
                <w:kern w:val="0"/>
                <w:szCs w:val="21"/>
              </w:rPr>
              <w:t>符合</w:t>
            </w:r>
            <w:r>
              <w:rPr>
                <w:rFonts w:ascii="宋体" w:hAnsi="宋体" w:cs="宋体"/>
                <w:kern w:val="0"/>
                <w:szCs w:val="21"/>
              </w:rPr>
              <w:t>资格要求，或未提交相应的资格证明资料（详见招标公告</w:t>
            </w:r>
            <w:r>
              <w:rPr>
                <w:rFonts w:ascii="宋体" w:hAnsi="宋体" w:hint="eastAsia"/>
                <w:szCs w:val="21"/>
              </w:rPr>
              <w:t>投标人资格要求，即申请人的资格要求</w:t>
            </w:r>
            <w:r>
              <w:rPr>
                <w:rFonts w:ascii="宋体" w:hAnsi="宋体" w:cs="宋体"/>
                <w:kern w:val="0"/>
                <w:szCs w:val="21"/>
              </w:rPr>
              <w:t>）</w:t>
            </w:r>
          </w:p>
        </w:tc>
      </w:tr>
    </w:tbl>
    <w:p>
      <w:pPr>
        <w:pStyle w:val="NormalWeb"/>
        <w:spacing w:before="280"/>
        <w:jc w:val="center"/>
        <w:outlineLvl w:val="1"/>
        <w:rPr>
          <w:rFonts w:ascii="黑体" w:eastAsia="黑体" w:hAnsi="黑体"/>
          <w:sz w:val="40"/>
          <w:szCs w:val="40"/>
        </w:rPr>
      </w:pPr>
      <w:r>
        <w:rPr>
          <w:rFonts w:ascii="黑体" w:eastAsia="黑体" w:hAnsi="黑体" w:hint="eastAsia"/>
          <w:sz w:val="40"/>
          <w:szCs w:val="40"/>
        </w:rPr>
        <w:t>符合性审查表</w:t>
      </w:r>
    </w:p>
    <w:tbl>
      <w:tblPr>
        <w:tblStyle w:val="TableNormal"/>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
      <w:tblGrid>
        <w:gridCol w:w="794"/>
        <w:gridCol w:w="8284"/>
      </w:tblGrid>
      <w:tr>
        <w:tblPrEx>
          <w:tblW w:w="9078"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jc w:val="center"/>
              <w:rPr>
                <w:sz w:val="28"/>
                <w:szCs w:val="28"/>
              </w:rPr>
            </w:pPr>
            <w:r>
              <w:rPr>
                <w:rFonts w:ascii="宋体" w:hAnsi="宋体" w:cs="宋体"/>
                <w:kern w:val="0"/>
                <w:sz w:val="28"/>
                <w:szCs w:val="28"/>
              </w:rPr>
              <w:t>序号</w:t>
            </w:r>
          </w:p>
        </w:tc>
        <w:tc>
          <w:tcPr>
            <w:tcW w:w="0" w:type="auto"/>
            <w:tcBorders>
              <w:top w:val="single" w:sz="8" w:space="0" w:color="000000"/>
              <w:left w:val="single" w:sz="8" w:space="0" w:color="000000"/>
              <w:bottom w:val="single" w:sz="8" w:space="0" w:color="000000"/>
              <w:right w:val="single" w:sz="8" w:space="0" w:color="000000"/>
            </w:tcBorders>
            <w:shd w:val="clear" w:color="auto" w:fill="E6EFFA"/>
            <w:vAlign w:val="center"/>
          </w:tcPr>
          <w:p>
            <w:pPr>
              <w:widowControl/>
              <w:jc w:val="center"/>
              <w:rPr>
                <w:sz w:val="28"/>
                <w:szCs w:val="28"/>
              </w:rPr>
            </w:pPr>
            <w:r>
              <w:rPr>
                <w:rFonts w:ascii="宋体" w:hAnsi="宋体" w:cs="宋体"/>
                <w:kern w:val="0"/>
                <w:sz w:val="28"/>
                <w:szCs w:val="28"/>
              </w:rPr>
              <w:t>内容</w:t>
            </w:r>
          </w:p>
        </w:tc>
      </w:tr>
      <w:tr>
        <w:tblPrEx>
          <w:tblW w:w="9078" w:type="dxa"/>
          <w:jc w:val="center"/>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pPr>
              <w:widowControl/>
              <w:jc w:val="center"/>
              <w:textAlignment w:val="top"/>
              <w:rPr>
                <w:szCs w:val="21"/>
              </w:rPr>
            </w:pPr>
            <w:r>
              <w:rPr>
                <w:rFonts w:ascii="宋体" w:hAnsi="宋体" w:cs="宋体"/>
                <w:kern w:val="0"/>
                <w:szCs w:val="21"/>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pPr>
              <w:widowControl/>
              <w:jc w:val="left"/>
              <w:textAlignment w:val="top"/>
              <w:rPr>
                <w:szCs w:val="21"/>
              </w:rPr>
            </w:pPr>
            <w:r>
              <w:rPr>
                <w:rFonts w:hint="eastAsia"/>
              </w:rPr>
              <w:t>不得将一个包内容拆开投标；</w:t>
            </w:r>
          </w:p>
        </w:tc>
      </w:tr>
      <w:tr>
        <w:tblPrEx>
          <w:tblW w:w="9078" w:type="dxa"/>
          <w:jc w:val="center"/>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pPr>
              <w:widowControl/>
              <w:jc w:val="center"/>
              <w:textAlignment w:val="top"/>
              <w:rPr>
                <w:szCs w:val="21"/>
              </w:rPr>
            </w:pPr>
            <w:r>
              <w:rPr>
                <w:rFonts w:ascii="宋体" w:hAnsi="宋体" w:cs="宋体"/>
                <w:kern w:val="0"/>
                <w:szCs w:val="21"/>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pPr>
              <w:widowControl/>
              <w:jc w:val="left"/>
              <w:textAlignment w:val="top"/>
              <w:rPr>
                <w:szCs w:val="21"/>
              </w:rPr>
            </w:pPr>
            <w:r>
              <w:rPr>
                <w:rFonts w:hint="eastAsia"/>
              </w:rPr>
              <w:t>对同一项目投标时，不得提供两套以上的投标方案（招标文件另有规定的除外）；</w:t>
            </w:r>
          </w:p>
        </w:tc>
      </w:tr>
      <w:tr>
        <w:tblPrEx>
          <w:tblW w:w="9078" w:type="dxa"/>
          <w:jc w:val="center"/>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pPr>
              <w:widowControl/>
              <w:jc w:val="center"/>
              <w:textAlignment w:val="top"/>
              <w:rPr>
                <w:szCs w:val="21"/>
              </w:rPr>
            </w:pPr>
            <w:r>
              <w:rPr>
                <w:rFonts w:ascii="宋体" w:hAnsi="宋体" w:cs="宋体"/>
                <w:kern w:val="0"/>
                <w:szCs w:val="21"/>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pPr>
              <w:widowControl/>
              <w:jc w:val="left"/>
              <w:textAlignment w:val="top"/>
              <w:rPr>
                <w:szCs w:val="21"/>
              </w:rPr>
            </w:pPr>
            <w:r>
              <w:rPr>
                <w:rFonts w:hint="eastAsia"/>
              </w:rPr>
              <w:t>分项报价或投标总价不得高于</w:t>
            </w:r>
            <w:bookmarkStart w:id="0" w:name="_Hlk71832186"/>
            <w:r>
              <w:rPr>
                <w:rFonts w:hint="eastAsia"/>
              </w:rPr>
              <w:t>相应预算金额（或设定的预算金额下的最高限价）</w:t>
            </w:r>
            <w:bookmarkEnd w:id="0"/>
            <w:r>
              <w:rPr>
                <w:rFonts w:hint="eastAsia"/>
              </w:rPr>
              <w:t>；</w:t>
            </w:r>
          </w:p>
        </w:tc>
      </w:tr>
      <w:tr>
        <w:tblPrEx>
          <w:tblW w:w="9078" w:type="dxa"/>
          <w:jc w:val="center"/>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pPr>
              <w:widowControl/>
              <w:jc w:val="center"/>
              <w:textAlignment w:val="top"/>
              <w:rPr>
                <w:szCs w:val="21"/>
              </w:rPr>
            </w:pPr>
            <w:r>
              <w:rPr>
                <w:rFonts w:ascii="宋体" w:hAnsi="宋体" w:cs="宋体"/>
                <w:kern w:val="0"/>
                <w:szCs w:val="21"/>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pPr>
              <w:widowControl/>
              <w:jc w:val="left"/>
              <w:textAlignment w:val="top"/>
              <w:rPr>
                <w:szCs w:val="21"/>
              </w:rPr>
            </w:pPr>
            <w:r>
              <w:rPr>
                <w:rFonts w:hint="eastAsia"/>
              </w:rPr>
              <w:t>评审委员会认为投标人的报价明显低于其他通过符合性审查投标人的报价，有可能影响产品质量或者不能诚信履约的，应当要求其在评审现场合理的时间内提供书面说明，必要时提交相关证明材料；在此情况下，投标人仍不能证明其报价合理性的（评审委员会成员对投标人提供的说明材料判断不一致的，按照“少数服从多数”的原则确定评审委员会的意见）；</w:t>
            </w:r>
          </w:p>
        </w:tc>
      </w:tr>
      <w:tr>
        <w:tblPrEx>
          <w:tblW w:w="9078" w:type="dxa"/>
          <w:jc w:val="center"/>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pPr>
              <w:widowControl/>
              <w:jc w:val="center"/>
              <w:textAlignment w:val="top"/>
              <w:rPr>
                <w:szCs w:val="21"/>
              </w:rPr>
            </w:pPr>
            <w:r>
              <w:rPr>
                <w:rFonts w:ascii="宋体" w:hAnsi="宋体" w:cs="宋体"/>
                <w:kern w:val="0"/>
                <w:szCs w:val="21"/>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pPr>
              <w:widowControl/>
              <w:jc w:val="left"/>
              <w:textAlignment w:val="top"/>
              <w:rPr>
                <w:szCs w:val="21"/>
              </w:rPr>
            </w:pPr>
            <w:r>
              <w:rPr>
                <w:rFonts w:hint="eastAsia"/>
              </w:rPr>
              <w:t>所投货物、服务在技术、商务等方面没有实质性满足招标文件要求的（是否实质性满足招标文件要求，由评审委员会根据实质性条款响应情况作出评判）；</w:t>
            </w:r>
          </w:p>
        </w:tc>
      </w:tr>
      <w:tr>
        <w:tblPrEx>
          <w:tblW w:w="9078" w:type="dxa"/>
          <w:jc w:val="center"/>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pPr>
              <w:widowControl/>
              <w:jc w:val="center"/>
              <w:textAlignment w:val="top"/>
              <w:rPr>
                <w:szCs w:val="21"/>
              </w:rPr>
            </w:pPr>
            <w:r>
              <w:rPr>
                <w:rFonts w:ascii="宋体" w:hAnsi="宋体" w:cs="宋体"/>
                <w:kern w:val="0"/>
                <w:szCs w:val="21"/>
              </w:rPr>
              <w:t>6</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pPr>
              <w:widowControl/>
              <w:jc w:val="left"/>
              <w:textAlignment w:val="top"/>
              <w:rPr>
                <w:szCs w:val="21"/>
              </w:rPr>
            </w:pPr>
            <w:r>
              <w:rPr>
                <w:rFonts w:hint="eastAsia"/>
              </w:rPr>
              <w:t>未按招标文件所提供的样式填写《投标函》；未按招标文件所提供的《政府采购投标及履约承诺函》进行承诺或不符合承诺的；未按招标文件对投标文件组成的要求提供投标文件；</w:t>
            </w:r>
          </w:p>
        </w:tc>
      </w:tr>
      <w:tr>
        <w:tblPrEx>
          <w:tblW w:w="9078" w:type="dxa"/>
          <w:jc w:val="center"/>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pPr>
              <w:widowControl/>
              <w:jc w:val="center"/>
              <w:textAlignment w:val="top"/>
              <w:rPr>
                <w:szCs w:val="21"/>
              </w:rPr>
            </w:pPr>
            <w:r>
              <w:rPr>
                <w:rFonts w:ascii="宋体" w:hAnsi="宋体" w:cs="宋体"/>
                <w:kern w:val="0"/>
                <w:szCs w:val="21"/>
              </w:rPr>
              <w:t>7</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pPr>
              <w:widowControl/>
              <w:jc w:val="left"/>
              <w:textAlignment w:val="top"/>
              <w:rPr>
                <w:szCs w:val="21"/>
              </w:rPr>
            </w:pPr>
            <w:r>
              <w:rPr>
                <w:rFonts w:hint="eastAsia"/>
              </w:rPr>
              <w:t>投标报价有缺漏项目,或者对招标文件规定的项目需求内容或者需求数量进行修改</w:t>
            </w:r>
            <w:r>
              <w:rPr>
                <w:rFonts w:hint="eastAsia"/>
                <w:szCs w:val="21"/>
              </w:rPr>
              <w:t>，评审委员会判定投标响应不满足采购需求</w:t>
            </w:r>
            <w:r>
              <w:rPr>
                <w:rFonts w:hint="eastAsia"/>
              </w:rPr>
              <w:t>；</w:t>
            </w:r>
          </w:p>
        </w:tc>
      </w:tr>
      <w:tr>
        <w:tblPrEx>
          <w:tblW w:w="9078" w:type="dxa"/>
          <w:jc w:val="center"/>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pPr>
              <w:widowControl/>
              <w:jc w:val="center"/>
              <w:textAlignment w:val="top"/>
              <w:rPr>
                <w:szCs w:val="21"/>
              </w:rPr>
            </w:pPr>
            <w:r>
              <w:rPr>
                <w:rFonts w:ascii="宋体" w:hAnsi="宋体" w:cs="宋体"/>
                <w:kern w:val="0"/>
                <w:szCs w:val="21"/>
              </w:rPr>
              <w:t>8</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pPr>
              <w:widowControl/>
              <w:jc w:val="left"/>
              <w:textAlignment w:val="top"/>
              <w:rPr>
                <w:szCs w:val="21"/>
              </w:rPr>
            </w:pPr>
            <w:r>
              <w:rPr>
                <w:rFonts w:hint="eastAsia"/>
              </w:rPr>
              <w:t>投标文件存在列放位置错误，导致属于信息公开情形的没有被公开；</w:t>
            </w:r>
          </w:p>
        </w:tc>
      </w:tr>
      <w:tr>
        <w:tblPrEx>
          <w:tblW w:w="9078" w:type="dxa"/>
          <w:jc w:val="center"/>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pPr>
              <w:widowControl/>
              <w:jc w:val="center"/>
              <w:textAlignment w:val="top"/>
              <w:rPr>
                <w:szCs w:val="21"/>
              </w:rPr>
            </w:pPr>
            <w:r>
              <w:rPr>
                <w:rFonts w:ascii="宋体" w:hAnsi="宋体" w:cs="宋体"/>
                <w:kern w:val="0"/>
                <w:szCs w:val="21"/>
              </w:rPr>
              <w:t>9</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pPr>
              <w:widowControl/>
              <w:jc w:val="left"/>
              <w:textAlignment w:val="top"/>
              <w:rPr>
                <w:szCs w:val="21"/>
              </w:rPr>
            </w:pPr>
            <w:r>
              <w:rPr>
                <w:rFonts w:hint="eastAsia"/>
              </w:rPr>
              <w:t>投标文件电子文档不得带病毒；</w:t>
            </w:r>
          </w:p>
        </w:tc>
      </w:tr>
      <w:tr>
        <w:tblPrEx>
          <w:tblW w:w="9078" w:type="dxa"/>
          <w:jc w:val="center"/>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pPr>
              <w:widowControl/>
              <w:jc w:val="center"/>
              <w:textAlignment w:val="top"/>
              <w:rPr>
                <w:szCs w:val="21"/>
              </w:rPr>
            </w:pPr>
            <w:r>
              <w:rPr>
                <w:rFonts w:ascii="宋体" w:hAnsi="宋体" w:cs="宋体"/>
                <w:kern w:val="0"/>
                <w:szCs w:val="21"/>
              </w:rPr>
              <w:t>10</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pPr>
              <w:widowControl/>
              <w:jc w:val="left"/>
              <w:textAlignment w:val="top"/>
              <w:rPr>
                <w:szCs w:val="21"/>
              </w:rPr>
            </w:pPr>
            <w:r>
              <w:rPr>
                <w:rFonts w:hint="eastAsia"/>
              </w:rPr>
              <w:t>投标文件用不属于本公司的电子密钥进行加密的；</w:t>
            </w:r>
          </w:p>
        </w:tc>
      </w:tr>
      <w:tr>
        <w:tblPrEx>
          <w:tblW w:w="9078" w:type="dxa"/>
          <w:jc w:val="center"/>
          <w:tblCellMar>
            <w:top w:w="20" w:type="dxa"/>
            <w:left w:w="108" w:type="dxa"/>
            <w:bottom w:w="20" w:type="dxa"/>
            <w:right w:w="108" w:type="dxa"/>
          </w:tblCellMar>
        </w:tblPrEx>
        <w:trPr>
          <w:jc w:val="center"/>
        </w:trPr>
        <w:tc>
          <w:tcPr>
            <w:tcW w:w="794" w:type="dxa"/>
            <w:tcBorders>
              <w:top w:val="single" w:sz="8" w:space="0" w:color="000000"/>
              <w:left w:val="single" w:sz="8" w:space="0" w:color="000000"/>
              <w:bottom w:val="single" w:sz="8" w:space="0" w:color="000000"/>
              <w:right w:val="single" w:sz="8" w:space="0" w:color="000000"/>
            </w:tcBorders>
            <w:shd w:val="clear" w:color="auto" w:fill="auto"/>
          </w:tcPr>
          <w:p>
            <w:pPr>
              <w:widowControl/>
              <w:jc w:val="center"/>
              <w:textAlignment w:val="top"/>
              <w:rPr>
                <w:szCs w:val="21"/>
              </w:rPr>
            </w:pPr>
            <w:r>
              <w:rPr>
                <w:rFonts w:ascii="宋体" w:hAnsi="宋体" w:cs="宋体"/>
                <w:kern w:val="0"/>
                <w:szCs w:val="21"/>
              </w:rPr>
              <w:t>11</w:t>
            </w:r>
          </w:p>
        </w:tc>
        <w:tc>
          <w:tcPr>
            <w:tcW w:w="0" w:type="auto"/>
            <w:tcBorders>
              <w:top w:val="single" w:sz="8" w:space="0" w:color="000000"/>
              <w:left w:val="single" w:sz="8" w:space="0" w:color="000000"/>
              <w:bottom w:val="single" w:sz="8" w:space="0" w:color="000000"/>
              <w:right w:val="single" w:sz="8" w:space="0" w:color="000000"/>
            </w:tcBorders>
            <w:shd w:val="clear" w:color="auto" w:fill="auto"/>
          </w:tcPr>
          <w:p>
            <w:pPr>
              <w:widowControl/>
              <w:jc w:val="left"/>
              <w:textAlignment w:val="top"/>
              <w:rPr>
                <w:szCs w:val="21"/>
              </w:rPr>
            </w:pPr>
            <w:r>
              <w:rPr>
                <w:rFonts w:hint="eastAsia"/>
              </w:rPr>
              <w:t>法律、法规、规章、规范性文件规定的其他情形。</w:t>
            </w:r>
          </w:p>
        </w:tc>
      </w:tr>
    </w:tbl>
    <w:p>
      <w:pPr>
        <w:pStyle w:val="NormalWeb"/>
        <w:jc w:val="center"/>
        <w:outlineLvl w:val="1"/>
        <w:rPr>
          <w:rFonts w:ascii="黑体" w:eastAsia="黑体" w:hAnsi="黑体"/>
          <w:sz w:val="40"/>
          <w:szCs w:val="40"/>
        </w:rPr>
      </w:pPr>
      <w:r>
        <w:rPr>
          <w:rFonts w:ascii="黑体" w:eastAsia="黑体" w:hAnsi="黑体" w:hint="eastAsia"/>
          <w:sz w:val="40"/>
          <w:szCs w:val="40"/>
        </w:rPr>
        <w:t>评标信息</w:t>
      </w:r>
    </w:p>
    <w:tbl>
      <w:tblPr>
        <w:tblStyle w:val="TableNormal"/>
        <w:tblW w:w="90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Pr>
      <w:tblGrid>
        <w:gridCol w:w="9072"/>
      </w:tblGrid>
      <w:tr>
        <w:tblPrEx>
          <w:tblW w:w="90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5" w:type="dxa"/>
            <w:left w:w="45" w:type="dxa"/>
            <w:bottom w:w="45" w:type="dxa"/>
            <w:right w:w="45" w:type="dxa"/>
          </w:tblCellMar>
        </w:tblPrEx>
        <w:trPr>
          <w:tblCellSpacing w:w="0" w:type="dxa"/>
          <w:jc w:val="center"/>
        </w:trPr>
        <w:tc>
          <w:tcPr>
            <w:tcW w:w="9072" w:type="dxa"/>
            <w:vAlign w:val="center"/>
          </w:tcPr>
          <w:p>
            <w:pPr>
              <w:jc w:val="left"/>
              <w:rPr>
                <w:rFonts w:ascii="宋体" w:hAnsi="宋体" w:cs="宋体"/>
                <w:b/>
                <w:bCs/>
                <w:sz w:val="24"/>
              </w:rPr>
            </w:pPr>
            <w:r>
              <w:rPr>
                <w:b/>
                <w:bCs/>
              </w:rPr>
              <w:t>评标方法：综合评分法</w:t>
            </w:r>
          </w:p>
        </w:tc>
      </w:tr>
      <w:tr>
        <w:tblPrEx>
          <w:tblW w:w="9072" w:type="dxa"/>
          <w:jc w:val="center"/>
          <w:tblCellSpacing w:w="0" w:type="dxa"/>
          <w:tblCellMar>
            <w:top w:w="45" w:type="dxa"/>
            <w:left w:w="45" w:type="dxa"/>
            <w:bottom w:w="45" w:type="dxa"/>
            <w:right w:w="45" w:type="dxa"/>
          </w:tblCellMar>
        </w:tblPrEx>
        <w:trPr>
          <w:tblCellSpacing w:w="0" w:type="dxa"/>
          <w:jc w:val="center"/>
        </w:trPr>
        <w:tc>
          <w:tcPr>
            <w:tcW w:w="9072" w:type="dxa"/>
            <w:vAlign w:val="center"/>
          </w:tcPr>
          <w:p>
            <w:pPr>
              <w:pStyle w:val="NormalWeb"/>
              <w:spacing w:line="324" w:lineRule="auto"/>
              <w:ind w:firstLine="420"/>
              <w:rPr>
                <w:sz w:val="21"/>
                <w:szCs w:val="21"/>
              </w:rPr>
            </w:pPr>
            <w:r>
              <w:rPr>
                <w:rFonts w:hint="eastAsia"/>
                <w:sz w:val="21"/>
                <w:szCs w:val="21"/>
              </w:rPr>
              <w:t>综合评分法。在最大限度地满足招标文件实质性要求的前提下，按照招标文件中规定的各项因素进行综合评审，评标总得分排名前列的投标人，作为推荐的候选中标供应商</w:t>
            </w:r>
            <w:r>
              <w:rPr>
                <w:sz w:val="21"/>
                <w:szCs w:val="21"/>
              </w:rPr>
              <w:t xml:space="preserve">。 </w:t>
            </w:r>
          </w:p>
          <w:p>
            <w:pPr>
              <w:pStyle w:val="NormalWeb"/>
              <w:ind w:firstLine="420"/>
              <w:rPr>
                <w:sz w:val="21"/>
                <w:szCs w:val="21"/>
              </w:rPr>
            </w:pPr>
            <w:r>
              <w:rPr>
                <w:sz w:val="21"/>
                <w:szCs w:val="21"/>
              </w:rPr>
              <w:t>价格分计算方法：</w:t>
            </w:r>
          </w:p>
          <w:p>
            <w:pPr>
              <w:pStyle w:val="NormalWeb"/>
              <w:spacing w:line="324" w:lineRule="auto"/>
              <w:ind w:left="420"/>
              <w:rPr>
                <w:sz w:val="21"/>
                <w:szCs w:val="21"/>
              </w:rPr>
            </w:pPr>
            <w:r>
              <w:rPr>
                <w:sz w:val="21"/>
                <w:szCs w:val="21"/>
              </w:rPr>
              <w:t xml:space="preserve">采用低价优先法计算，即满足招标文件要求且投标价格最低的投标报价为评标基准价，其价格分为满分。其他投标人的价格分统一按照下列公式计算： </w:t>
            </w:r>
          </w:p>
          <w:p>
            <w:pPr>
              <w:pStyle w:val="NormalWeb"/>
              <w:spacing w:line="324" w:lineRule="auto"/>
              <w:ind w:left="420"/>
              <w:rPr>
                <w:sz w:val="21"/>
                <w:szCs w:val="21"/>
              </w:rPr>
            </w:pPr>
            <w:r>
              <w:rPr>
                <w:sz w:val="21"/>
                <w:szCs w:val="21"/>
              </w:rPr>
              <w:t xml:space="preserve">投标报价得分=(评标基准价／投标报价)×100 </w:t>
            </w:r>
          </w:p>
          <w:p>
            <w:pPr>
              <w:pStyle w:val="NormalWeb"/>
              <w:spacing w:line="324" w:lineRule="auto"/>
              <w:ind w:left="420"/>
              <w:rPr>
                <w:sz w:val="21"/>
                <w:szCs w:val="21"/>
              </w:rPr>
            </w:pPr>
            <w:r>
              <w:rPr>
                <w:sz w:val="21"/>
                <w:szCs w:val="21"/>
              </w:rPr>
              <w:t xml:space="preserve">评标总得分＝F1×A1＋F2×A2＋……＋Fn×An </w:t>
            </w:r>
          </w:p>
          <w:p>
            <w:pPr>
              <w:pStyle w:val="NormalWeb"/>
              <w:spacing w:line="324" w:lineRule="auto"/>
              <w:ind w:left="420"/>
              <w:rPr>
                <w:sz w:val="21"/>
                <w:szCs w:val="21"/>
              </w:rPr>
            </w:pPr>
            <w:r>
              <w:rPr>
                <w:sz w:val="21"/>
                <w:szCs w:val="21"/>
              </w:rPr>
              <w:t xml:space="preserve">F1、F2……Fn分别为各项评审因素的得分； </w:t>
            </w:r>
          </w:p>
          <w:p>
            <w:pPr>
              <w:pStyle w:val="NormalWeb"/>
              <w:spacing w:line="324" w:lineRule="auto"/>
              <w:ind w:left="420"/>
              <w:rPr>
                <w:sz w:val="21"/>
                <w:szCs w:val="21"/>
              </w:rPr>
            </w:pPr>
            <w:r>
              <w:rPr>
                <w:sz w:val="21"/>
                <w:szCs w:val="21"/>
              </w:rPr>
              <w:t xml:space="preserve">A1、A2、……An 分别为各项评审因素所占的权重(A1＋A2＋……＋An＝1)。 </w:t>
            </w:r>
          </w:p>
          <w:p>
            <w:pPr>
              <w:pStyle w:val="NormalWeb"/>
              <w:spacing w:line="324" w:lineRule="auto"/>
              <w:ind w:left="420"/>
              <w:rPr>
                <w:sz w:val="21"/>
                <w:szCs w:val="21"/>
              </w:rPr>
            </w:pPr>
            <w:r>
              <w:rPr>
                <w:sz w:val="21"/>
                <w:szCs w:val="21"/>
              </w:rPr>
              <w:t>评标过程中，不得去掉报价中的最高报价和最低报价。</w:t>
            </w:r>
          </w:p>
        </w:tc>
      </w:tr>
    </w:tbl>
    <w:p>
      <w:pPr>
        <w:wordWrap w:val="0"/>
        <w:jc w:val="center"/>
        <w:rPr>
          <w:b/>
          <w:bCs/>
        </w:rPr>
      </w:pPr>
    </w:p>
    <w:tbl>
      <w:tblPr>
        <w:tblStyle w:val="TableNormal"/>
        <w:tblW w:w="90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108" w:type="dxa"/>
          <w:bottom w:w="20" w:type="dxa"/>
          <w:right w:w="108" w:type="dxa"/>
        </w:tblCellMar>
      </w:tblPr>
      <w:tblGrid>
        <w:gridCol w:w="676"/>
        <w:gridCol w:w="675"/>
        <w:gridCol w:w="1129"/>
        <w:gridCol w:w="891"/>
        <w:gridCol w:w="5701"/>
      </w:tblGrid>
      <w:tr>
        <w:tblPrEx>
          <w:tblW w:w="907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0" w:type="dxa"/>
            <w:left w:w="108" w:type="dxa"/>
            <w:bottom w:w="20" w:type="dxa"/>
            <w:right w:w="108" w:type="dxa"/>
          </w:tblCellMar>
        </w:tblPrEx>
        <w:trPr>
          <w:tblCellSpacing w:w="0" w:type="dxa"/>
          <w:jc w:val="center"/>
        </w:trPr>
        <w:tc>
          <w:tcPr>
            <w:tcW w:w="676" w:type="dxa"/>
            <w:shd w:val="clear" w:color="auto" w:fill="E6EFFA"/>
            <w:vAlign w:val="center"/>
          </w:tcPr>
          <w:p>
            <w:pPr>
              <w:wordWrap w:val="0"/>
              <w:jc w:val="center"/>
              <w:rPr>
                <w:rFonts w:ascii="宋体" w:hAnsi="宋体" w:cs="宋体"/>
                <w:b/>
                <w:bCs/>
                <w:sz w:val="24"/>
              </w:rPr>
            </w:pPr>
            <w:r>
              <w:rPr>
                <w:b/>
                <w:bCs/>
              </w:rPr>
              <w:t>序号</w:t>
            </w:r>
          </w:p>
        </w:tc>
        <w:tc>
          <w:tcPr>
            <w:tcW w:w="2695" w:type="dxa"/>
            <w:gridSpan w:val="3"/>
            <w:shd w:val="clear" w:color="auto" w:fill="E6EFFA"/>
            <w:vAlign w:val="center"/>
          </w:tcPr>
          <w:p>
            <w:pPr>
              <w:wordWrap w:val="0"/>
              <w:jc w:val="center"/>
              <w:rPr>
                <w:rFonts w:ascii="宋体" w:hAnsi="宋体" w:cs="宋体"/>
                <w:b/>
                <w:bCs/>
                <w:sz w:val="24"/>
              </w:rPr>
            </w:pPr>
            <w:r>
              <w:rPr>
                <w:b/>
                <w:bCs/>
              </w:rPr>
              <w:t>评分项</w:t>
            </w:r>
          </w:p>
        </w:tc>
        <w:tc>
          <w:tcPr>
            <w:tcW w:w="5701" w:type="dxa"/>
            <w:shd w:val="clear" w:color="auto" w:fill="E6EFFA"/>
            <w:vAlign w:val="center"/>
          </w:tcPr>
          <w:p>
            <w:pPr>
              <w:wordWrap w:val="0"/>
              <w:jc w:val="center"/>
              <w:rPr>
                <w:rFonts w:ascii="宋体" w:hAnsi="宋体" w:cs="宋体"/>
                <w:b/>
                <w:bCs/>
                <w:sz w:val="24"/>
              </w:rPr>
            </w:pPr>
            <w:r>
              <w:rPr>
                <w:b/>
                <w:bCs/>
              </w:rPr>
              <w:t>权重(%)</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restart"/>
          </w:tcPr>
          <w:p>
            <w:pPr>
              <w:wordWrap w:val="0"/>
              <w:jc w:val="center"/>
              <w:rPr>
                <w:rFonts w:ascii="宋体" w:hAnsi="宋体" w:cs="宋体"/>
                <w:b/>
                <w:bCs/>
                <w:color w:val="0000FF"/>
                <w:sz w:val="24"/>
              </w:rPr>
            </w:pPr>
            <w:r>
              <w:rPr>
                <w:b/>
                <w:bCs/>
                <w:color w:val="0000FF"/>
              </w:rPr>
              <w:t>1</w:t>
            </w:r>
          </w:p>
        </w:tc>
        <w:tc>
          <w:tcPr>
            <w:tcW w:w="2695" w:type="dxa"/>
            <w:gridSpan w:val="3"/>
          </w:tcPr>
          <w:p>
            <w:pPr>
              <w:wordWrap w:val="0"/>
              <w:jc w:val="center"/>
              <w:rPr>
                <w:rFonts w:ascii="宋体" w:hAnsi="宋体" w:cs="宋体"/>
                <w:b/>
                <w:bCs/>
                <w:color w:val="0000FF"/>
                <w:sz w:val="24"/>
              </w:rPr>
            </w:pPr>
            <w:r>
              <w:rPr>
                <w:b/>
                <w:bCs/>
                <w:color w:val="0000FF"/>
              </w:rPr>
              <w:t>价格</w:t>
            </w:r>
          </w:p>
        </w:tc>
        <w:tc>
          <w:tcPr>
            <w:tcW w:w="5701" w:type="dxa"/>
          </w:tcPr>
          <w:p>
            <w:pPr>
              <w:wordWrap w:val="0"/>
              <w:jc w:val="center"/>
              <w:rPr>
                <w:rFonts w:ascii="宋体" w:hAnsi="宋体" w:cs="宋体"/>
                <w:b/>
                <w:bCs/>
                <w:color w:val="0000FF"/>
                <w:sz w:val="24"/>
              </w:rPr>
            </w:pPr>
            <w:r>
              <w:rPr>
                <w:rFonts w:hint="eastAsia"/>
                <w:b/>
                <w:bCs/>
                <w:color w:val="0000FF"/>
              </w:rPr>
              <w:t>1</w:t>
            </w:r>
            <w:r>
              <w:rPr>
                <w:b/>
                <w:bCs/>
                <w:color w:val="0000FF"/>
              </w:rPr>
              <w:t>0</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8396" w:type="dxa"/>
            <w:gridSpan w:val="4"/>
          </w:tcPr>
          <w:p>
            <w:pPr>
              <w:wordWrap w:val="0"/>
              <w:rPr>
                <w:rFonts w:ascii="宋体" w:hAnsi="宋体" w:cs="宋体"/>
                <w:szCs w:val="21"/>
              </w:rPr>
            </w:pP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restart"/>
          </w:tcPr>
          <w:p>
            <w:pPr>
              <w:wordWrap w:val="0"/>
              <w:jc w:val="center"/>
              <w:rPr>
                <w:rFonts w:ascii="宋体" w:hAnsi="宋体" w:cs="宋体"/>
                <w:b/>
                <w:bCs/>
                <w:color w:val="0000FF"/>
                <w:sz w:val="24"/>
              </w:rPr>
            </w:pPr>
            <w:r>
              <w:rPr>
                <w:b/>
                <w:bCs/>
                <w:color w:val="0000FF"/>
              </w:rPr>
              <w:t>2</w:t>
            </w:r>
          </w:p>
        </w:tc>
        <w:tc>
          <w:tcPr>
            <w:tcW w:w="2695" w:type="dxa"/>
            <w:gridSpan w:val="3"/>
          </w:tcPr>
          <w:p>
            <w:pPr>
              <w:wordWrap w:val="0"/>
              <w:jc w:val="center"/>
              <w:rPr>
                <w:rFonts w:ascii="宋体" w:hAnsi="宋体" w:cs="宋体"/>
                <w:b/>
                <w:bCs/>
                <w:color w:val="0000FF"/>
                <w:sz w:val="24"/>
              </w:rPr>
            </w:pPr>
            <w:r>
              <w:rPr>
                <w:b/>
                <w:bCs/>
                <w:color w:val="0000FF"/>
              </w:rPr>
              <w:t>技术</w:t>
            </w:r>
            <w:r>
              <w:rPr>
                <w:rFonts w:hint="eastAsia"/>
                <w:b/>
                <w:bCs/>
                <w:color w:val="0000FF"/>
              </w:rPr>
              <w:t>部分</w:t>
            </w:r>
          </w:p>
        </w:tc>
        <w:tc>
          <w:tcPr>
            <w:tcW w:w="5701" w:type="dxa"/>
          </w:tcPr>
          <w:p>
            <w:pPr>
              <w:wordWrap w:val="0"/>
              <w:jc w:val="center"/>
              <w:rPr>
                <w:rFonts w:ascii="宋体" w:hAnsi="宋体" w:cs="宋体"/>
                <w:b/>
                <w:bCs/>
                <w:color w:val="0000FF"/>
                <w:sz w:val="24"/>
              </w:rPr>
            </w:pPr>
            <w:r>
              <w:rPr>
                <w:rFonts w:hint="eastAsia"/>
                <w:b/>
                <w:bCs/>
                <w:color w:val="0000FF"/>
              </w:rPr>
              <w:t>50</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8396" w:type="dxa"/>
            <w:gridSpan w:val="4"/>
          </w:tcPr>
          <w:p>
            <w:pPr>
              <w:wordWrap w:val="0"/>
              <w:rPr>
                <w:rFonts w:ascii="宋体" w:hAnsi="宋体" w:cs="宋体"/>
                <w:szCs w:val="21"/>
              </w:rPr>
            </w:pP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shd w:val="clear" w:color="auto" w:fill="E6EFFA"/>
            <w:vAlign w:val="center"/>
          </w:tcPr>
          <w:p>
            <w:pPr>
              <w:rPr>
                <w:rFonts w:ascii="宋体" w:hAnsi="宋体" w:cs="宋体"/>
                <w:b/>
                <w:bCs/>
                <w:color w:val="0000FF"/>
                <w:sz w:val="24"/>
              </w:rPr>
            </w:pPr>
          </w:p>
        </w:tc>
        <w:tc>
          <w:tcPr>
            <w:tcW w:w="675" w:type="dxa"/>
            <w:shd w:val="clear" w:color="auto" w:fill="E6EFFA"/>
            <w:vAlign w:val="center"/>
          </w:tcPr>
          <w:p>
            <w:pPr>
              <w:wordWrap w:val="0"/>
              <w:jc w:val="center"/>
              <w:rPr>
                <w:rFonts w:ascii="宋体" w:hAnsi="宋体" w:cs="宋体"/>
                <w:szCs w:val="21"/>
              </w:rPr>
            </w:pPr>
            <w:r>
              <w:rPr>
                <w:szCs w:val="21"/>
              </w:rPr>
              <w:t>序号</w:t>
            </w:r>
          </w:p>
        </w:tc>
        <w:tc>
          <w:tcPr>
            <w:tcW w:w="1129" w:type="dxa"/>
            <w:shd w:val="clear" w:color="auto" w:fill="E6EFFA"/>
            <w:vAlign w:val="center"/>
          </w:tcPr>
          <w:p>
            <w:pPr>
              <w:wordWrap w:val="0"/>
              <w:jc w:val="center"/>
              <w:rPr>
                <w:rFonts w:ascii="宋体" w:hAnsi="宋体" w:cs="宋体"/>
                <w:szCs w:val="21"/>
              </w:rPr>
            </w:pPr>
            <w:r>
              <w:rPr>
                <w:rFonts w:hint="eastAsia"/>
                <w:szCs w:val="21"/>
              </w:rPr>
              <w:t>评审因素</w:t>
            </w:r>
          </w:p>
        </w:tc>
        <w:tc>
          <w:tcPr>
            <w:tcW w:w="891" w:type="dxa"/>
            <w:shd w:val="clear" w:color="auto" w:fill="E6EFFA"/>
            <w:vAlign w:val="center"/>
          </w:tcPr>
          <w:p>
            <w:pPr>
              <w:wordWrap w:val="0"/>
              <w:jc w:val="center"/>
              <w:rPr>
                <w:rFonts w:ascii="宋体" w:hAnsi="宋体" w:cs="宋体"/>
                <w:szCs w:val="21"/>
              </w:rPr>
            </w:pPr>
            <w:r>
              <w:rPr>
                <w:szCs w:val="21"/>
              </w:rPr>
              <w:t>权重(%)</w:t>
            </w:r>
          </w:p>
        </w:tc>
        <w:tc>
          <w:tcPr>
            <w:tcW w:w="5701" w:type="dxa"/>
            <w:shd w:val="clear" w:color="auto" w:fill="E6EFFA"/>
            <w:vAlign w:val="center"/>
          </w:tcPr>
          <w:p>
            <w:pPr>
              <w:wordWrap w:val="0"/>
              <w:jc w:val="center"/>
              <w:rPr>
                <w:rFonts w:ascii="宋体" w:hAnsi="宋体" w:cs="宋体"/>
                <w:szCs w:val="21"/>
              </w:rPr>
            </w:pPr>
            <w:r>
              <w:rPr>
                <w:szCs w:val="21"/>
              </w:rPr>
              <w:t>评分准则</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cs="宋体"/>
                <w:szCs w:val="21"/>
              </w:rPr>
            </w:pPr>
            <w:r>
              <w:rPr>
                <w:rFonts w:ascii="宋体" w:hAnsi="宋体"/>
                <w:szCs w:val="21"/>
              </w:rPr>
              <w:t>1</w:t>
            </w:r>
          </w:p>
        </w:tc>
        <w:tc>
          <w:tcPr>
            <w:tcW w:w="1129" w:type="dxa"/>
            <w:vAlign w:val="center"/>
          </w:tcPr>
          <w:p>
            <w:pPr>
              <w:wordWrap w:val="0"/>
              <w:jc w:val="center"/>
              <w:rPr>
                <w:rFonts w:ascii="宋体" w:hAnsi="宋体" w:cs="宋体"/>
                <w:szCs w:val="21"/>
              </w:rPr>
            </w:pPr>
            <w:r>
              <w:rPr>
                <w:rFonts w:ascii="宋体" w:hAnsi="宋体" w:hint="eastAsia"/>
                <w:szCs w:val="21"/>
              </w:rPr>
              <w:t>实施方案</w:t>
            </w:r>
          </w:p>
        </w:tc>
        <w:tc>
          <w:tcPr>
            <w:tcW w:w="891" w:type="dxa"/>
            <w:vAlign w:val="center"/>
          </w:tcPr>
          <w:p>
            <w:pPr>
              <w:wordWrap w:val="0"/>
              <w:jc w:val="center"/>
              <w:rPr>
                <w:rFonts w:ascii="宋体" w:hAnsi="宋体" w:cs="宋体"/>
                <w:szCs w:val="21"/>
              </w:rPr>
            </w:pPr>
            <w:r>
              <w:rPr>
                <w:rFonts w:ascii="宋体" w:hAnsi="宋体" w:hint="eastAsia"/>
                <w:szCs w:val="21"/>
              </w:rPr>
              <w:t>1</w:t>
            </w:r>
            <w:r>
              <w:rPr>
                <w:rFonts w:ascii="宋体" w:hAnsi="宋体"/>
                <w:szCs w:val="21"/>
              </w:rPr>
              <w:t>0</w:t>
            </w:r>
          </w:p>
        </w:tc>
        <w:tc>
          <w:tcPr>
            <w:tcW w:w="5701" w:type="dxa"/>
          </w:tcPr>
          <w:p>
            <w:pPr>
              <w:spacing w:after="160"/>
              <w:rPr>
                <w:rFonts w:ascii="宋体" w:hAnsi="宋体"/>
                <w:szCs w:val="21"/>
              </w:rPr>
            </w:pPr>
            <w:r>
              <w:rPr>
                <w:rFonts w:ascii="宋体" w:hAnsi="宋体" w:hint="eastAsia"/>
                <w:szCs w:val="21"/>
              </w:rPr>
              <w:t>（一）评审内容：符合本项目需求的物业服务实施方案，包括：</w:t>
            </w:r>
          </w:p>
          <w:p>
            <w:pPr>
              <w:spacing w:after="160"/>
              <w:rPr>
                <w:rFonts w:ascii="宋体" w:hAnsi="宋体"/>
                <w:szCs w:val="21"/>
              </w:rPr>
            </w:pPr>
            <w:r>
              <w:rPr>
                <w:rFonts w:ascii="宋体" w:hAnsi="宋体" w:hint="eastAsia"/>
                <w:szCs w:val="21"/>
              </w:rPr>
              <w:t>1、整体管理设想；</w:t>
            </w:r>
          </w:p>
          <w:p>
            <w:pPr>
              <w:spacing w:after="160"/>
              <w:rPr>
                <w:rFonts w:ascii="宋体" w:hAnsi="宋体"/>
                <w:szCs w:val="21"/>
              </w:rPr>
            </w:pPr>
            <w:r>
              <w:rPr>
                <w:rFonts w:ascii="宋体" w:hAnsi="宋体" w:hint="eastAsia"/>
                <w:szCs w:val="21"/>
              </w:rPr>
              <w:t>2、整体管理服务理念和策划；</w:t>
            </w:r>
          </w:p>
          <w:p>
            <w:pPr>
              <w:spacing w:after="160"/>
              <w:rPr>
                <w:rFonts w:ascii="宋体" w:hAnsi="宋体"/>
                <w:szCs w:val="21"/>
              </w:rPr>
            </w:pPr>
            <w:r>
              <w:rPr>
                <w:rFonts w:ascii="宋体" w:hAnsi="宋体" w:hint="eastAsia"/>
                <w:szCs w:val="21"/>
              </w:rPr>
              <w:t>3、整体管理措施；</w:t>
            </w:r>
          </w:p>
          <w:p>
            <w:pPr>
              <w:spacing w:after="160"/>
              <w:rPr>
                <w:rFonts w:ascii="宋体" w:hAnsi="宋体"/>
                <w:szCs w:val="21"/>
              </w:rPr>
            </w:pPr>
            <w:r>
              <w:rPr>
                <w:rFonts w:ascii="宋体" w:hAnsi="宋体" w:hint="eastAsia"/>
                <w:szCs w:val="21"/>
              </w:rPr>
              <w:t>4、人员培训；</w:t>
            </w:r>
          </w:p>
          <w:p>
            <w:pPr>
              <w:spacing w:after="160"/>
              <w:rPr>
                <w:rFonts w:ascii="宋体" w:hAnsi="宋体"/>
                <w:szCs w:val="21"/>
              </w:rPr>
            </w:pPr>
            <w:r>
              <w:rPr>
                <w:rFonts w:ascii="宋体" w:hAnsi="宋体" w:hint="eastAsia"/>
                <w:szCs w:val="21"/>
              </w:rPr>
              <w:t>5、机电设备设施管理和维护；</w:t>
            </w:r>
          </w:p>
          <w:p>
            <w:pPr>
              <w:spacing w:after="160"/>
              <w:rPr>
                <w:rFonts w:ascii="宋体" w:hAnsi="宋体"/>
                <w:szCs w:val="21"/>
              </w:rPr>
            </w:pPr>
            <w:r>
              <w:rPr>
                <w:rFonts w:ascii="宋体" w:hAnsi="宋体" w:hint="eastAsia"/>
                <w:szCs w:val="21"/>
              </w:rPr>
              <w:t>6、安保服务管理；</w:t>
            </w:r>
          </w:p>
          <w:p>
            <w:pPr>
              <w:spacing w:after="160"/>
              <w:rPr>
                <w:rFonts w:ascii="宋体" w:hAnsi="宋体"/>
                <w:szCs w:val="21"/>
              </w:rPr>
            </w:pPr>
            <w:r>
              <w:rPr>
                <w:rFonts w:ascii="宋体" w:hAnsi="宋体" w:hint="eastAsia"/>
                <w:szCs w:val="21"/>
              </w:rPr>
              <w:t>7、保洁、消杀服务管理；</w:t>
            </w:r>
          </w:p>
          <w:p>
            <w:pPr>
              <w:spacing w:after="160"/>
              <w:rPr>
                <w:rFonts w:ascii="宋体" w:hAnsi="宋体"/>
                <w:szCs w:val="21"/>
              </w:rPr>
            </w:pPr>
            <w:r>
              <w:rPr>
                <w:rFonts w:ascii="宋体" w:hAnsi="宋体" w:hint="eastAsia"/>
                <w:szCs w:val="21"/>
              </w:rPr>
              <w:t>8、绿化服务管理；</w:t>
            </w:r>
          </w:p>
          <w:p>
            <w:pPr>
              <w:spacing w:after="160"/>
              <w:rPr>
                <w:rFonts w:ascii="宋体" w:hAnsi="宋体"/>
                <w:szCs w:val="21"/>
              </w:rPr>
            </w:pPr>
            <w:r>
              <w:rPr>
                <w:rFonts w:ascii="宋体" w:hAnsi="宋体" w:hint="eastAsia"/>
                <w:szCs w:val="21"/>
              </w:rPr>
              <w:t>9、节能减排措施及管理；</w:t>
            </w:r>
          </w:p>
          <w:p>
            <w:pPr>
              <w:spacing w:after="160"/>
              <w:rPr>
                <w:rFonts w:ascii="宋体" w:hAnsi="宋体" w:cs="宋体"/>
                <w:szCs w:val="21"/>
              </w:rPr>
            </w:pPr>
            <w:r>
              <w:rPr>
                <w:rFonts w:ascii="宋体" w:hAnsi="宋体" w:hint="eastAsia"/>
                <w:szCs w:val="21"/>
              </w:rPr>
              <w:t>10、突发事件及防疫措施管理。</w:t>
            </w:r>
            <w:r>
              <w:rPr>
                <w:rFonts w:ascii="宋体" w:hAnsi="宋体" w:cs="宋体"/>
                <w:szCs w:val="21"/>
              </w:rPr>
              <w:t xml:space="preserve"> </w:t>
            </w:r>
          </w:p>
          <w:p>
            <w:pPr>
              <w:widowControl/>
              <w:spacing w:after="160"/>
              <w:textAlignment w:val="top"/>
              <w:rPr>
                <w:szCs w:val="21"/>
              </w:rPr>
            </w:pPr>
            <w:r>
              <w:rPr>
                <w:rFonts w:ascii="宋体" w:hAnsi="宋体" w:cs="宋体"/>
                <w:kern w:val="0"/>
                <w:szCs w:val="21"/>
              </w:rPr>
              <w:t xml:space="preserve">（二）评分依据： </w:t>
            </w:r>
          </w:p>
          <w:p>
            <w:pPr>
              <w:spacing w:after="160"/>
              <w:rPr>
                <w:rFonts w:ascii="宋体" w:hAnsi="宋体"/>
                <w:szCs w:val="21"/>
              </w:rPr>
            </w:pPr>
            <w:r>
              <w:rPr>
                <w:rFonts w:ascii="宋体" w:hAnsi="宋体" w:hint="eastAsia"/>
                <w:szCs w:val="21"/>
              </w:rPr>
              <w:t>考察以上10项，全部满足得50分，每少提供1项扣</w:t>
            </w:r>
            <w:r>
              <w:rPr>
                <w:rFonts w:ascii="宋体" w:hAnsi="宋体" w:hint="eastAsia"/>
                <w:szCs w:val="21"/>
                <w:lang w:val="en-US" w:eastAsia="zh-CN"/>
              </w:rPr>
              <w:t>5</w:t>
            </w:r>
            <w:r>
              <w:rPr>
                <w:rFonts w:ascii="宋体" w:hAnsi="宋体" w:hint="eastAsia"/>
                <w:szCs w:val="21"/>
              </w:rPr>
              <w:t>分，未满足不得分。</w:t>
            </w:r>
          </w:p>
          <w:p>
            <w:pPr>
              <w:spacing w:after="160"/>
              <w:rPr>
                <w:rFonts w:ascii="宋体" w:hAnsi="宋体"/>
                <w:szCs w:val="21"/>
              </w:rPr>
            </w:pPr>
            <w:r>
              <w:rPr>
                <w:rFonts w:ascii="宋体" w:hAnsi="宋体"/>
                <w:szCs w:val="21"/>
              </w:rPr>
              <w:t>在此基础上，专家根据各供应商的具体响应内容按照量化的评审因素指标进一步评审，根据投标人提供的方案内容是否科学</w:t>
            </w:r>
            <w:r>
              <w:rPr>
                <w:rFonts w:ascii="宋体" w:hAnsi="宋体" w:hint="eastAsia"/>
                <w:szCs w:val="21"/>
              </w:rPr>
              <w:t>、</w:t>
            </w:r>
            <w:r>
              <w:rPr>
                <w:rFonts w:ascii="宋体" w:hAnsi="宋体"/>
                <w:szCs w:val="21"/>
              </w:rPr>
              <w:t>可行</w:t>
            </w:r>
            <w:r>
              <w:rPr>
                <w:rFonts w:ascii="宋体" w:hAnsi="宋体" w:hint="eastAsia"/>
                <w:szCs w:val="21"/>
              </w:rPr>
              <w:t>、</w:t>
            </w:r>
            <w:r>
              <w:rPr>
                <w:rFonts w:ascii="宋体" w:hAnsi="宋体"/>
                <w:szCs w:val="21"/>
              </w:rPr>
              <w:t xml:space="preserve">合理进行打分： </w:t>
            </w:r>
          </w:p>
          <w:p>
            <w:pPr>
              <w:spacing w:after="160"/>
              <w:rPr>
                <w:rFonts w:ascii="宋体" w:hAnsi="宋体"/>
                <w:szCs w:val="21"/>
              </w:rPr>
            </w:pPr>
            <w:r>
              <w:rPr>
                <w:rFonts w:ascii="宋体" w:hAnsi="宋体"/>
                <w:szCs w:val="21"/>
              </w:rPr>
              <w:t>1、评审为优：项目整体设想及策划思路清晰明确，方案合理可行，满足服务要求，针对性强，得</w:t>
            </w:r>
            <w:r>
              <w:rPr>
                <w:rFonts w:ascii="宋体" w:hAnsi="宋体" w:hint="eastAsia"/>
                <w:szCs w:val="21"/>
              </w:rPr>
              <w:t>50</w:t>
            </w:r>
            <w:r>
              <w:rPr>
                <w:rFonts w:ascii="宋体" w:hAnsi="宋体"/>
                <w:szCs w:val="21"/>
              </w:rPr>
              <w:t xml:space="preserve">分； </w:t>
            </w:r>
          </w:p>
          <w:p>
            <w:pPr>
              <w:spacing w:after="160"/>
              <w:rPr>
                <w:rFonts w:ascii="宋体" w:hAnsi="宋体"/>
                <w:szCs w:val="21"/>
              </w:rPr>
            </w:pPr>
            <w:r>
              <w:rPr>
                <w:rFonts w:ascii="宋体" w:hAnsi="宋体"/>
                <w:szCs w:val="21"/>
              </w:rPr>
              <w:t>2、评审为良：项目整体设想及策划总体思路比较清晰，方案比较合理可行，可以满足服务要求，得</w:t>
            </w:r>
            <w:r>
              <w:rPr>
                <w:rFonts w:ascii="宋体" w:hAnsi="宋体" w:hint="eastAsia"/>
                <w:szCs w:val="21"/>
              </w:rPr>
              <w:t>30</w:t>
            </w:r>
            <w:r>
              <w:rPr>
                <w:rFonts w:ascii="宋体" w:hAnsi="宋体"/>
                <w:szCs w:val="21"/>
              </w:rPr>
              <w:t xml:space="preserve">分； </w:t>
            </w:r>
          </w:p>
          <w:p>
            <w:pPr>
              <w:spacing w:after="160"/>
              <w:rPr>
                <w:rFonts w:ascii="宋体" w:hAnsi="宋体"/>
                <w:szCs w:val="21"/>
              </w:rPr>
            </w:pPr>
            <w:r>
              <w:rPr>
                <w:rFonts w:ascii="宋体" w:hAnsi="宋体"/>
                <w:szCs w:val="21"/>
              </w:rPr>
              <w:t xml:space="preserve">3、评审为中：项目整体设想及策划思路基本清晰，方案基本合理可行，基本可以满足服务要求，得10分； </w:t>
            </w:r>
          </w:p>
          <w:p>
            <w:pPr>
              <w:spacing w:after="160"/>
              <w:rPr>
                <w:rFonts w:ascii="宋体" w:hAnsi="宋体"/>
                <w:szCs w:val="21"/>
              </w:rPr>
            </w:pPr>
            <w:r>
              <w:rPr>
                <w:rFonts w:ascii="宋体" w:hAnsi="宋体"/>
                <w:szCs w:val="21"/>
              </w:rPr>
              <w:t xml:space="preserve">4、评审为差：项目整体设想及策划思路不清晰，方案不完整，不能满足服务需要，不得分。 </w:t>
            </w:r>
          </w:p>
          <w:p>
            <w:pPr>
              <w:spacing w:after="160"/>
              <w:rPr>
                <w:rFonts w:ascii="宋体" w:hAnsi="宋体" w:cs="宋体"/>
                <w:szCs w:val="21"/>
              </w:rPr>
            </w:pPr>
            <w:r>
              <w:rPr>
                <w:rFonts w:ascii="宋体" w:hAnsi="宋体"/>
                <w:szCs w:val="21"/>
              </w:rPr>
              <w:t>以上累计得分，最高得1</w:t>
            </w:r>
            <w:r>
              <w:rPr>
                <w:rFonts w:ascii="宋体" w:hAnsi="宋体" w:hint="eastAsia"/>
                <w:szCs w:val="21"/>
              </w:rPr>
              <w:t>00</w:t>
            </w:r>
            <w:r>
              <w:rPr>
                <w:rFonts w:ascii="宋体" w:hAnsi="宋体"/>
                <w:szCs w:val="21"/>
              </w:rPr>
              <w:t>分。如果评审为差，要求专家书面说明理由，并记录在档。</w:t>
            </w:r>
            <w:r>
              <w:rPr>
                <w:rFonts w:ascii="宋体" w:hAnsi="宋体" w:hint="eastAsia"/>
                <w:szCs w:val="21"/>
              </w:rPr>
              <w:t>如果评审为差，要求专家书面说明理由，并记录在档。</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cs="宋体"/>
                <w:szCs w:val="21"/>
              </w:rPr>
            </w:pPr>
            <w:r>
              <w:rPr>
                <w:rFonts w:ascii="宋体" w:hAnsi="宋体"/>
                <w:szCs w:val="21"/>
              </w:rPr>
              <w:t>2</w:t>
            </w:r>
          </w:p>
        </w:tc>
        <w:tc>
          <w:tcPr>
            <w:tcW w:w="1129" w:type="dxa"/>
            <w:vAlign w:val="center"/>
          </w:tcPr>
          <w:p>
            <w:pPr>
              <w:wordWrap w:val="0"/>
              <w:jc w:val="center"/>
              <w:rPr>
                <w:rFonts w:ascii="宋体" w:hAnsi="宋体" w:cs="宋体"/>
                <w:szCs w:val="21"/>
              </w:rPr>
            </w:pPr>
            <w:r>
              <w:rPr>
                <w:rFonts w:ascii="宋体" w:hAnsi="宋体" w:hint="eastAsia"/>
                <w:szCs w:val="21"/>
              </w:rPr>
              <w:t>项目重点难点分析、应对措施及相关的合理化建议</w:t>
            </w:r>
          </w:p>
        </w:tc>
        <w:tc>
          <w:tcPr>
            <w:tcW w:w="891" w:type="dxa"/>
            <w:vAlign w:val="center"/>
          </w:tcPr>
          <w:p>
            <w:pPr>
              <w:wordWrap w:val="0"/>
              <w:jc w:val="center"/>
              <w:rPr>
                <w:rFonts w:ascii="宋体" w:hAnsi="宋体" w:cs="宋体"/>
                <w:szCs w:val="21"/>
              </w:rPr>
            </w:pPr>
            <w:r>
              <w:rPr>
                <w:rFonts w:ascii="宋体" w:hAnsi="宋体" w:hint="eastAsia"/>
                <w:szCs w:val="21"/>
              </w:rPr>
              <w:t>10</w:t>
            </w:r>
          </w:p>
        </w:tc>
        <w:tc>
          <w:tcPr>
            <w:tcW w:w="5701" w:type="dxa"/>
            <w:vAlign w:val="center"/>
          </w:tcPr>
          <w:p>
            <w:pPr>
              <w:spacing w:after="160"/>
              <w:rPr>
                <w:rFonts w:ascii="宋体" w:hAnsi="宋体"/>
                <w:szCs w:val="21"/>
              </w:rPr>
            </w:pPr>
            <w:r>
              <w:rPr>
                <w:rFonts w:ascii="宋体" w:hAnsi="宋体" w:hint="eastAsia"/>
                <w:szCs w:val="21"/>
              </w:rPr>
              <w:t xml:space="preserve">(一)评审内容： </w:t>
            </w:r>
          </w:p>
          <w:p>
            <w:pPr>
              <w:spacing w:after="120" w:afterLines="50"/>
              <w:rPr>
                <w:rFonts w:ascii="宋体" w:hAnsi="宋体"/>
                <w:szCs w:val="21"/>
              </w:rPr>
            </w:pPr>
            <w:r>
              <w:rPr>
                <w:rFonts w:ascii="宋体" w:hAnsi="宋体" w:hint="eastAsia"/>
                <w:szCs w:val="21"/>
              </w:rPr>
              <w:t>评审内容：各类别残疾人服务方案，需制定符合本项目需求的残疾人服务方案，内容如下：</w:t>
            </w:r>
          </w:p>
          <w:p>
            <w:pPr>
              <w:spacing w:after="120" w:afterLines="50"/>
              <w:rPr>
                <w:rFonts w:ascii="宋体" w:hAnsi="宋体"/>
                <w:szCs w:val="21"/>
              </w:rPr>
            </w:pPr>
            <w:r>
              <w:rPr>
                <w:rFonts w:ascii="宋体" w:hAnsi="宋体" w:hint="eastAsia"/>
                <w:szCs w:val="21"/>
              </w:rPr>
              <w:t>1.突发紧急事件的应急处理预案，其中具体包含：</w:t>
            </w:r>
          </w:p>
          <w:p>
            <w:pPr>
              <w:spacing w:after="120" w:afterLines="50"/>
              <w:rPr>
                <w:rFonts w:ascii="宋体" w:hAnsi="宋体"/>
                <w:szCs w:val="21"/>
              </w:rPr>
            </w:pPr>
            <w:r>
              <w:rPr>
                <w:rFonts w:ascii="宋体" w:hAnsi="宋体" w:hint="eastAsia"/>
                <w:szCs w:val="21"/>
              </w:rPr>
              <w:t>（1）残疾人信访维稳预案培训机制；</w:t>
            </w:r>
          </w:p>
          <w:p>
            <w:pPr>
              <w:spacing w:after="120" w:afterLines="50"/>
              <w:rPr>
                <w:rFonts w:ascii="宋体" w:hAnsi="宋体"/>
                <w:szCs w:val="21"/>
              </w:rPr>
            </w:pPr>
            <w:r>
              <w:rPr>
                <w:rFonts w:ascii="宋体" w:hAnsi="宋体" w:hint="eastAsia"/>
                <w:szCs w:val="21"/>
              </w:rPr>
              <w:t>（2）残疾人信访维稳响应机制；</w:t>
            </w:r>
          </w:p>
          <w:p>
            <w:pPr>
              <w:spacing w:after="120" w:afterLines="50"/>
              <w:rPr>
                <w:rFonts w:ascii="宋体" w:hAnsi="宋体"/>
                <w:szCs w:val="21"/>
              </w:rPr>
            </w:pPr>
            <w:r>
              <w:rPr>
                <w:rFonts w:ascii="宋体" w:hAnsi="宋体" w:hint="eastAsia"/>
                <w:szCs w:val="21"/>
              </w:rPr>
              <w:t>（3）残疾人信访维稳冲突防范机制；</w:t>
            </w:r>
          </w:p>
          <w:p>
            <w:pPr>
              <w:spacing w:after="120" w:afterLines="50"/>
              <w:rPr>
                <w:rFonts w:ascii="宋体" w:hAnsi="宋体"/>
                <w:szCs w:val="21"/>
              </w:rPr>
            </w:pPr>
            <w:r>
              <w:rPr>
                <w:rFonts w:ascii="宋体" w:hAnsi="宋体" w:hint="eastAsia"/>
                <w:szCs w:val="21"/>
              </w:rPr>
              <w:t>（4）残疾人信访维稳紧急支援机制；</w:t>
            </w:r>
          </w:p>
          <w:p>
            <w:pPr>
              <w:spacing w:after="120" w:afterLines="50"/>
              <w:rPr>
                <w:rFonts w:ascii="宋体" w:hAnsi="宋体"/>
                <w:szCs w:val="21"/>
              </w:rPr>
            </w:pPr>
            <w:r>
              <w:rPr>
                <w:rFonts w:ascii="宋体" w:hAnsi="宋体" w:hint="eastAsia"/>
                <w:szCs w:val="21"/>
              </w:rPr>
              <w:t>（5）远程监控计划及应急协调机制。</w:t>
            </w:r>
          </w:p>
          <w:p>
            <w:pPr>
              <w:spacing w:after="160"/>
              <w:rPr>
                <w:rFonts w:ascii="宋体" w:hAnsi="宋体"/>
                <w:szCs w:val="21"/>
              </w:rPr>
            </w:pPr>
            <w:r>
              <w:rPr>
                <w:rFonts w:ascii="宋体" w:hAnsi="宋体" w:hint="eastAsia"/>
                <w:szCs w:val="21"/>
              </w:rPr>
              <w:t>（二）评分依据：：考察以上5项（满足5项得50分，满足任意4项得40分，满足任意3项得30分，满足任意2项得20分，满足任意1项得10分，未满足不得分。，</w:t>
            </w:r>
          </w:p>
          <w:p>
            <w:pPr>
              <w:spacing w:after="160"/>
              <w:rPr>
                <w:rFonts w:ascii="宋体" w:hAnsi="宋体"/>
                <w:szCs w:val="21"/>
              </w:rPr>
            </w:pPr>
            <w:r>
              <w:rPr>
                <w:rFonts w:ascii="宋体" w:hAnsi="宋体" w:hint="eastAsia"/>
                <w:szCs w:val="21"/>
              </w:rPr>
              <w:t xml:space="preserve">在此基础上，专家根据各供应商的具体响应内容按照量化的评审因素指标进一步评审，根据投标人提供的方案内容是否科学，可行，合理进行打分： </w:t>
            </w:r>
          </w:p>
          <w:p>
            <w:pPr>
              <w:spacing w:after="160"/>
              <w:rPr>
                <w:rFonts w:ascii="宋体" w:hAnsi="宋体"/>
                <w:szCs w:val="21"/>
              </w:rPr>
            </w:pPr>
            <w:r>
              <w:rPr>
                <w:rFonts w:ascii="宋体" w:hAnsi="宋体" w:hint="eastAsia"/>
                <w:szCs w:val="21"/>
              </w:rPr>
              <w:t xml:space="preserve">1、评审为优：项目重点、难点分析明确，提出的应对措施合理，满足服务要求，针对性强，得50分； </w:t>
            </w:r>
          </w:p>
          <w:p>
            <w:pPr>
              <w:spacing w:after="160"/>
              <w:rPr>
                <w:rFonts w:ascii="宋体" w:hAnsi="宋体"/>
                <w:szCs w:val="21"/>
              </w:rPr>
            </w:pPr>
            <w:r>
              <w:rPr>
                <w:rFonts w:ascii="宋体" w:hAnsi="宋体" w:hint="eastAsia"/>
                <w:szCs w:val="21"/>
              </w:rPr>
              <w:t xml:space="preserve">2、评审为良：项目重点、难点分析比较清晰，方案比较合理可行，可以满足服务要求，得30分； </w:t>
            </w:r>
          </w:p>
          <w:p>
            <w:pPr>
              <w:spacing w:after="160"/>
              <w:rPr>
                <w:rFonts w:ascii="宋体" w:hAnsi="宋体"/>
                <w:szCs w:val="21"/>
              </w:rPr>
            </w:pPr>
            <w:r>
              <w:rPr>
                <w:rFonts w:ascii="宋体" w:hAnsi="宋体" w:hint="eastAsia"/>
                <w:szCs w:val="21"/>
              </w:rPr>
              <w:t xml:space="preserve">3、评审为中：项目重点、难点分析基本清晰，方案基本合理可行，基本可以满足服务要求，得10分； </w:t>
            </w:r>
          </w:p>
          <w:p>
            <w:pPr>
              <w:spacing w:after="160"/>
              <w:rPr>
                <w:rFonts w:ascii="宋体" w:hAnsi="宋体"/>
                <w:szCs w:val="21"/>
              </w:rPr>
            </w:pPr>
            <w:r>
              <w:rPr>
                <w:rFonts w:ascii="宋体" w:hAnsi="宋体" w:hint="eastAsia"/>
                <w:szCs w:val="21"/>
              </w:rPr>
              <w:t xml:space="preserve">4、评审为差：项目重点、难点分析思路不清晰，方案不完整，不能满足服务需要，不得分。 </w:t>
            </w:r>
          </w:p>
          <w:p>
            <w:pPr>
              <w:spacing w:after="160"/>
              <w:rPr>
                <w:rFonts w:ascii="宋体" w:hAnsi="宋体" w:cs="宋体"/>
                <w:szCs w:val="21"/>
              </w:rPr>
            </w:pPr>
            <w:r>
              <w:rPr>
                <w:rFonts w:ascii="宋体" w:hAnsi="宋体" w:hint="eastAsia"/>
                <w:szCs w:val="21"/>
              </w:rPr>
              <w:t>以上累计得分，最高得100分。如果评审为差，要求专家书面说明理由，并记录在档。如果评审为差，要求专家书面说明理由，并记录在档。</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cs="宋体"/>
                <w:szCs w:val="21"/>
              </w:rPr>
            </w:pPr>
            <w:r>
              <w:rPr>
                <w:rFonts w:ascii="宋体" w:hAnsi="宋体"/>
                <w:szCs w:val="21"/>
              </w:rPr>
              <w:t>3</w:t>
            </w:r>
          </w:p>
        </w:tc>
        <w:tc>
          <w:tcPr>
            <w:tcW w:w="1129" w:type="dxa"/>
            <w:vAlign w:val="center"/>
          </w:tcPr>
          <w:p>
            <w:pPr>
              <w:wordWrap w:val="0"/>
              <w:jc w:val="center"/>
              <w:rPr>
                <w:rFonts w:ascii="宋体" w:hAnsi="宋体" w:cs="宋体"/>
                <w:szCs w:val="21"/>
              </w:rPr>
            </w:pPr>
            <w:r>
              <w:rPr>
                <w:rFonts w:ascii="宋体" w:hAnsi="宋体" w:hint="eastAsia"/>
                <w:szCs w:val="21"/>
              </w:rPr>
              <w:t>质量（完成时间、安全、环保）保障措施及方案</w:t>
            </w:r>
          </w:p>
        </w:tc>
        <w:tc>
          <w:tcPr>
            <w:tcW w:w="891" w:type="dxa"/>
            <w:vAlign w:val="center"/>
          </w:tcPr>
          <w:p>
            <w:pPr>
              <w:wordWrap w:val="0"/>
              <w:jc w:val="center"/>
              <w:rPr>
                <w:rFonts w:ascii="宋体" w:hAnsi="宋体" w:cs="宋体"/>
                <w:szCs w:val="21"/>
              </w:rPr>
            </w:pPr>
            <w:r>
              <w:rPr>
                <w:rFonts w:ascii="宋体" w:hAnsi="宋体" w:hint="eastAsia"/>
                <w:szCs w:val="21"/>
              </w:rPr>
              <w:t>5</w:t>
            </w:r>
          </w:p>
        </w:tc>
        <w:tc>
          <w:tcPr>
            <w:tcW w:w="5701" w:type="dxa"/>
            <w:vAlign w:val="center"/>
          </w:tcPr>
          <w:p>
            <w:pPr>
              <w:spacing w:after="160"/>
              <w:rPr>
                <w:rFonts w:ascii="宋体" w:hAnsi="宋体"/>
                <w:szCs w:val="21"/>
              </w:rPr>
            </w:pPr>
            <w:r>
              <w:rPr>
                <w:rFonts w:ascii="宋体" w:hAnsi="宋体" w:hint="eastAsia"/>
                <w:szCs w:val="21"/>
              </w:rPr>
              <w:t>（一）评审内容：</w:t>
            </w:r>
          </w:p>
          <w:p>
            <w:pPr>
              <w:spacing w:after="160"/>
              <w:rPr>
                <w:rFonts w:ascii="宋体" w:hAnsi="宋体"/>
                <w:szCs w:val="21"/>
              </w:rPr>
            </w:pPr>
            <w:r>
              <w:rPr>
                <w:rFonts w:ascii="宋体" w:hAnsi="宋体" w:hint="eastAsia"/>
                <w:szCs w:val="21"/>
              </w:rPr>
              <w:t xml:space="preserve">提供针对本项目的保障措施及服务流程整体相关应急方案： </w:t>
            </w:r>
          </w:p>
          <w:p>
            <w:pPr>
              <w:spacing w:after="160"/>
              <w:rPr>
                <w:rFonts w:ascii="宋体" w:hAnsi="宋体"/>
                <w:szCs w:val="21"/>
              </w:rPr>
            </w:pPr>
            <w:r>
              <w:rPr>
                <w:rFonts w:ascii="宋体" w:hAnsi="宋体" w:hint="eastAsia"/>
                <w:szCs w:val="21"/>
              </w:rPr>
              <w:t>1、质量保障措施；</w:t>
            </w:r>
          </w:p>
          <w:p>
            <w:pPr>
              <w:spacing w:after="160"/>
              <w:rPr>
                <w:rFonts w:ascii="宋体" w:hAnsi="宋体"/>
                <w:szCs w:val="21"/>
              </w:rPr>
            </w:pPr>
            <w:r>
              <w:rPr>
                <w:rFonts w:ascii="宋体" w:hAnsi="宋体" w:hint="eastAsia"/>
                <w:szCs w:val="21"/>
              </w:rPr>
              <w:t xml:space="preserve">2、规章制度、档案管理； </w:t>
            </w:r>
          </w:p>
          <w:p>
            <w:pPr>
              <w:spacing w:after="160"/>
              <w:rPr>
                <w:rFonts w:ascii="宋体" w:hAnsi="宋体"/>
                <w:szCs w:val="21"/>
              </w:rPr>
            </w:pPr>
            <w:r>
              <w:rPr>
                <w:rFonts w:ascii="宋体" w:hAnsi="宋体" w:hint="eastAsia"/>
                <w:szCs w:val="21"/>
              </w:rPr>
              <w:t>3、应急预案，至少包括：重要会议活动、反恐、消防、电梯困人、突发停电、突发停水、打架斗殴、特殊天气、疫情防控等9项方案；</w:t>
            </w:r>
          </w:p>
          <w:p>
            <w:pPr>
              <w:spacing w:after="160"/>
              <w:rPr>
                <w:rFonts w:ascii="宋体" w:hAnsi="宋体"/>
                <w:szCs w:val="21"/>
              </w:rPr>
            </w:pPr>
            <w:r>
              <w:rPr>
                <w:rFonts w:ascii="宋体" w:hAnsi="宋体" w:hint="eastAsia"/>
                <w:szCs w:val="21"/>
              </w:rPr>
              <w:t>4、节能减排、垃圾分类具体保障措施。</w:t>
            </w:r>
          </w:p>
          <w:p>
            <w:pPr>
              <w:spacing w:after="160"/>
              <w:rPr>
                <w:rFonts w:ascii="宋体" w:hAnsi="宋体"/>
                <w:szCs w:val="21"/>
              </w:rPr>
            </w:pPr>
            <w:r>
              <w:rPr>
                <w:rFonts w:ascii="宋体" w:hAnsi="宋体" w:hint="eastAsia"/>
                <w:szCs w:val="21"/>
              </w:rPr>
              <w:t xml:space="preserve">（二）评分依据： </w:t>
            </w:r>
          </w:p>
          <w:p>
            <w:pPr>
              <w:spacing w:after="160"/>
              <w:rPr>
                <w:rFonts w:ascii="宋体" w:hAnsi="宋体"/>
                <w:szCs w:val="21"/>
              </w:rPr>
            </w:pPr>
            <w:r>
              <w:rPr>
                <w:rFonts w:ascii="宋体" w:hAnsi="宋体" w:hint="eastAsia"/>
                <w:szCs w:val="21"/>
              </w:rPr>
              <w:t>满足4项得60分，满足任意3项得45分，满足任意2项得30分，满足任意1项得15分，未满足不得分。</w:t>
            </w:r>
          </w:p>
          <w:p>
            <w:pPr>
              <w:spacing w:after="160"/>
              <w:rPr>
                <w:rFonts w:ascii="宋体" w:hAnsi="宋体"/>
                <w:szCs w:val="21"/>
              </w:rPr>
            </w:pPr>
            <w:r>
              <w:rPr>
                <w:rFonts w:ascii="宋体" w:hAnsi="宋体" w:hint="eastAsia"/>
                <w:szCs w:val="21"/>
              </w:rPr>
              <w:t>在此基础上，专家根据各供应商的具体响应内容按照量化的评审因素、指标进一步评审，根据投标人提供的方案内容是否科学，可行，合理进行打分：</w:t>
            </w:r>
          </w:p>
          <w:p>
            <w:pPr>
              <w:spacing w:after="160"/>
              <w:rPr>
                <w:rFonts w:ascii="宋体" w:hAnsi="宋体"/>
                <w:szCs w:val="21"/>
              </w:rPr>
            </w:pPr>
            <w:r>
              <w:rPr>
                <w:rFonts w:ascii="宋体" w:hAnsi="宋体" w:hint="eastAsia"/>
                <w:szCs w:val="21"/>
              </w:rPr>
              <w:t>1、评审为优：保障措施全面具体，应急方案针对性强，得40分；</w:t>
            </w:r>
          </w:p>
          <w:p>
            <w:pPr>
              <w:spacing w:after="160"/>
              <w:rPr>
                <w:rFonts w:ascii="宋体" w:hAnsi="宋体"/>
                <w:szCs w:val="21"/>
              </w:rPr>
            </w:pPr>
            <w:r>
              <w:rPr>
                <w:rFonts w:ascii="宋体" w:hAnsi="宋体" w:hint="eastAsia"/>
                <w:szCs w:val="21"/>
              </w:rPr>
              <w:t>2、评审为良：保障措施较全面，应急方案针对性较强，得20分；</w:t>
            </w:r>
          </w:p>
          <w:p>
            <w:pPr>
              <w:spacing w:after="160"/>
              <w:rPr>
                <w:rFonts w:ascii="宋体" w:hAnsi="宋体"/>
                <w:szCs w:val="21"/>
              </w:rPr>
            </w:pPr>
            <w:r>
              <w:rPr>
                <w:rFonts w:ascii="宋体" w:hAnsi="宋体" w:hint="eastAsia"/>
                <w:szCs w:val="21"/>
              </w:rPr>
              <w:t>3、评审为中：保障措施一般，应急方案针对性一般，得10分；</w:t>
            </w:r>
          </w:p>
          <w:p>
            <w:pPr>
              <w:spacing w:after="160"/>
              <w:rPr>
                <w:rFonts w:ascii="宋体" w:hAnsi="宋体"/>
                <w:szCs w:val="21"/>
              </w:rPr>
            </w:pPr>
            <w:r>
              <w:rPr>
                <w:rFonts w:ascii="宋体" w:hAnsi="宋体" w:hint="eastAsia"/>
                <w:szCs w:val="21"/>
              </w:rPr>
              <w:t>4、评审为差：保障措施差，应急方案针对性差，不得分。</w:t>
            </w:r>
          </w:p>
          <w:p>
            <w:pPr>
              <w:spacing w:after="160"/>
              <w:rPr>
                <w:rFonts w:ascii="宋体" w:hAnsi="宋体" w:cs="宋体"/>
                <w:szCs w:val="21"/>
              </w:rPr>
            </w:pPr>
            <w:r>
              <w:rPr>
                <w:rFonts w:ascii="宋体" w:hAnsi="宋体" w:hint="eastAsia"/>
                <w:szCs w:val="21"/>
              </w:rPr>
              <w:t>以上累计得分，最高得100分。如果评审为差，要求专家书面说明理由，并记录在档。</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cs="宋体"/>
                <w:szCs w:val="21"/>
              </w:rPr>
            </w:pPr>
            <w:r>
              <w:rPr>
                <w:rFonts w:ascii="宋体" w:hAnsi="宋体" w:hint="eastAsia"/>
                <w:szCs w:val="21"/>
              </w:rPr>
              <w:t>4</w:t>
            </w:r>
          </w:p>
        </w:tc>
        <w:tc>
          <w:tcPr>
            <w:tcW w:w="1129" w:type="dxa"/>
            <w:vAlign w:val="center"/>
          </w:tcPr>
          <w:p>
            <w:pPr>
              <w:wordWrap w:val="0"/>
              <w:jc w:val="center"/>
              <w:rPr>
                <w:rFonts w:ascii="宋体" w:hAnsi="宋体" w:cs="宋体"/>
                <w:szCs w:val="21"/>
              </w:rPr>
            </w:pPr>
            <w:r>
              <w:rPr>
                <w:rFonts w:ascii="宋体" w:hAnsi="宋体" w:hint="eastAsia"/>
                <w:szCs w:val="21"/>
              </w:rPr>
              <w:t>项目完成（服务期满）后的服务承诺</w:t>
            </w:r>
          </w:p>
        </w:tc>
        <w:tc>
          <w:tcPr>
            <w:tcW w:w="891" w:type="dxa"/>
            <w:vAlign w:val="center"/>
          </w:tcPr>
          <w:p>
            <w:pPr>
              <w:wordWrap w:val="0"/>
              <w:jc w:val="center"/>
              <w:rPr>
                <w:rFonts w:ascii="宋体" w:hAnsi="宋体" w:cs="宋体"/>
                <w:szCs w:val="21"/>
              </w:rPr>
            </w:pPr>
            <w:r>
              <w:rPr>
                <w:rFonts w:ascii="宋体" w:hAnsi="宋体" w:hint="eastAsia"/>
                <w:szCs w:val="21"/>
              </w:rPr>
              <w:t>5</w:t>
            </w:r>
          </w:p>
        </w:tc>
        <w:tc>
          <w:tcPr>
            <w:tcW w:w="5701" w:type="dxa"/>
          </w:tcPr>
          <w:p>
            <w:pPr>
              <w:widowControl/>
              <w:spacing w:after="160"/>
              <w:rPr>
                <w:rFonts w:ascii="宋体" w:hAnsi="宋体"/>
                <w:szCs w:val="21"/>
              </w:rPr>
            </w:pPr>
            <w:r>
              <w:rPr>
                <w:szCs w:val="21"/>
              </w:rPr>
              <w:t>投标人承诺以下全部三项的得100分，否则不得分。</w:t>
            </w:r>
          </w:p>
          <w:p>
            <w:pPr>
              <w:widowControl/>
              <w:spacing w:after="160"/>
              <w:rPr>
                <w:szCs w:val="21"/>
              </w:rPr>
            </w:pPr>
            <w:r>
              <w:rPr>
                <w:rFonts w:hint="eastAsia"/>
                <w:szCs w:val="21"/>
              </w:rPr>
              <w:t>1、</w:t>
            </w:r>
            <w:r>
              <w:rPr>
                <w:szCs w:val="21"/>
              </w:rPr>
              <w:t xml:space="preserve">服务期满后主动离岗； </w:t>
            </w:r>
          </w:p>
          <w:p>
            <w:pPr>
              <w:widowControl/>
              <w:spacing w:after="160"/>
              <w:rPr>
                <w:szCs w:val="21"/>
              </w:rPr>
            </w:pPr>
            <w:r>
              <w:rPr>
                <w:rFonts w:hint="eastAsia"/>
                <w:szCs w:val="21"/>
              </w:rPr>
              <w:t>2、</w:t>
            </w:r>
            <w:r>
              <w:rPr>
                <w:szCs w:val="21"/>
              </w:rPr>
              <w:t xml:space="preserve">与后续服务公司进行交接； </w:t>
            </w:r>
          </w:p>
          <w:p>
            <w:pPr>
              <w:spacing w:after="160"/>
              <w:rPr>
                <w:szCs w:val="21"/>
              </w:rPr>
            </w:pPr>
            <w:r>
              <w:rPr>
                <w:rFonts w:hint="eastAsia"/>
                <w:szCs w:val="21"/>
              </w:rPr>
              <w:t>3、</w:t>
            </w:r>
            <w:r>
              <w:rPr>
                <w:szCs w:val="21"/>
              </w:rPr>
              <w:t>服务期满，后续服务公司未到位前仍按原合同服务承诺提供服务。</w:t>
            </w:r>
          </w:p>
          <w:p>
            <w:pPr>
              <w:spacing w:after="160"/>
              <w:rPr>
                <w:rFonts w:hAnsi="宋体" w:cs="宋体"/>
                <w:szCs w:val="21"/>
              </w:rPr>
            </w:pPr>
            <w:r>
              <w:rPr>
                <w:rFonts w:hAnsi="宋体" w:cs="宋体" w:hint="eastAsia"/>
                <w:szCs w:val="21"/>
              </w:rPr>
              <w:t>要求提供承诺（格式自定）作为得分依据，未提供承诺或承诺内容不满足要求不得分。</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cs="宋体"/>
                <w:szCs w:val="21"/>
              </w:rPr>
            </w:pPr>
            <w:r>
              <w:rPr>
                <w:rFonts w:ascii="宋体" w:hAnsi="宋体" w:hint="eastAsia"/>
                <w:szCs w:val="21"/>
              </w:rPr>
              <w:t>5</w:t>
            </w:r>
          </w:p>
        </w:tc>
        <w:tc>
          <w:tcPr>
            <w:tcW w:w="1129" w:type="dxa"/>
            <w:vAlign w:val="center"/>
          </w:tcPr>
          <w:p>
            <w:pPr>
              <w:wordWrap w:val="0"/>
              <w:jc w:val="center"/>
              <w:rPr>
                <w:rFonts w:ascii="宋体" w:hAnsi="宋体" w:cs="宋体"/>
                <w:szCs w:val="21"/>
              </w:rPr>
            </w:pPr>
            <w:r>
              <w:rPr>
                <w:rFonts w:ascii="宋体" w:hAnsi="宋体" w:hint="eastAsia"/>
                <w:szCs w:val="21"/>
              </w:rPr>
              <w:t>违约承诺</w:t>
            </w:r>
          </w:p>
        </w:tc>
        <w:tc>
          <w:tcPr>
            <w:tcW w:w="891" w:type="dxa"/>
            <w:vAlign w:val="center"/>
          </w:tcPr>
          <w:p>
            <w:pPr>
              <w:wordWrap w:val="0"/>
              <w:jc w:val="center"/>
              <w:rPr>
                <w:rFonts w:ascii="宋体" w:hAnsi="宋体" w:cs="宋体"/>
                <w:szCs w:val="21"/>
              </w:rPr>
            </w:pPr>
            <w:r>
              <w:rPr>
                <w:rFonts w:ascii="宋体" w:hAnsi="宋体" w:hint="eastAsia"/>
                <w:szCs w:val="21"/>
              </w:rPr>
              <w:t>5</w:t>
            </w:r>
          </w:p>
        </w:tc>
        <w:tc>
          <w:tcPr>
            <w:tcW w:w="5701" w:type="dxa"/>
          </w:tcPr>
          <w:p>
            <w:pPr>
              <w:widowControl/>
              <w:spacing w:after="16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投标人承诺以下全部三项的得100分，否则不得分。</w:t>
            </w:r>
          </w:p>
          <w:p>
            <w:pPr>
              <w:widowControl/>
              <w:spacing w:after="16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1</w:t>
            </w:r>
            <w:r>
              <w:rPr>
                <w:rFonts w:ascii="宋体" w:hAnsi="宋体" w:hint="eastAsia"/>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人员严格按照招标文件及投标承诺配置；</w:t>
            </w:r>
          </w:p>
          <w:p>
            <w:pPr>
              <w:widowControl/>
              <w:spacing w:after="16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ascii="宋体" w:hAnsi="宋体" w:hint="eastAsia"/>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服务质量达到招标文件要求；</w:t>
            </w:r>
          </w:p>
          <w:p>
            <w:pPr>
              <w:spacing w:after="16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w:t>
            </w:r>
            <w:r>
              <w:rPr>
                <w:rFonts w:ascii="宋体" w:hAnsi="宋体" w:hint="eastAsia"/>
                <w:color w:val="000000" w:themeColor="text1"/>
                <w:szCs w:val="21"/>
                <w14:textFill>
                  <w14:solidFill>
                    <w14:schemeClr w14:val="tx1"/>
                  </w14:solidFill>
                </w14:textFill>
              </w:rPr>
              <w:t>、</w:t>
            </w:r>
            <w:r>
              <w:rPr>
                <w:rFonts w:ascii="宋体" w:hAnsi="宋体"/>
                <w:color w:val="000000" w:themeColor="text1"/>
                <w:szCs w:val="21"/>
                <w14:textFill>
                  <w14:solidFill>
                    <w14:schemeClr w14:val="tx1"/>
                  </w14:solidFill>
                </w14:textFill>
              </w:rPr>
              <w:t>对未能达到的管理要求承担管理责任。</w:t>
            </w:r>
          </w:p>
          <w:p>
            <w:pPr>
              <w:spacing w:after="160"/>
              <w:rPr>
                <w:rFonts w:hAnsi="宋体" w:cs="宋体"/>
                <w:szCs w:val="21"/>
              </w:rPr>
            </w:pPr>
            <w:r>
              <w:rPr>
                <w:rFonts w:ascii="宋体" w:hAnsi="宋体" w:hint="eastAsia"/>
                <w:color w:val="000000" w:themeColor="text1"/>
                <w:szCs w:val="21"/>
                <w14:textFill>
                  <w14:solidFill>
                    <w14:schemeClr w14:val="tx1"/>
                  </w14:solidFill>
                </w14:textFill>
              </w:rPr>
              <w:t>要求提供承诺（格式自定）作为得分依据，未提供承诺或承</w:t>
            </w:r>
            <w:r>
              <w:rPr>
                <w:rFonts w:hAnsi="宋体" w:cs="宋体" w:hint="eastAsia"/>
                <w:szCs w:val="21"/>
              </w:rPr>
              <w:t>诺内容不满足要求不得分。</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cs="宋体"/>
                <w:szCs w:val="21"/>
              </w:rPr>
            </w:pPr>
            <w:r>
              <w:rPr>
                <w:rFonts w:ascii="宋体" w:hAnsi="宋体"/>
                <w:szCs w:val="21"/>
              </w:rPr>
              <w:t>6</w:t>
            </w:r>
          </w:p>
        </w:tc>
        <w:tc>
          <w:tcPr>
            <w:tcW w:w="1129" w:type="dxa"/>
            <w:vAlign w:val="center"/>
          </w:tcPr>
          <w:p>
            <w:pPr>
              <w:wordWrap w:val="0"/>
              <w:jc w:val="center"/>
              <w:rPr>
                <w:rFonts w:ascii="宋体" w:hAnsi="宋体" w:cs="宋体"/>
                <w:szCs w:val="21"/>
              </w:rPr>
            </w:pPr>
            <w:r>
              <w:rPr>
                <w:rFonts w:ascii="宋体" w:hAnsi="宋体" w:hint="eastAsia"/>
                <w:szCs w:val="21"/>
              </w:rPr>
              <w:t>拟安排的项目负责人情况（仅限一人）</w:t>
            </w:r>
          </w:p>
        </w:tc>
        <w:tc>
          <w:tcPr>
            <w:tcW w:w="891" w:type="dxa"/>
            <w:vAlign w:val="center"/>
          </w:tcPr>
          <w:p>
            <w:pPr>
              <w:wordWrap w:val="0"/>
              <w:jc w:val="center"/>
              <w:rPr>
                <w:rFonts w:ascii="宋体" w:hAnsi="宋体" w:cs="宋体"/>
                <w:szCs w:val="21"/>
              </w:rPr>
            </w:pPr>
            <w:r>
              <w:rPr>
                <w:rFonts w:ascii="宋体" w:hAnsi="宋体"/>
                <w:szCs w:val="21"/>
              </w:rPr>
              <w:t>5</w:t>
            </w:r>
          </w:p>
        </w:tc>
        <w:tc>
          <w:tcPr>
            <w:tcW w:w="5701" w:type="dxa"/>
          </w:tcPr>
          <w:p>
            <w:pPr>
              <w:spacing w:after="160"/>
            </w:pPr>
            <w:r>
              <w:rPr>
                <w:rFonts w:hint="eastAsia"/>
              </w:rPr>
              <w:t>（一）评分内容：拟安排项目负责人为投标单位员工（以社保为准），否则本项不得分。</w:t>
            </w:r>
          </w:p>
          <w:p>
            <w:pPr>
              <w:spacing w:after="160"/>
            </w:pPr>
            <w:r>
              <w:rPr>
                <w:rFonts w:hint="eastAsia"/>
              </w:rPr>
              <w:t>1、具有本科或上学历证书的得20分；</w:t>
            </w:r>
          </w:p>
          <w:p>
            <w:pPr>
              <w:spacing w:after="160"/>
            </w:pPr>
            <w:r>
              <w:rPr>
                <w:rFonts w:hint="eastAsia"/>
              </w:rPr>
              <w:t>2</w:t>
            </w:r>
            <w:r>
              <w:t>、</w:t>
            </w:r>
            <w:r>
              <w:rPr>
                <w:rFonts w:hint="eastAsia"/>
              </w:rPr>
              <w:t>具有中国物业管理协会颁发的物业管理员（师）职业能力等级证书得20分；</w:t>
            </w:r>
          </w:p>
          <w:p>
            <w:pPr>
              <w:spacing w:after="160"/>
            </w:pPr>
            <w:r>
              <w:rPr>
                <w:rFonts w:hint="eastAsia"/>
              </w:rPr>
              <w:t>3</w:t>
            </w:r>
            <w:r>
              <w:t>、具有安全生产监督管理部门或应急管理部门颁发的安全生产知识和管理能力考核合格证的</w:t>
            </w:r>
            <w:r>
              <w:rPr>
                <w:rFonts w:hint="eastAsia"/>
              </w:rPr>
              <w:t>，</w:t>
            </w:r>
            <w:r>
              <w:t>得</w:t>
            </w:r>
            <w:r>
              <w:rPr>
                <w:rFonts w:hint="eastAsia"/>
              </w:rPr>
              <w:t>20</w:t>
            </w:r>
            <w:r>
              <w:t xml:space="preserve">分； </w:t>
            </w:r>
          </w:p>
          <w:p>
            <w:pPr>
              <w:spacing w:after="160"/>
            </w:pPr>
            <w:r>
              <w:rPr>
                <w:rFonts w:hint="eastAsia"/>
              </w:rPr>
              <w:t>4</w:t>
            </w:r>
            <w:r>
              <w:t>、具有</w:t>
            </w:r>
            <w:r>
              <w:rPr>
                <w:rFonts w:hint="eastAsia"/>
              </w:rPr>
              <w:t>人社部门</w:t>
            </w:r>
            <w:r>
              <w:t>颁发的中级或以上的建（构）筑物消防员（或消防设施操作员）职业资格证书的得</w:t>
            </w:r>
            <w:r>
              <w:rPr>
                <w:rFonts w:hint="eastAsia"/>
              </w:rPr>
              <w:t>20</w:t>
            </w:r>
            <w:r>
              <w:t>分；</w:t>
            </w:r>
          </w:p>
          <w:p>
            <w:pPr>
              <w:spacing w:after="160"/>
            </w:pPr>
            <w:r>
              <w:rPr>
                <w:rFonts w:hint="eastAsia"/>
              </w:rPr>
              <w:t>5、具有物业管理行业协会颁发的物业管理优秀个人荣誉证书的得20分。</w:t>
            </w:r>
          </w:p>
          <w:p>
            <w:pPr>
              <w:spacing w:after="160"/>
            </w:pPr>
            <w:r>
              <w:rPr>
                <w:rFonts w:hint="eastAsia"/>
              </w:rPr>
              <w:t>以上累积得分，最高得100分。</w:t>
            </w:r>
          </w:p>
          <w:p>
            <w:pPr>
              <w:spacing w:after="160"/>
            </w:pPr>
            <w:r>
              <w:rPr>
                <w:rFonts w:hint="eastAsia"/>
              </w:rPr>
              <w:t>（二）评分依据：</w:t>
            </w:r>
            <w:r>
              <w:t xml:space="preserve"> </w:t>
            </w:r>
          </w:p>
          <w:p>
            <w:pPr>
              <w:spacing w:after="160"/>
            </w:pPr>
            <w:r>
              <w:rPr>
                <w:rFonts w:hint="eastAsia"/>
                <w:lang w:val="en-US" w:eastAsia="zh-CN"/>
              </w:rPr>
              <w:t>1.</w:t>
            </w:r>
            <w:r>
              <w:rPr>
                <w:rFonts w:hint="eastAsia"/>
              </w:rPr>
              <w:t>提供通过投标人缴纳的近三个月的任意一个月的社保证明作为本单位员工的证明依据。另，若供应商成立不足三个月的，需提供说明函（格式自拟），无需提供社保，亦可得分。</w:t>
            </w:r>
          </w:p>
          <w:p>
            <w:pPr>
              <w:spacing w:after="160"/>
            </w:pPr>
            <w:r>
              <w:t>2.</w:t>
            </w:r>
            <w:r>
              <w:rPr>
                <w:rFonts w:hint="eastAsia"/>
              </w:rPr>
              <w:t>要求提供投标人相关证明资料作为得分依据。</w:t>
            </w:r>
          </w:p>
          <w:p>
            <w:pPr>
              <w:spacing w:after="160"/>
            </w:pPr>
            <w:r>
              <w:t>3</w:t>
            </w:r>
            <w:r>
              <w:rPr>
                <w:rFonts w:hint="eastAsia"/>
              </w:rPr>
              <w:t>.以上资料均要求提供扫描件（或官方网站截图），原件备查。</w:t>
            </w:r>
            <w:r>
              <w:t>评分中出现无证明资料或专家无法凭所提供资料判断是否得分的情况，一律作不得分处理。</w:t>
            </w:r>
          </w:p>
          <w:p>
            <w:pPr>
              <w:spacing w:after="160"/>
            </w:pPr>
            <w:r>
              <w:rPr>
                <w:rFonts w:hint="eastAsia"/>
              </w:rPr>
              <w:t>4</w:t>
            </w:r>
            <w:r>
              <w:t>.由</w:t>
            </w:r>
            <w:r>
              <w:rPr>
                <w:rFonts w:hint="eastAsia"/>
              </w:rPr>
              <w:t>协会等</w:t>
            </w:r>
            <w:r>
              <w:t>社会组织颁发的证书，还需提供该组织在“中国社会组织政务服务平台”的已合法登记且状态正常截图。</w:t>
            </w:r>
          </w:p>
          <w:p>
            <w:pPr>
              <w:pStyle w:val="NormalIndent"/>
              <w:ind w:firstLine="0"/>
            </w:pPr>
            <w:r>
              <w:rPr>
                <w:rFonts w:hint="eastAsia"/>
              </w:rPr>
              <w:t>5.如涉及学历，要求提供证书扫描件以及学信网查询记录。对于较早颁发的学历学位证书，学信网无法查询的，要求提供证书扫描件和其他佐证材料（如毕业院校、人社部门等颁发机构或监管机构等单位出具的证明）作为得分的依据。海外留学（含港澳台）人员学历无法通过学信网站查询，应当提供“教育部留学服务中心出具的国外学历认证证书以及教育部留学服务中心官网查询截图”作为得分依据。</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szCs w:val="21"/>
              </w:rPr>
            </w:pPr>
            <w:r>
              <w:rPr>
                <w:rFonts w:ascii="宋体" w:hAnsi="宋体" w:hint="eastAsia"/>
                <w:szCs w:val="21"/>
              </w:rPr>
              <w:t>7</w:t>
            </w:r>
          </w:p>
        </w:tc>
        <w:tc>
          <w:tcPr>
            <w:tcW w:w="1129" w:type="dxa"/>
            <w:vAlign w:val="center"/>
          </w:tcPr>
          <w:p>
            <w:pPr>
              <w:wordWrap w:val="0"/>
              <w:jc w:val="center"/>
              <w:rPr>
                <w:rFonts w:ascii="宋体" w:hAnsi="宋体" w:cs="宋体"/>
                <w:szCs w:val="21"/>
              </w:rPr>
            </w:pPr>
            <w:r>
              <w:rPr>
                <w:rFonts w:ascii="宋体" w:hAnsi="宋体" w:hint="eastAsia"/>
                <w:szCs w:val="21"/>
              </w:rPr>
              <w:t>拟安排的项目主要团队成员（主要技术人员）情况（项目负责人除外）</w:t>
            </w:r>
          </w:p>
        </w:tc>
        <w:tc>
          <w:tcPr>
            <w:tcW w:w="891" w:type="dxa"/>
            <w:vAlign w:val="center"/>
          </w:tcPr>
          <w:p>
            <w:pPr>
              <w:wordWrap w:val="0"/>
              <w:jc w:val="center"/>
              <w:rPr>
                <w:rFonts w:ascii="宋体" w:hAnsi="宋体" w:cs="宋体"/>
                <w:szCs w:val="21"/>
              </w:rPr>
            </w:pPr>
            <w:r>
              <w:rPr>
                <w:rFonts w:ascii="宋体" w:hAnsi="宋体"/>
                <w:szCs w:val="21"/>
              </w:rPr>
              <w:t>5</w:t>
            </w:r>
          </w:p>
        </w:tc>
        <w:tc>
          <w:tcPr>
            <w:tcW w:w="5701" w:type="dxa"/>
          </w:tcPr>
          <w:p>
            <w:pPr>
              <w:spacing w:after="160"/>
            </w:pPr>
            <w:r>
              <w:rPr>
                <w:rFonts w:hint="eastAsia"/>
              </w:rPr>
              <w:t>（一）评分内容：拟安排项目主要团队成员为投标单位员工（以社保为准），否则该人员情况不计分。</w:t>
            </w:r>
          </w:p>
          <w:p>
            <w:pPr>
              <w:spacing w:after="160"/>
            </w:pPr>
            <w:r>
              <w:rPr>
                <w:rFonts w:hint="eastAsia"/>
              </w:rPr>
              <w:t>1、客服主管（1名）：具有大专或以上学历，同时具有安</w:t>
            </w:r>
            <w:r>
              <w:rPr>
                <w:rFonts w:hint="eastAsia"/>
                <w:lang w:val="en-US" w:eastAsia="zh-CN"/>
              </w:rPr>
              <w:t>检部门</w:t>
            </w:r>
            <w:r>
              <w:rPr>
                <w:rFonts w:hint="eastAsia"/>
              </w:rPr>
              <w:t>或应急管理</w:t>
            </w:r>
            <w:r>
              <w:rPr>
                <w:rFonts w:hint="eastAsia"/>
                <w:lang w:val="en-US" w:eastAsia="zh-CN"/>
              </w:rPr>
              <w:t>部门</w:t>
            </w:r>
            <w:r>
              <w:rPr>
                <w:rFonts w:hint="eastAsia"/>
              </w:rPr>
              <w:t>颁发的安全生产知识和管理能力考核合格证的，得15分，具有急救中心颁发的救护员证的，得10分，本小项最高得25分；</w:t>
            </w:r>
          </w:p>
          <w:p>
            <w:pPr>
              <w:spacing w:after="160"/>
            </w:pPr>
            <w:r>
              <w:rPr>
                <w:rFonts w:hint="eastAsia"/>
              </w:rPr>
              <w:t>2、、保安队长（1名）：具有大专或以上学历、同时具有</w:t>
            </w:r>
            <w:r>
              <w:rPr>
                <w:rFonts w:hint="eastAsia"/>
                <w:lang w:val="en-US" w:eastAsia="zh-CN"/>
              </w:rPr>
              <w:t>应急管理部门（原安全生产监督管理部门）及</w:t>
            </w:r>
            <w:r>
              <w:rPr>
                <w:rFonts w:hint="eastAsia"/>
              </w:rPr>
              <w:t>人社部门颁发的注册安全工程师证的得15分，具有人社部门颁发的安全管理类</w:t>
            </w:r>
            <w:r>
              <w:rPr>
                <w:rFonts w:hint="eastAsia"/>
                <w:lang w:val="en-US" w:eastAsia="zh-CN"/>
              </w:rPr>
              <w:t>专业</w:t>
            </w:r>
            <w:r>
              <w:rPr>
                <w:rFonts w:hint="eastAsia"/>
              </w:rPr>
              <w:t>副高级或以上技术职称得10分，本小项最高得25分；</w:t>
            </w:r>
          </w:p>
          <w:p>
            <w:pPr>
              <w:spacing w:after="160"/>
            </w:pPr>
            <w:r>
              <w:rPr>
                <w:rFonts w:hint="eastAsia"/>
              </w:rPr>
              <w:t>3、环境主管（1名）： 具有大专（或以上）学历，同时具有城市环卫清洁行业协会颁发的高级清洁管理师证书的得15分；具有安全生产监督管理部门或应急管理部门颁发的安全生产知识和管理能力考核合格证的得10分；本小项最高得25分；</w:t>
            </w:r>
          </w:p>
          <w:p>
            <w:pPr>
              <w:spacing w:after="160"/>
            </w:pPr>
            <w:r>
              <w:rPr>
                <w:rFonts w:hint="eastAsia"/>
              </w:rPr>
              <w:t>4、工程主管（1名）：具有大专或以上学历及应急部门或安监部门颁发的特种作业操作证（准操项目：高处安装、维护、拆除作业）的，得15分；具有应急部门或安监部门颁发的特种作业操作证（操作项目：制冷与空调设备运行操作作业）得5分；具有市监部门颁发的特种设备安全管理和作业人员证或特种设备安全管理人员证（项目代号A）的得5分；本小项最高得25分。</w:t>
            </w:r>
          </w:p>
          <w:p>
            <w:pPr>
              <w:spacing w:after="160"/>
            </w:pPr>
            <w:r>
              <w:rPr>
                <w:rFonts w:hint="eastAsia"/>
              </w:rPr>
              <w:t>以上4项累计评分，同一人担任多个岗位则该人的岗位均作无效处理，累计得分不超过100分。</w:t>
            </w:r>
          </w:p>
          <w:p>
            <w:pPr>
              <w:spacing w:after="160"/>
            </w:pPr>
            <w:r>
              <w:rPr>
                <w:rFonts w:hint="eastAsia"/>
              </w:rPr>
              <w:t>（二）评分依据：</w:t>
            </w:r>
          </w:p>
          <w:p>
            <w:pPr>
              <w:spacing w:after="160"/>
            </w:pPr>
            <w:r>
              <w:rPr>
                <w:rFonts w:hint="eastAsia"/>
              </w:rPr>
              <w:t>1. 提供通过投标人缴纳的近三个月的任意一个月的社保证明作为本单位员工的证明依据。另，若供应商成立不足三个月的，需提供说明函（格式自拟），无需提供社保，亦可得分。</w:t>
            </w:r>
          </w:p>
          <w:p>
            <w:pPr>
              <w:spacing w:after="160"/>
            </w:pPr>
            <w:r>
              <w:rPr>
                <w:rFonts w:hint="eastAsia"/>
              </w:rPr>
              <w:t>2.</w:t>
            </w:r>
            <w:r>
              <w:t xml:space="preserve"> </w:t>
            </w:r>
            <w:r>
              <w:rPr>
                <w:rFonts w:hint="eastAsia"/>
              </w:rPr>
              <w:t>要求提供投标人相关证明资料作为得分依据。</w:t>
            </w:r>
          </w:p>
          <w:p>
            <w:pPr>
              <w:spacing w:after="160"/>
            </w:pPr>
            <w:r>
              <w:rPr>
                <w:rFonts w:hint="eastAsia"/>
              </w:rPr>
              <w:t>3.</w:t>
            </w:r>
            <w:r>
              <w:t xml:space="preserve"> </w:t>
            </w:r>
            <w:r>
              <w:rPr>
                <w:rFonts w:hint="eastAsia"/>
              </w:rPr>
              <w:t>以上资料均要求提供扫描件（或官方网站截图），原件备查。</w:t>
            </w:r>
            <w:r>
              <w:t>评分中出现无证明资料或专家无法凭所提供资料判断是否得分的情况，一律作不得分处理。</w:t>
            </w:r>
          </w:p>
          <w:p>
            <w:pPr>
              <w:spacing w:after="160"/>
            </w:pPr>
            <w:r>
              <w:rPr>
                <w:rFonts w:hint="eastAsia"/>
              </w:rPr>
              <w:t>4</w:t>
            </w:r>
            <w:r>
              <w:t>.由</w:t>
            </w:r>
            <w:r>
              <w:rPr>
                <w:rFonts w:hint="eastAsia"/>
              </w:rPr>
              <w:t>协会等</w:t>
            </w:r>
            <w:r>
              <w:t>社会组织颁发的证书，还需提供该组织在“中国社会组织政务服务平台”的已合法登记且状态正常截图</w:t>
            </w:r>
            <w:r>
              <w:rPr>
                <w:rFonts w:hint="eastAsia"/>
              </w:rPr>
              <w:t>。</w:t>
            </w:r>
          </w:p>
          <w:p>
            <w:pPr>
              <w:pStyle w:val="NormalIndent"/>
              <w:ind w:firstLine="0"/>
            </w:pPr>
            <w:r>
              <w:rPr>
                <w:rFonts w:hint="eastAsia"/>
              </w:rPr>
              <w:t>5.如涉及学历，要求提供证书扫描件以及学信网查询记录。对于较早颁发的学历学位证书，学信网无法查询的，要求提供证书扫描件和其他佐证材料（如毕业院校、人社部门等颁发机构或监管机构等单位出具的证明）作为得分的依据。海外留学（含港澳台）人员学历无法通过学信网站查询，应当提供“教育部留学服务中心出具的国外学历认证证书以及教育部留学服务中心官网查询截图”作为得分依据。</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cs="宋体"/>
                <w:szCs w:val="21"/>
              </w:rPr>
            </w:pPr>
            <w:r>
              <w:rPr>
                <w:rFonts w:ascii="宋体" w:hAnsi="宋体"/>
                <w:szCs w:val="21"/>
              </w:rPr>
              <w:t>8</w:t>
            </w:r>
          </w:p>
        </w:tc>
        <w:tc>
          <w:tcPr>
            <w:tcW w:w="1129" w:type="dxa"/>
            <w:vAlign w:val="center"/>
          </w:tcPr>
          <w:p>
            <w:pPr>
              <w:wordWrap w:val="0"/>
              <w:jc w:val="center"/>
              <w:rPr>
                <w:rFonts w:ascii="宋体" w:hAnsi="宋体" w:cs="宋体"/>
                <w:szCs w:val="21"/>
              </w:rPr>
            </w:pPr>
            <w:r>
              <w:rPr>
                <w:rFonts w:ascii="宋体" w:hAnsi="宋体" w:hint="eastAsia"/>
                <w:szCs w:val="21"/>
              </w:rPr>
              <w:t>拟投入的服务资源（车辆、场地、工具、机器等）情况</w:t>
            </w:r>
          </w:p>
        </w:tc>
        <w:tc>
          <w:tcPr>
            <w:tcW w:w="891" w:type="dxa"/>
            <w:vAlign w:val="center"/>
          </w:tcPr>
          <w:p>
            <w:pPr>
              <w:wordWrap w:val="0"/>
              <w:jc w:val="center"/>
              <w:rPr>
                <w:rFonts w:ascii="宋体" w:hAnsi="宋体" w:cs="宋体"/>
                <w:szCs w:val="21"/>
              </w:rPr>
            </w:pPr>
            <w:r>
              <w:rPr>
                <w:rFonts w:ascii="宋体" w:hAnsi="宋体" w:hint="eastAsia"/>
                <w:szCs w:val="21"/>
              </w:rPr>
              <w:t>5</w:t>
            </w:r>
          </w:p>
        </w:tc>
        <w:tc>
          <w:tcPr>
            <w:tcW w:w="5701" w:type="dxa"/>
          </w:tcPr>
          <w:p>
            <w:pPr>
              <w:spacing w:after="160"/>
              <w:rPr>
                <w:rFonts w:ascii="宋体" w:hAnsi="宋体"/>
                <w:szCs w:val="21"/>
              </w:rPr>
            </w:pPr>
            <w:r>
              <w:rPr>
                <w:rFonts w:ascii="宋体" w:hAnsi="宋体" w:hint="eastAsia"/>
                <w:szCs w:val="21"/>
              </w:rPr>
              <w:t>（一）评分内容：</w:t>
            </w:r>
          </w:p>
          <w:p>
            <w:pPr>
              <w:spacing w:after="160"/>
              <w:rPr>
                <w:rFonts w:ascii="宋体" w:hAnsi="宋体"/>
                <w:szCs w:val="21"/>
              </w:rPr>
            </w:pPr>
            <w:r>
              <w:rPr>
                <w:rFonts w:ascii="宋体" w:hAnsi="宋体" w:hint="eastAsia"/>
                <w:szCs w:val="21"/>
              </w:rPr>
              <w:t>投标人承诺，中标后，提供能满足采购单位日常管理所需的工程维修、秩序维护、清洁、绿化等机器设备（包括但不限于对讲机、油锯、高压冲洗设备等）。包含满足档案管理、日常办公设备复印</w:t>
            </w:r>
            <w:r>
              <w:rPr>
                <w:rFonts w:ascii="宋体" w:hAnsi="宋体" w:hint="eastAsia"/>
                <w:szCs w:val="21"/>
                <w:lang w:val="en-US" w:eastAsia="zh-CN"/>
              </w:rPr>
              <w:t>机</w:t>
            </w:r>
            <w:r>
              <w:rPr>
                <w:rFonts w:ascii="宋体" w:hAnsi="宋体" w:hint="eastAsia"/>
                <w:szCs w:val="21"/>
              </w:rPr>
              <w:t>、打印机、电脑等。承诺使用的设备要在签订合同后15日内全部进场。</w:t>
            </w:r>
          </w:p>
          <w:p>
            <w:pPr>
              <w:spacing w:after="160"/>
              <w:rPr>
                <w:rFonts w:ascii="宋体" w:hAnsi="宋体"/>
                <w:szCs w:val="21"/>
              </w:rPr>
            </w:pPr>
            <w:r>
              <w:rPr>
                <w:rFonts w:ascii="宋体" w:hAnsi="宋体" w:hint="eastAsia"/>
                <w:szCs w:val="21"/>
              </w:rPr>
              <w:t>（二）评分依据:</w:t>
            </w:r>
          </w:p>
          <w:p>
            <w:pPr>
              <w:spacing w:after="160"/>
              <w:rPr>
                <w:rFonts w:ascii="宋体" w:hAnsi="宋体"/>
                <w:szCs w:val="21"/>
              </w:rPr>
            </w:pPr>
            <w:r>
              <w:rPr>
                <w:rFonts w:ascii="宋体" w:hAnsi="宋体" w:hint="eastAsia"/>
                <w:szCs w:val="21"/>
              </w:rPr>
              <w:t>要求投标人提供承诺（格式自定）作为得分依据。未提供承诺或承诺内容不满足要求均不得分。</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restart"/>
          </w:tcPr>
          <w:p>
            <w:pPr>
              <w:wordWrap w:val="0"/>
              <w:jc w:val="center"/>
              <w:rPr>
                <w:rFonts w:ascii="宋体" w:hAnsi="宋体" w:cs="宋体"/>
                <w:b/>
                <w:bCs/>
                <w:color w:val="0000FF"/>
                <w:sz w:val="24"/>
              </w:rPr>
            </w:pPr>
            <w:r>
              <w:rPr>
                <w:b/>
                <w:bCs/>
                <w:color w:val="0000FF"/>
              </w:rPr>
              <w:t>3</w:t>
            </w:r>
          </w:p>
        </w:tc>
        <w:tc>
          <w:tcPr>
            <w:tcW w:w="2695" w:type="dxa"/>
            <w:gridSpan w:val="3"/>
          </w:tcPr>
          <w:p>
            <w:pPr>
              <w:wordWrap w:val="0"/>
              <w:jc w:val="center"/>
              <w:rPr>
                <w:rFonts w:ascii="宋体" w:hAnsi="宋体" w:cs="宋体"/>
                <w:b/>
                <w:bCs/>
                <w:color w:val="0000FF"/>
                <w:sz w:val="24"/>
              </w:rPr>
            </w:pPr>
            <w:r>
              <w:rPr>
                <w:rFonts w:hint="eastAsia"/>
                <w:b/>
                <w:bCs/>
                <w:color w:val="0000FF"/>
              </w:rPr>
              <w:t>商务部分</w:t>
            </w:r>
          </w:p>
        </w:tc>
        <w:tc>
          <w:tcPr>
            <w:tcW w:w="5701" w:type="dxa"/>
          </w:tcPr>
          <w:p>
            <w:pPr>
              <w:wordWrap w:val="0"/>
              <w:jc w:val="center"/>
              <w:rPr>
                <w:rFonts w:ascii="宋体" w:hAnsi="宋体" w:cs="宋体"/>
                <w:b/>
                <w:bCs/>
                <w:color w:val="0000FF"/>
                <w:sz w:val="24"/>
              </w:rPr>
            </w:pPr>
            <w:r>
              <w:rPr>
                <w:rFonts w:ascii="宋体" w:hAnsi="宋体" w:cs="宋体" w:hint="eastAsia"/>
                <w:b/>
                <w:bCs/>
                <w:color w:val="0000FF"/>
                <w:sz w:val="24"/>
              </w:rPr>
              <w:t>35</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8396" w:type="dxa"/>
            <w:gridSpan w:val="4"/>
          </w:tcPr>
          <w:p>
            <w:pPr>
              <w:wordWrap w:val="0"/>
              <w:rPr>
                <w:rFonts w:ascii="宋体" w:hAnsi="宋体" w:cs="宋体"/>
                <w:szCs w:val="21"/>
              </w:rPr>
            </w:pP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shd w:val="clear" w:color="auto" w:fill="E6EFFA"/>
            <w:vAlign w:val="center"/>
          </w:tcPr>
          <w:p>
            <w:pPr>
              <w:rPr>
                <w:rFonts w:ascii="宋体" w:hAnsi="宋体" w:cs="宋体"/>
                <w:b/>
                <w:bCs/>
                <w:color w:val="0000FF"/>
                <w:sz w:val="24"/>
              </w:rPr>
            </w:pPr>
          </w:p>
        </w:tc>
        <w:tc>
          <w:tcPr>
            <w:tcW w:w="675" w:type="dxa"/>
            <w:shd w:val="clear" w:color="auto" w:fill="E6EFFA"/>
            <w:vAlign w:val="center"/>
          </w:tcPr>
          <w:p>
            <w:pPr>
              <w:wordWrap w:val="0"/>
              <w:jc w:val="center"/>
              <w:rPr>
                <w:rFonts w:ascii="宋体" w:hAnsi="宋体" w:cs="宋体"/>
                <w:szCs w:val="21"/>
              </w:rPr>
            </w:pPr>
            <w:r>
              <w:rPr>
                <w:szCs w:val="21"/>
              </w:rPr>
              <w:t>序号</w:t>
            </w:r>
          </w:p>
        </w:tc>
        <w:tc>
          <w:tcPr>
            <w:tcW w:w="1129" w:type="dxa"/>
            <w:shd w:val="clear" w:color="auto" w:fill="E6EFFA"/>
            <w:vAlign w:val="center"/>
          </w:tcPr>
          <w:p>
            <w:pPr>
              <w:wordWrap w:val="0"/>
              <w:jc w:val="center"/>
              <w:rPr>
                <w:rFonts w:ascii="宋体" w:hAnsi="宋体" w:cs="宋体"/>
                <w:szCs w:val="21"/>
              </w:rPr>
            </w:pPr>
            <w:r>
              <w:rPr>
                <w:rFonts w:hint="eastAsia"/>
                <w:szCs w:val="21"/>
              </w:rPr>
              <w:t>评审因素</w:t>
            </w:r>
          </w:p>
        </w:tc>
        <w:tc>
          <w:tcPr>
            <w:tcW w:w="891" w:type="dxa"/>
            <w:shd w:val="clear" w:color="auto" w:fill="E6EFFA"/>
            <w:vAlign w:val="center"/>
          </w:tcPr>
          <w:p>
            <w:pPr>
              <w:wordWrap w:val="0"/>
              <w:jc w:val="center"/>
              <w:rPr>
                <w:rFonts w:ascii="宋体" w:hAnsi="宋体" w:cs="宋体"/>
                <w:szCs w:val="21"/>
              </w:rPr>
            </w:pPr>
            <w:r>
              <w:rPr>
                <w:szCs w:val="21"/>
              </w:rPr>
              <w:t>权重(%)</w:t>
            </w:r>
          </w:p>
        </w:tc>
        <w:tc>
          <w:tcPr>
            <w:tcW w:w="5701" w:type="dxa"/>
            <w:shd w:val="clear" w:color="auto" w:fill="E6EFFA"/>
            <w:vAlign w:val="center"/>
          </w:tcPr>
          <w:p>
            <w:pPr>
              <w:wordWrap w:val="0"/>
              <w:jc w:val="center"/>
              <w:rPr>
                <w:rFonts w:ascii="宋体" w:hAnsi="宋体" w:cs="宋体"/>
                <w:szCs w:val="21"/>
              </w:rPr>
            </w:pPr>
            <w:r>
              <w:rPr>
                <w:szCs w:val="21"/>
              </w:rPr>
              <w:t>评分准则</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cs="宋体"/>
                <w:szCs w:val="21"/>
              </w:rPr>
            </w:pPr>
            <w:r>
              <w:rPr>
                <w:rFonts w:ascii="宋体" w:hAnsi="宋体"/>
                <w:szCs w:val="21"/>
              </w:rPr>
              <w:t>1</w:t>
            </w:r>
          </w:p>
        </w:tc>
        <w:tc>
          <w:tcPr>
            <w:tcW w:w="1129" w:type="dxa"/>
            <w:vAlign w:val="center"/>
          </w:tcPr>
          <w:p>
            <w:pPr>
              <w:wordWrap w:val="0"/>
              <w:jc w:val="center"/>
              <w:rPr>
                <w:rFonts w:ascii="宋体" w:hAnsi="宋体" w:cs="宋体"/>
                <w:szCs w:val="21"/>
              </w:rPr>
            </w:pPr>
            <w:r>
              <w:rPr>
                <w:rFonts w:ascii="宋体" w:hAnsi="宋体" w:hint="eastAsia"/>
                <w:szCs w:val="21"/>
              </w:rPr>
              <w:t>供应商认证情况</w:t>
            </w:r>
          </w:p>
        </w:tc>
        <w:tc>
          <w:tcPr>
            <w:tcW w:w="891" w:type="dxa"/>
            <w:vAlign w:val="center"/>
          </w:tcPr>
          <w:p>
            <w:pPr>
              <w:wordWrap w:val="0"/>
              <w:jc w:val="center"/>
              <w:rPr>
                <w:rFonts w:ascii="宋体" w:hAnsi="宋体" w:cs="宋体"/>
                <w:szCs w:val="21"/>
              </w:rPr>
            </w:pPr>
            <w:r>
              <w:rPr>
                <w:rFonts w:ascii="宋体" w:hAnsi="宋体"/>
                <w:szCs w:val="21"/>
              </w:rPr>
              <w:t>10</w:t>
            </w:r>
          </w:p>
        </w:tc>
        <w:tc>
          <w:tcPr>
            <w:tcW w:w="5701" w:type="dxa"/>
          </w:tcPr>
          <w:p>
            <w:pPr>
              <w:spacing w:after="160"/>
              <w:rPr>
                <w:rFonts w:ascii="宋体" w:hAnsi="宋体"/>
                <w:szCs w:val="21"/>
              </w:rPr>
            </w:pPr>
            <w:r>
              <w:rPr>
                <w:rFonts w:ascii="宋体" w:hAnsi="宋体" w:hint="eastAsia"/>
                <w:szCs w:val="21"/>
              </w:rPr>
              <w:t>（一）评分内容：</w:t>
            </w:r>
          </w:p>
          <w:p>
            <w:pPr>
              <w:spacing w:after="160"/>
              <w:rPr>
                <w:rFonts w:ascii="宋体" w:hAnsi="宋体"/>
                <w:szCs w:val="21"/>
              </w:rPr>
            </w:pPr>
            <w:r>
              <w:rPr>
                <w:rFonts w:ascii="宋体" w:hAnsi="宋体" w:hint="eastAsia"/>
                <w:szCs w:val="21"/>
              </w:rPr>
              <w:t>1、投标人具有质量管理体系认证，信息安全管理体系认证，物业服务五星级认证。全部满足得40分</w:t>
            </w:r>
            <w:r>
              <w:rPr>
                <w:rFonts w:ascii="宋体" w:hAnsi="宋体" w:hint="eastAsia"/>
                <w:szCs w:val="21"/>
                <w:lang w:eastAsia="zh-CN"/>
              </w:rPr>
              <w:t>，</w:t>
            </w:r>
            <w:r>
              <w:rPr>
                <w:rFonts w:ascii="宋体" w:hAnsi="宋体" w:hint="eastAsia"/>
                <w:szCs w:val="21"/>
              </w:rPr>
              <w:t>满足</w:t>
            </w:r>
            <w:r>
              <w:rPr>
                <w:rFonts w:ascii="宋体" w:hAnsi="宋体" w:hint="eastAsia"/>
                <w:szCs w:val="21"/>
                <w:lang w:val="en-US" w:eastAsia="zh-CN"/>
              </w:rPr>
              <w:t>任意</w:t>
            </w:r>
            <w:r>
              <w:rPr>
                <w:rFonts w:ascii="宋体" w:hAnsi="宋体" w:hint="eastAsia"/>
                <w:szCs w:val="21"/>
              </w:rPr>
              <w:t>二项得20分，其余不得分。</w:t>
            </w:r>
          </w:p>
          <w:p>
            <w:pPr>
              <w:spacing w:after="160"/>
              <w:rPr>
                <w:rFonts w:ascii="宋体" w:hAnsi="宋体"/>
                <w:szCs w:val="21"/>
              </w:rPr>
            </w:pPr>
            <w:r>
              <w:rPr>
                <w:rFonts w:ascii="宋体" w:hAnsi="宋体" w:hint="eastAsia"/>
                <w:szCs w:val="21"/>
              </w:rPr>
              <w:t>2、投标人具有城市环卫清洁行业协会颁发的甲级（或A级或一级）清洁服务企业资格等级证书，得10分，投标人获得生活垃圾分类服务能力认证书的得10分，其余不得分，本项最多得20分。</w:t>
            </w:r>
          </w:p>
          <w:p>
            <w:pPr>
              <w:spacing w:after="160"/>
              <w:rPr>
                <w:rFonts w:ascii="宋体" w:hAnsi="宋体"/>
                <w:szCs w:val="21"/>
              </w:rPr>
            </w:pPr>
            <w:r>
              <w:rPr>
                <w:rFonts w:ascii="宋体" w:hAnsi="宋体" w:hint="eastAsia"/>
                <w:szCs w:val="21"/>
              </w:rPr>
              <w:t>3、投标人具有有害生物防治协会颁发的《病媒生物防治服务机构服务能力证书》且经过爱国卫生运动委员会办公室备案得20分。</w:t>
            </w:r>
          </w:p>
          <w:p>
            <w:pPr>
              <w:spacing w:after="160"/>
              <w:rPr>
                <w:rFonts w:ascii="宋体" w:hAnsi="宋体"/>
                <w:szCs w:val="21"/>
              </w:rPr>
            </w:pPr>
            <w:r>
              <w:rPr>
                <w:rFonts w:ascii="宋体" w:hAnsi="宋体" w:hint="eastAsia"/>
                <w:szCs w:val="21"/>
              </w:rPr>
              <w:t>4、投标人具有中国职业安全健康协会高空服务业分会颁发的高空服务业企业安全资质证书的得20分。</w:t>
            </w:r>
          </w:p>
          <w:p>
            <w:pPr>
              <w:spacing w:after="160"/>
              <w:rPr>
                <w:rFonts w:ascii="宋体" w:hAnsi="宋体"/>
                <w:szCs w:val="21"/>
              </w:rPr>
            </w:pPr>
            <w:r>
              <w:rPr>
                <w:rFonts w:ascii="宋体" w:hAnsi="宋体" w:hint="eastAsia"/>
                <w:szCs w:val="21"/>
              </w:rPr>
              <w:t>（二）评分依据：</w:t>
            </w:r>
          </w:p>
          <w:p>
            <w:pPr>
              <w:spacing w:after="160"/>
              <w:rPr>
                <w:rFonts w:ascii="宋体" w:hAnsi="宋体"/>
                <w:szCs w:val="21"/>
              </w:rPr>
            </w:pPr>
            <w:r>
              <w:rPr>
                <w:rFonts w:ascii="宋体" w:hAnsi="宋体" w:hint="eastAsia"/>
                <w:szCs w:val="21"/>
              </w:rPr>
              <w:t>1.要求提供有效的认证证书作为得分依据。</w:t>
            </w:r>
          </w:p>
          <w:p>
            <w:pPr>
              <w:spacing w:after="160"/>
              <w:rPr>
                <w:szCs w:val="21"/>
              </w:rPr>
            </w:pPr>
            <w:r>
              <w:rPr>
                <w:rFonts w:ascii="宋体" w:hAnsi="宋体" w:hint="eastAsia"/>
                <w:szCs w:val="21"/>
              </w:rPr>
              <w:t>2.以上资料均要求提供扫描件（或官方网站截图），原件备查。</w:t>
            </w:r>
            <w:r>
              <w:rPr>
                <w:szCs w:val="21"/>
              </w:rPr>
              <w:t>评分中出现无证明资料或专家无法凭所提供资料判断是否得分的情况，一律作不得分处理。</w:t>
            </w:r>
          </w:p>
          <w:p>
            <w:pPr>
              <w:spacing w:after="160"/>
            </w:pPr>
            <w:r>
              <w:rPr>
                <w:rFonts w:ascii="宋体" w:hAnsi="宋体"/>
                <w:color w:val="000000"/>
                <w:szCs w:val="21"/>
              </w:rPr>
              <w:t>3.由</w:t>
            </w:r>
            <w:r>
              <w:rPr>
                <w:rFonts w:ascii="宋体" w:hAnsi="宋体" w:hint="eastAsia"/>
                <w:color w:val="000000"/>
                <w:szCs w:val="21"/>
              </w:rPr>
              <w:t>协会等</w:t>
            </w:r>
            <w:r>
              <w:rPr>
                <w:rFonts w:ascii="宋体" w:hAnsi="宋体"/>
                <w:color w:val="000000"/>
                <w:szCs w:val="21"/>
              </w:rPr>
              <w:t>社会组织颁发的证书，还需提供该组织在“中国社会组织政务服务平台”的已合法登记且状态正常截图。</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cs="宋体"/>
                <w:szCs w:val="21"/>
              </w:rPr>
            </w:pPr>
            <w:r>
              <w:rPr>
                <w:rFonts w:ascii="宋体" w:hAnsi="宋体" w:hint="eastAsia"/>
                <w:szCs w:val="21"/>
              </w:rPr>
              <w:t>2</w:t>
            </w:r>
          </w:p>
        </w:tc>
        <w:tc>
          <w:tcPr>
            <w:tcW w:w="1129" w:type="dxa"/>
            <w:vAlign w:val="center"/>
          </w:tcPr>
          <w:p>
            <w:pPr>
              <w:wordWrap w:val="0"/>
              <w:jc w:val="center"/>
              <w:rPr>
                <w:rFonts w:ascii="宋体" w:hAnsi="宋体" w:cs="宋体"/>
                <w:szCs w:val="21"/>
              </w:rPr>
            </w:pPr>
            <w:r>
              <w:rPr>
                <w:rFonts w:ascii="宋体" w:hAnsi="宋体" w:hint="eastAsia"/>
                <w:szCs w:val="21"/>
              </w:rPr>
              <w:t>供应商同类项目业绩情况</w:t>
            </w:r>
          </w:p>
        </w:tc>
        <w:tc>
          <w:tcPr>
            <w:tcW w:w="891" w:type="dxa"/>
            <w:vAlign w:val="center"/>
          </w:tcPr>
          <w:p>
            <w:pPr>
              <w:wordWrap w:val="0"/>
              <w:jc w:val="center"/>
              <w:rPr>
                <w:rFonts w:ascii="宋体" w:hAnsi="宋体" w:cs="宋体"/>
                <w:szCs w:val="21"/>
              </w:rPr>
            </w:pPr>
            <w:r>
              <w:rPr>
                <w:rFonts w:ascii="宋体" w:hAnsi="宋体" w:hint="eastAsia"/>
                <w:szCs w:val="21"/>
              </w:rPr>
              <w:t>8</w:t>
            </w:r>
          </w:p>
        </w:tc>
        <w:tc>
          <w:tcPr>
            <w:tcW w:w="5701" w:type="dxa"/>
          </w:tcPr>
          <w:p>
            <w:pPr>
              <w:spacing w:after="160"/>
              <w:rPr>
                <w:rFonts w:ascii="宋体" w:hAnsi="宋体"/>
                <w:szCs w:val="21"/>
              </w:rPr>
            </w:pPr>
            <w:r>
              <w:rPr>
                <w:rFonts w:ascii="宋体" w:hAnsi="宋体" w:hint="eastAsia"/>
                <w:szCs w:val="21"/>
              </w:rPr>
              <w:t>（一）评分内容：</w:t>
            </w:r>
          </w:p>
          <w:p>
            <w:pPr>
              <w:spacing w:after="160"/>
              <w:rPr>
                <w:rFonts w:ascii="宋体" w:hAnsi="宋体"/>
                <w:color w:val="000000" w:themeColor="text1"/>
                <w:szCs w:val="21"/>
                <w14:textFill>
                  <w14:solidFill>
                    <w14:schemeClr w14:val="tx1"/>
                  </w14:solidFill>
                </w14:textFill>
              </w:rPr>
            </w:pPr>
            <w:r>
              <w:rPr>
                <w:rFonts w:ascii="宋体" w:hAnsi="宋体" w:hint="eastAsia"/>
                <w:szCs w:val="21"/>
              </w:rPr>
              <w:t>投标人近三年（2020年1月1日至本项目投标截止日，以合同签订时间为准），承担过党政机关及事业单位物业管理项目业绩的，每有1个得50分数，最高为100分数（服务内容至少包含：保安、保洁、绿化</w:t>
            </w:r>
            <w:r>
              <w:rPr>
                <w:rFonts w:ascii="宋体" w:hAnsi="宋体" w:hint="eastAsia"/>
                <w:color w:val="000000" w:themeColor="text1"/>
                <w:szCs w:val="21"/>
                <w14:textFill>
                  <w14:solidFill>
                    <w14:schemeClr w14:val="tx1"/>
                  </w14:solidFill>
                </w14:textFill>
              </w:rPr>
              <w:t>与工程维修等四项服务内容，服务内容的文字描述可以不完全一致，意思相近即可，续签合同不得作为多个业绩计算）</w:t>
            </w:r>
          </w:p>
          <w:p>
            <w:pPr>
              <w:spacing w:after="160"/>
              <w:rPr>
                <w:rFonts w:ascii="宋体" w:hAnsi="宋体"/>
                <w:szCs w:val="21"/>
              </w:rPr>
            </w:pPr>
            <w:r>
              <w:rPr>
                <w:rFonts w:ascii="宋体" w:hAnsi="宋体" w:hint="eastAsia"/>
                <w:szCs w:val="21"/>
              </w:rPr>
              <w:t>（二）评分依据：</w:t>
            </w:r>
          </w:p>
          <w:p>
            <w:pPr>
              <w:spacing w:after="160"/>
              <w:rPr>
                <w:rFonts w:ascii="宋体" w:hAnsi="宋体"/>
                <w:szCs w:val="21"/>
              </w:rPr>
            </w:pPr>
            <w:r>
              <w:rPr>
                <w:rFonts w:ascii="宋体" w:hAnsi="宋体" w:hint="eastAsia"/>
                <w:szCs w:val="21"/>
              </w:rPr>
              <w:t>1.要求同时提供合同关键信息，且履约评价合格或者验收合格证明文件作为得分依据，履约评价合格或者验收合格证明文件需加盖合同甲方公章（或甲方业务章）。</w:t>
            </w:r>
          </w:p>
          <w:p>
            <w:pPr>
              <w:spacing w:after="160"/>
              <w:rPr>
                <w:rFonts w:ascii="宋体" w:hAnsi="宋体"/>
                <w:szCs w:val="21"/>
              </w:rPr>
            </w:pPr>
            <w:r>
              <w:rPr>
                <w:rFonts w:ascii="宋体" w:hAnsi="宋体" w:hint="eastAsia"/>
                <w:szCs w:val="21"/>
              </w:rPr>
              <w:t>2.通过合同关键信息无法判断是否得分的，还须同时提供能证明得分的其它证明资料，如项目报告或合同甲方出具的证明文件等。</w:t>
            </w:r>
          </w:p>
          <w:p>
            <w:pPr>
              <w:spacing w:after="160"/>
              <w:rPr>
                <w:szCs w:val="21"/>
              </w:rPr>
            </w:pPr>
            <w:r>
              <w:rPr>
                <w:rFonts w:ascii="宋体" w:hAnsi="宋体" w:hint="eastAsia"/>
                <w:szCs w:val="21"/>
              </w:rPr>
              <w:t>3.以上资料均要求提供扫描件，原件备查。</w:t>
            </w:r>
            <w:r>
              <w:rPr>
                <w:szCs w:val="21"/>
              </w:rPr>
              <w:t>评分中出现无证明资料或专家无法凭所提供资料判断是否得分的情况，一律作不得分处理。</w:t>
            </w:r>
          </w:p>
        </w:tc>
      </w:tr>
      <w:tr>
        <w:tblPrEx>
          <w:tblW w:w="9072" w:type="dxa"/>
          <w:jc w:val="center"/>
          <w:tblCellSpacing w:w="0" w:type="dxa"/>
          <w:tblCellMar>
            <w:top w:w="20" w:type="dxa"/>
            <w:left w:w="108" w:type="dxa"/>
            <w:bottom w:w="20" w:type="dxa"/>
            <w:right w:w="108" w:type="dxa"/>
          </w:tblCellMar>
        </w:tblPrEx>
        <w:trPr>
          <w:trHeight w:val="2364"/>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cs="宋体"/>
                <w:szCs w:val="21"/>
              </w:rPr>
            </w:pPr>
            <w:r>
              <w:rPr>
                <w:rFonts w:ascii="宋体" w:hAnsi="宋体" w:hint="eastAsia"/>
                <w:szCs w:val="21"/>
              </w:rPr>
              <w:t>3</w:t>
            </w:r>
          </w:p>
        </w:tc>
        <w:tc>
          <w:tcPr>
            <w:tcW w:w="1129" w:type="dxa"/>
            <w:vAlign w:val="center"/>
          </w:tcPr>
          <w:p>
            <w:pPr>
              <w:wordWrap w:val="0"/>
              <w:jc w:val="center"/>
              <w:rPr>
                <w:rFonts w:ascii="宋体" w:hAnsi="宋体" w:cs="宋体"/>
                <w:szCs w:val="21"/>
              </w:rPr>
            </w:pPr>
            <w:r>
              <w:rPr>
                <w:rFonts w:ascii="宋体" w:hAnsi="宋体" w:hint="eastAsia"/>
                <w:szCs w:val="21"/>
              </w:rPr>
              <w:t>供应商获奖情况</w:t>
            </w:r>
          </w:p>
        </w:tc>
        <w:tc>
          <w:tcPr>
            <w:tcW w:w="891" w:type="dxa"/>
            <w:vAlign w:val="center"/>
          </w:tcPr>
          <w:p>
            <w:pPr>
              <w:wordWrap w:val="0"/>
              <w:jc w:val="center"/>
              <w:rPr>
                <w:rFonts w:ascii="宋体" w:hAnsi="宋体" w:cs="宋体"/>
                <w:szCs w:val="21"/>
              </w:rPr>
            </w:pPr>
            <w:r>
              <w:rPr>
                <w:rFonts w:ascii="宋体" w:hAnsi="宋体"/>
                <w:szCs w:val="21"/>
              </w:rPr>
              <w:t>5</w:t>
            </w:r>
          </w:p>
        </w:tc>
        <w:tc>
          <w:tcPr>
            <w:tcW w:w="5701" w:type="dxa"/>
          </w:tcPr>
          <w:p>
            <w:pPr>
              <w:spacing w:after="160"/>
              <w:rPr>
                <w:rFonts w:ascii="宋体" w:hAnsi="宋体"/>
                <w:szCs w:val="21"/>
              </w:rPr>
            </w:pPr>
            <w:r>
              <w:rPr>
                <w:rFonts w:ascii="宋体" w:hAnsi="宋体" w:hint="eastAsia"/>
                <w:szCs w:val="21"/>
              </w:rPr>
              <w:t>（一）评分内容：</w:t>
            </w:r>
          </w:p>
          <w:p>
            <w:pPr>
              <w:spacing w:after="160"/>
              <w:rPr>
                <w:rFonts w:ascii="宋体" w:hAnsi="宋体"/>
                <w:szCs w:val="21"/>
              </w:rPr>
            </w:pPr>
            <w:r>
              <w:rPr>
                <w:rFonts w:ascii="宋体" w:hAnsi="宋体" w:hint="eastAsia"/>
                <w:szCs w:val="21"/>
              </w:rPr>
              <w:t>1、投标人2020年1月1日至本项目开标之日（以颁发时间为准）颁发的“先进保安组织”荣誉的得50分。</w:t>
            </w:r>
          </w:p>
          <w:p>
            <w:pPr>
              <w:spacing w:after="160"/>
              <w:rPr>
                <w:rFonts w:ascii="宋体" w:hAnsi="宋体"/>
                <w:szCs w:val="21"/>
              </w:rPr>
            </w:pPr>
            <w:r>
              <w:rPr>
                <w:rFonts w:ascii="宋体" w:hAnsi="宋体" w:hint="eastAsia"/>
                <w:szCs w:val="21"/>
              </w:rPr>
              <w:t>2、投标人2020年1月1日至本项目开标之日（以颁发时间为准）获得环卫清洁行业协会颁发的先进单位荣誉得50分。</w:t>
            </w:r>
          </w:p>
          <w:p>
            <w:pPr>
              <w:spacing w:after="160"/>
              <w:rPr>
                <w:rFonts w:ascii="宋体" w:hAnsi="宋体"/>
                <w:szCs w:val="21"/>
              </w:rPr>
            </w:pPr>
            <w:r>
              <w:rPr>
                <w:rFonts w:ascii="宋体" w:hAnsi="宋体" w:hint="eastAsia"/>
                <w:szCs w:val="21"/>
              </w:rPr>
              <w:t>以上累计得分，最高得100分。</w:t>
            </w:r>
          </w:p>
          <w:p>
            <w:pPr>
              <w:spacing w:after="160"/>
              <w:rPr>
                <w:rFonts w:ascii="宋体" w:hAnsi="宋体"/>
                <w:szCs w:val="21"/>
              </w:rPr>
            </w:pPr>
            <w:r>
              <w:rPr>
                <w:rFonts w:ascii="宋体" w:hAnsi="宋体" w:hint="eastAsia"/>
                <w:szCs w:val="21"/>
              </w:rPr>
              <w:t>（二）评分依据：</w:t>
            </w:r>
          </w:p>
          <w:p>
            <w:pPr>
              <w:spacing w:after="160"/>
              <w:rPr>
                <w:rFonts w:ascii="宋体" w:hAnsi="宋体"/>
                <w:szCs w:val="21"/>
              </w:rPr>
            </w:pPr>
            <w:r>
              <w:rPr>
                <w:rFonts w:ascii="宋体" w:hAnsi="宋体" w:hint="eastAsia"/>
                <w:szCs w:val="21"/>
              </w:rPr>
              <w:t>1.要求提供奖项照片或获奖（荣誉）证书等证明材料作为得分依据。</w:t>
            </w:r>
          </w:p>
          <w:p>
            <w:pPr>
              <w:spacing w:after="160"/>
              <w:rPr>
                <w:szCs w:val="21"/>
              </w:rPr>
            </w:pPr>
            <w:r>
              <w:rPr>
                <w:rFonts w:ascii="宋体" w:hAnsi="宋体" w:hint="eastAsia"/>
                <w:szCs w:val="21"/>
              </w:rPr>
              <w:t>2.以上资料均要求提供扫描件（或官方网站截图），原件备查。</w:t>
            </w:r>
            <w:r>
              <w:rPr>
                <w:szCs w:val="21"/>
              </w:rPr>
              <w:t>评分中出现无证明资料或专家无法凭所提供资料判断是否得分的情况，一律作不得分处理。</w:t>
            </w:r>
          </w:p>
          <w:p>
            <w:pPr>
              <w:spacing w:after="160"/>
            </w:pPr>
            <w:r>
              <w:rPr>
                <w:rFonts w:hint="eastAsia"/>
                <w:szCs w:val="21"/>
              </w:rPr>
              <w:t>3</w:t>
            </w:r>
            <w:r>
              <w:rPr>
                <w:szCs w:val="21"/>
              </w:rPr>
              <w:t>.</w:t>
            </w:r>
            <w:r>
              <w:rPr>
                <w:rFonts w:ascii="宋体" w:hAnsi="宋体"/>
                <w:color w:val="000000"/>
                <w:szCs w:val="21"/>
              </w:rPr>
              <w:t>由</w:t>
            </w:r>
            <w:r>
              <w:rPr>
                <w:rFonts w:ascii="宋体" w:hAnsi="宋体" w:hint="eastAsia"/>
                <w:color w:val="000000"/>
                <w:szCs w:val="21"/>
              </w:rPr>
              <w:t>协会等</w:t>
            </w:r>
            <w:r>
              <w:rPr>
                <w:rFonts w:ascii="宋体" w:hAnsi="宋体"/>
                <w:color w:val="000000"/>
                <w:szCs w:val="21"/>
              </w:rPr>
              <w:t>社会组织颁发的</w:t>
            </w:r>
            <w:r>
              <w:rPr>
                <w:rFonts w:ascii="宋体" w:hAnsi="宋体" w:hint="eastAsia"/>
                <w:color w:val="000000"/>
                <w:szCs w:val="21"/>
              </w:rPr>
              <w:t>奖项</w:t>
            </w:r>
            <w:r>
              <w:rPr>
                <w:rFonts w:ascii="宋体" w:hAnsi="宋体"/>
                <w:color w:val="000000"/>
                <w:szCs w:val="21"/>
              </w:rPr>
              <w:t>，还需提供该组织在“中国社会组织政务服务平台”的已合法登记且状态正常截图。</w:t>
            </w:r>
          </w:p>
        </w:tc>
      </w:tr>
      <w:tr>
        <w:tblPrEx>
          <w:tblW w:w="9072" w:type="dxa"/>
          <w:jc w:val="center"/>
          <w:tblCellSpacing w:w="0" w:type="dxa"/>
          <w:tblCellMar>
            <w:top w:w="20" w:type="dxa"/>
            <w:left w:w="108" w:type="dxa"/>
            <w:bottom w:w="20" w:type="dxa"/>
            <w:right w:w="108" w:type="dxa"/>
          </w:tblCellMar>
        </w:tblPrEx>
        <w:trPr>
          <w:trHeight w:val="3894"/>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cs="宋体"/>
                <w:szCs w:val="21"/>
              </w:rPr>
            </w:pPr>
            <w:r>
              <w:rPr>
                <w:rFonts w:ascii="宋体" w:hAnsi="宋体"/>
                <w:szCs w:val="21"/>
              </w:rPr>
              <w:t>4</w:t>
            </w:r>
          </w:p>
        </w:tc>
        <w:tc>
          <w:tcPr>
            <w:tcW w:w="1129" w:type="dxa"/>
            <w:vAlign w:val="center"/>
          </w:tcPr>
          <w:p>
            <w:pPr>
              <w:wordWrap w:val="0"/>
              <w:jc w:val="center"/>
              <w:rPr>
                <w:rFonts w:ascii="宋体" w:hAnsi="宋体" w:cs="宋体"/>
                <w:szCs w:val="21"/>
              </w:rPr>
            </w:pPr>
            <w:r>
              <w:rPr>
                <w:rFonts w:ascii="宋体" w:hAnsi="宋体" w:hint="eastAsia"/>
                <w:szCs w:val="21"/>
              </w:rPr>
              <w:t>供应商自主知识产权产品（创新、设计）情况</w:t>
            </w:r>
          </w:p>
        </w:tc>
        <w:tc>
          <w:tcPr>
            <w:tcW w:w="891" w:type="dxa"/>
            <w:vAlign w:val="center"/>
          </w:tcPr>
          <w:p>
            <w:pPr>
              <w:wordWrap w:val="0"/>
              <w:jc w:val="center"/>
              <w:rPr>
                <w:rFonts w:ascii="宋体" w:hAnsi="宋体" w:cs="宋体"/>
                <w:szCs w:val="21"/>
              </w:rPr>
            </w:pPr>
            <w:r>
              <w:rPr>
                <w:rFonts w:ascii="宋体" w:hAnsi="宋体" w:hint="eastAsia"/>
                <w:szCs w:val="21"/>
              </w:rPr>
              <w:t>9</w:t>
            </w:r>
          </w:p>
        </w:tc>
        <w:tc>
          <w:tcPr>
            <w:tcW w:w="5701" w:type="dxa"/>
          </w:tcPr>
          <w:p>
            <w:pPr>
              <w:spacing w:after="160"/>
              <w:rPr>
                <w:rFonts w:ascii="宋体" w:hAnsi="宋体"/>
                <w:szCs w:val="21"/>
              </w:rPr>
            </w:pPr>
            <w:r>
              <w:rPr>
                <w:rFonts w:ascii="宋体" w:hAnsi="宋体" w:hint="eastAsia"/>
                <w:szCs w:val="21"/>
              </w:rPr>
              <w:t>（一）评分内容：</w:t>
            </w:r>
          </w:p>
          <w:p>
            <w:pPr>
              <w:spacing w:after="160"/>
              <w:rPr>
                <w:rFonts w:ascii="宋体" w:hAnsi="宋体"/>
                <w:szCs w:val="21"/>
              </w:rPr>
            </w:pPr>
            <w:r>
              <w:rPr>
                <w:rFonts w:ascii="宋体" w:hAnsi="宋体" w:hint="eastAsia"/>
                <w:szCs w:val="21"/>
              </w:rPr>
              <w:t xml:space="preserve">1、具有国家版权局颁发的计算机软件著作权登记证书（物业管理软件类），得50分。 </w:t>
            </w:r>
          </w:p>
          <w:p>
            <w:pPr>
              <w:spacing w:after="160"/>
              <w:rPr>
                <w:rFonts w:ascii="宋体" w:hAnsi="宋体"/>
                <w:szCs w:val="21"/>
              </w:rPr>
            </w:pPr>
            <w:r>
              <w:rPr>
                <w:rFonts w:ascii="宋体" w:hAnsi="宋体" w:hint="eastAsia"/>
                <w:szCs w:val="21"/>
              </w:rPr>
              <w:t>2、具有节能减排服务管理类系统得25分；</w:t>
            </w:r>
          </w:p>
          <w:p>
            <w:pPr>
              <w:spacing w:after="160"/>
              <w:rPr>
                <w:rFonts w:ascii="宋体" w:hAnsi="宋体"/>
                <w:szCs w:val="21"/>
              </w:rPr>
            </w:pPr>
            <w:r>
              <w:rPr>
                <w:rFonts w:ascii="宋体" w:hAnsi="宋体" w:hint="eastAsia"/>
                <w:szCs w:val="21"/>
              </w:rPr>
              <w:t>3、具有垃圾分类服务管理类系统得25分。</w:t>
            </w:r>
          </w:p>
          <w:p>
            <w:pPr>
              <w:spacing w:after="160"/>
              <w:rPr>
                <w:rFonts w:ascii="宋体" w:hAnsi="宋体"/>
                <w:szCs w:val="21"/>
              </w:rPr>
            </w:pPr>
            <w:r>
              <w:rPr>
                <w:rFonts w:ascii="宋体" w:hAnsi="宋体" w:hint="eastAsia"/>
                <w:szCs w:val="21"/>
              </w:rPr>
              <w:t>以上累计得分，最高得100分。</w:t>
            </w:r>
          </w:p>
          <w:p>
            <w:pPr>
              <w:spacing w:after="160"/>
              <w:rPr>
                <w:rFonts w:ascii="宋体" w:hAnsi="宋体"/>
                <w:szCs w:val="21"/>
              </w:rPr>
            </w:pPr>
            <w:r>
              <w:rPr>
                <w:rFonts w:ascii="宋体" w:hAnsi="宋体" w:hint="eastAsia"/>
                <w:szCs w:val="21"/>
              </w:rPr>
              <w:t>（二）评分依据:</w:t>
            </w:r>
          </w:p>
          <w:p>
            <w:pPr>
              <w:spacing w:after="160"/>
              <w:rPr>
                <w:rFonts w:ascii="宋体" w:hAnsi="宋体"/>
                <w:szCs w:val="21"/>
              </w:rPr>
            </w:pPr>
            <w:r>
              <w:rPr>
                <w:rFonts w:ascii="宋体" w:hAnsi="宋体" w:hint="eastAsia"/>
                <w:szCs w:val="21"/>
              </w:rPr>
              <w:t>1.要求提供有效的产权（专利）证书等证明材料作为得分依据。</w:t>
            </w:r>
          </w:p>
          <w:p>
            <w:pPr>
              <w:spacing w:after="160"/>
              <w:rPr>
                <w:szCs w:val="21"/>
              </w:rPr>
            </w:pPr>
            <w:r>
              <w:rPr>
                <w:rFonts w:ascii="宋体" w:hAnsi="宋体" w:hint="eastAsia"/>
                <w:szCs w:val="21"/>
              </w:rPr>
              <w:t>2.以上资料均要求提供扫描件（或官方网站截图），原件备查。</w:t>
            </w:r>
            <w:r>
              <w:rPr>
                <w:szCs w:val="21"/>
              </w:rPr>
              <w:t>评分中出现无证明资料或专家无法凭所提供资料判断是否得分的情况，一律作不得分处理。</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cs="宋体"/>
                <w:szCs w:val="21"/>
              </w:rPr>
            </w:pPr>
            <w:r>
              <w:rPr>
                <w:rFonts w:ascii="宋体" w:hAnsi="宋体"/>
                <w:szCs w:val="21"/>
              </w:rPr>
              <w:t>5</w:t>
            </w:r>
          </w:p>
        </w:tc>
        <w:tc>
          <w:tcPr>
            <w:tcW w:w="1129" w:type="dxa"/>
            <w:vAlign w:val="center"/>
          </w:tcPr>
          <w:p>
            <w:pPr>
              <w:wordWrap w:val="0"/>
              <w:jc w:val="center"/>
              <w:rPr>
                <w:rFonts w:ascii="宋体" w:hAnsi="宋体" w:cs="宋体"/>
                <w:szCs w:val="21"/>
              </w:rPr>
            </w:pPr>
            <w:r>
              <w:rPr>
                <w:rFonts w:ascii="宋体" w:hAnsi="宋体" w:hint="eastAsia"/>
                <w:szCs w:val="21"/>
              </w:rPr>
              <w:t>服务网点</w:t>
            </w:r>
          </w:p>
        </w:tc>
        <w:tc>
          <w:tcPr>
            <w:tcW w:w="891" w:type="dxa"/>
            <w:vAlign w:val="center"/>
          </w:tcPr>
          <w:p>
            <w:pPr>
              <w:wordWrap w:val="0"/>
              <w:jc w:val="center"/>
              <w:rPr>
                <w:rFonts w:ascii="宋体" w:hAnsi="宋体" w:cs="宋体"/>
                <w:szCs w:val="21"/>
              </w:rPr>
            </w:pPr>
            <w:r>
              <w:rPr>
                <w:rFonts w:ascii="宋体" w:hAnsi="宋体" w:hint="eastAsia"/>
                <w:szCs w:val="21"/>
              </w:rPr>
              <w:t>3</w:t>
            </w:r>
          </w:p>
        </w:tc>
        <w:tc>
          <w:tcPr>
            <w:tcW w:w="5701" w:type="dxa"/>
          </w:tcPr>
          <w:p>
            <w:pPr>
              <w:spacing w:after="160" w:line="240" w:lineRule="exact"/>
              <w:jc w:val="left"/>
              <w:rPr>
                <w:szCs w:val="21"/>
              </w:rPr>
            </w:pPr>
            <w:r>
              <w:rPr>
                <w:rFonts w:hint="eastAsia"/>
                <w:szCs w:val="21"/>
              </w:rPr>
              <w:t>（一）评分内容：</w:t>
            </w:r>
          </w:p>
          <w:p>
            <w:pPr>
              <w:spacing w:after="160" w:line="240" w:lineRule="exact"/>
              <w:jc w:val="left"/>
              <w:rPr>
                <w:szCs w:val="21"/>
              </w:rPr>
            </w:pPr>
            <w:r>
              <w:rPr>
                <w:rFonts w:hint="eastAsia"/>
                <w:szCs w:val="21"/>
              </w:rPr>
              <w:t>供应商承诺中标后提供本地经营（服务）网点的，得100分。</w:t>
            </w:r>
          </w:p>
          <w:p>
            <w:pPr>
              <w:spacing w:after="160" w:line="240" w:lineRule="exact"/>
              <w:jc w:val="left"/>
              <w:rPr>
                <w:szCs w:val="21"/>
              </w:rPr>
            </w:pPr>
            <w:r>
              <w:rPr>
                <w:rFonts w:hint="eastAsia"/>
                <w:szCs w:val="21"/>
              </w:rPr>
              <w:t>（二）评分依据:</w:t>
            </w:r>
          </w:p>
          <w:p>
            <w:pPr>
              <w:spacing w:after="160" w:line="240" w:lineRule="exact"/>
              <w:jc w:val="left"/>
              <w:rPr>
                <w:rFonts w:ascii="宋体" w:hAnsi="宋体"/>
                <w:szCs w:val="21"/>
              </w:rPr>
            </w:pPr>
            <w:r>
              <w:rPr>
                <w:rFonts w:hint="eastAsia"/>
                <w:szCs w:val="21"/>
              </w:rPr>
              <w:t>要求提供承诺函（格式详见采购文件投标文件正文（信息公开部分）-服务网点-承诺函）作为得分依据，未按采购文件要求提供承诺函的不得分。</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tcPr>
          <w:p>
            <w:pPr>
              <w:wordWrap w:val="0"/>
              <w:jc w:val="center"/>
              <w:rPr>
                <w:rFonts w:ascii="宋体" w:hAnsi="宋体" w:cs="宋体"/>
                <w:b/>
                <w:bCs/>
                <w:color w:val="0000FF"/>
                <w:sz w:val="24"/>
              </w:rPr>
            </w:pPr>
            <w:r>
              <w:rPr>
                <w:b/>
                <w:bCs/>
                <w:color w:val="0000FF"/>
              </w:rPr>
              <w:t>4</w:t>
            </w:r>
          </w:p>
        </w:tc>
        <w:tc>
          <w:tcPr>
            <w:tcW w:w="2695" w:type="dxa"/>
            <w:gridSpan w:val="3"/>
          </w:tcPr>
          <w:p>
            <w:pPr>
              <w:wordWrap w:val="0"/>
              <w:jc w:val="center"/>
              <w:rPr>
                <w:rFonts w:ascii="宋体" w:hAnsi="宋体" w:cs="宋体"/>
                <w:b/>
                <w:bCs/>
                <w:color w:val="0000FF"/>
                <w:sz w:val="24"/>
              </w:rPr>
            </w:pPr>
            <w:r>
              <w:rPr>
                <w:b/>
                <w:bCs/>
                <w:color w:val="0000FF"/>
              </w:rPr>
              <w:t>诚信情况</w:t>
            </w:r>
          </w:p>
        </w:tc>
        <w:tc>
          <w:tcPr>
            <w:tcW w:w="5701" w:type="dxa"/>
          </w:tcPr>
          <w:p>
            <w:pPr>
              <w:wordWrap w:val="0"/>
              <w:jc w:val="center"/>
              <w:rPr>
                <w:rFonts w:ascii="宋体" w:hAnsi="宋体" w:cs="宋体"/>
                <w:b/>
                <w:bCs/>
                <w:color w:val="0000FF"/>
                <w:sz w:val="24"/>
              </w:rPr>
            </w:pPr>
            <w:r>
              <w:rPr>
                <w:b/>
                <w:bCs/>
                <w:color w:val="0000FF"/>
              </w:rPr>
              <w:t>5</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restart"/>
            <w:shd w:val="clear" w:color="auto" w:fill="E6EFFA"/>
            <w:vAlign w:val="center"/>
          </w:tcPr>
          <w:p>
            <w:pPr>
              <w:rPr>
                <w:rFonts w:ascii="宋体" w:hAnsi="宋体" w:cs="宋体"/>
                <w:b/>
                <w:bCs/>
                <w:color w:val="0000FF"/>
                <w:sz w:val="24"/>
              </w:rPr>
            </w:pPr>
          </w:p>
        </w:tc>
        <w:tc>
          <w:tcPr>
            <w:tcW w:w="675" w:type="dxa"/>
            <w:shd w:val="clear" w:color="auto" w:fill="E6EFFA"/>
            <w:vAlign w:val="center"/>
          </w:tcPr>
          <w:p>
            <w:pPr>
              <w:wordWrap w:val="0"/>
              <w:jc w:val="center"/>
              <w:rPr>
                <w:rFonts w:ascii="宋体" w:hAnsi="宋体" w:cs="宋体"/>
                <w:szCs w:val="21"/>
              </w:rPr>
            </w:pPr>
            <w:r>
              <w:rPr>
                <w:szCs w:val="21"/>
              </w:rPr>
              <w:t>序号</w:t>
            </w:r>
          </w:p>
        </w:tc>
        <w:tc>
          <w:tcPr>
            <w:tcW w:w="1129" w:type="dxa"/>
            <w:shd w:val="clear" w:color="auto" w:fill="E6EFFA"/>
            <w:vAlign w:val="center"/>
          </w:tcPr>
          <w:p>
            <w:pPr>
              <w:wordWrap w:val="0"/>
              <w:jc w:val="center"/>
              <w:rPr>
                <w:rFonts w:ascii="宋体" w:hAnsi="宋体" w:cs="宋体"/>
                <w:szCs w:val="21"/>
              </w:rPr>
            </w:pPr>
            <w:r>
              <w:rPr>
                <w:rFonts w:hint="eastAsia"/>
                <w:szCs w:val="21"/>
              </w:rPr>
              <w:t>评审因素</w:t>
            </w:r>
          </w:p>
        </w:tc>
        <w:tc>
          <w:tcPr>
            <w:tcW w:w="891" w:type="dxa"/>
            <w:shd w:val="clear" w:color="auto" w:fill="E6EFFA"/>
            <w:vAlign w:val="center"/>
          </w:tcPr>
          <w:p>
            <w:pPr>
              <w:wordWrap w:val="0"/>
              <w:jc w:val="center"/>
              <w:rPr>
                <w:rFonts w:ascii="宋体" w:hAnsi="宋体" w:cs="宋体"/>
                <w:szCs w:val="21"/>
              </w:rPr>
            </w:pPr>
            <w:r>
              <w:rPr>
                <w:szCs w:val="21"/>
              </w:rPr>
              <w:t>权重(%)</w:t>
            </w:r>
          </w:p>
        </w:tc>
        <w:tc>
          <w:tcPr>
            <w:tcW w:w="5701" w:type="dxa"/>
            <w:shd w:val="clear" w:color="auto" w:fill="E6EFFA"/>
            <w:vAlign w:val="center"/>
          </w:tcPr>
          <w:p>
            <w:pPr>
              <w:wordWrap w:val="0"/>
              <w:jc w:val="center"/>
              <w:rPr>
                <w:rFonts w:ascii="宋体" w:hAnsi="宋体" w:cs="宋体"/>
                <w:szCs w:val="21"/>
              </w:rPr>
            </w:pPr>
            <w:r>
              <w:rPr>
                <w:szCs w:val="21"/>
              </w:rPr>
              <w:t>评分准则</w:t>
            </w:r>
          </w:p>
        </w:tc>
      </w:tr>
      <w:tr>
        <w:tblPrEx>
          <w:tblW w:w="9072" w:type="dxa"/>
          <w:jc w:val="center"/>
          <w:tblCellSpacing w:w="0" w:type="dxa"/>
          <w:tblCellMar>
            <w:top w:w="20" w:type="dxa"/>
            <w:left w:w="108" w:type="dxa"/>
            <w:bottom w:w="20" w:type="dxa"/>
            <w:right w:w="108" w:type="dxa"/>
          </w:tblCellMar>
        </w:tblPrEx>
        <w:trPr>
          <w:tblCellSpacing w:w="0" w:type="dxa"/>
          <w:jc w:val="center"/>
        </w:trPr>
        <w:tc>
          <w:tcPr>
            <w:tcW w:w="676" w:type="dxa"/>
            <w:vMerge/>
            <w:vAlign w:val="center"/>
          </w:tcPr>
          <w:p>
            <w:pPr>
              <w:rPr>
                <w:rFonts w:ascii="宋体" w:hAnsi="宋体" w:cs="宋体"/>
                <w:b/>
                <w:bCs/>
                <w:color w:val="0000FF"/>
                <w:sz w:val="24"/>
              </w:rPr>
            </w:pPr>
          </w:p>
        </w:tc>
        <w:tc>
          <w:tcPr>
            <w:tcW w:w="675" w:type="dxa"/>
            <w:vAlign w:val="center"/>
          </w:tcPr>
          <w:p>
            <w:pPr>
              <w:wordWrap w:val="0"/>
              <w:jc w:val="center"/>
              <w:rPr>
                <w:rFonts w:ascii="宋体" w:hAnsi="宋体"/>
                <w:szCs w:val="21"/>
              </w:rPr>
            </w:pPr>
            <w:r>
              <w:rPr>
                <w:rFonts w:ascii="宋体" w:hAnsi="宋体"/>
                <w:szCs w:val="21"/>
              </w:rPr>
              <w:t>1</w:t>
            </w:r>
          </w:p>
        </w:tc>
        <w:tc>
          <w:tcPr>
            <w:tcW w:w="1129" w:type="dxa"/>
            <w:vAlign w:val="center"/>
          </w:tcPr>
          <w:p>
            <w:pPr>
              <w:wordWrap w:val="0"/>
              <w:jc w:val="center"/>
              <w:rPr>
                <w:rFonts w:ascii="宋体" w:hAnsi="宋体"/>
                <w:szCs w:val="21"/>
              </w:rPr>
            </w:pPr>
            <w:r>
              <w:rPr>
                <w:rFonts w:ascii="宋体" w:hAnsi="宋体"/>
                <w:szCs w:val="21"/>
              </w:rPr>
              <w:t>诚信情况</w:t>
            </w:r>
          </w:p>
        </w:tc>
        <w:tc>
          <w:tcPr>
            <w:tcW w:w="891" w:type="dxa"/>
            <w:vAlign w:val="center"/>
          </w:tcPr>
          <w:p>
            <w:pPr>
              <w:wordWrap w:val="0"/>
              <w:jc w:val="center"/>
              <w:rPr>
                <w:rFonts w:ascii="宋体" w:hAnsi="宋体" w:cs="宋体"/>
                <w:szCs w:val="21"/>
              </w:rPr>
            </w:pPr>
            <w:r>
              <w:rPr>
                <w:szCs w:val="21"/>
              </w:rPr>
              <w:t>5</w:t>
            </w:r>
          </w:p>
        </w:tc>
        <w:tc>
          <w:tcPr>
            <w:tcW w:w="5701" w:type="dxa"/>
          </w:tcPr>
          <w:p>
            <w:pPr>
              <w:wordWrap w:val="0"/>
              <w:rPr>
                <w:rFonts w:ascii="宋体" w:hAnsi="宋体" w:cs="宋体"/>
                <w:szCs w:val="21"/>
              </w:rPr>
            </w:pPr>
            <w:r>
              <w:rPr>
                <w:szCs w:val="21"/>
              </w:rPr>
              <w:t>投标人在参与政府采购活动中存在诚信相关问题且在主管部门相关处理措施实施期限内的，本项不得分，否则得满分。投标人无需提供任何证明材料，由工作人员向评审委员会提供相关信息。</w:t>
            </w:r>
          </w:p>
        </w:tc>
      </w:tr>
    </w:tbl>
    <w:p>
      <w:r>
        <w:rPr>
          <w:rFonts w:hint="eastAsia"/>
        </w:rPr>
        <w:br w:type="page"/>
      </w:r>
    </w:p>
    <w:p>
      <w:pPr>
        <w:jc w:val="center"/>
        <w:rPr>
          <w:b/>
          <w:sz w:val="120"/>
          <w:szCs w:val="120"/>
        </w:rPr>
      </w:pPr>
    </w:p>
    <w:p>
      <w:pPr>
        <w:jc w:val="center"/>
        <w:rPr>
          <w:b/>
          <w:sz w:val="120"/>
          <w:szCs w:val="120"/>
        </w:rPr>
      </w:pPr>
    </w:p>
    <w:p>
      <w:pPr>
        <w:jc w:val="center"/>
        <w:rPr>
          <w:b/>
          <w:sz w:val="120"/>
          <w:szCs w:val="120"/>
        </w:rPr>
      </w:pPr>
      <w:r>
        <w:rPr>
          <w:rFonts w:hint="eastAsia"/>
          <w:b/>
          <w:sz w:val="120"/>
          <w:szCs w:val="120"/>
        </w:rPr>
        <w:t>政府采购</w:t>
      </w:r>
    </w:p>
    <w:p>
      <w:pPr>
        <w:jc w:val="center"/>
        <w:rPr>
          <w:b/>
          <w:sz w:val="120"/>
          <w:szCs w:val="120"/>
        </w:rPr>
      </w:pPr>
      <w:r>
        <w:rPr>
          <w:rFonts w:hint="eastAsia"/>
          <w:b/>
          <w:sz w:val="120"/>
          <w:szCs w:val="120"/>
        </w:rPr>
        <w:t>招标文件</w:t>
      </w:r>
    </w:p>
    <w:p>
      <w:pPr>
        <w:jc w:val="center"/>
        <w:rPr>
          <w:b/>
          <w:sz w:val="52"/>
          <w:szCs w:val="52"/>
        </w:rPr>
      </w:pPr>
      <w:r>
        <w:rPr>
          <w:rFonts w:hint="eastAsia"/>
          <w:b/>
          <w:sz w:val="52"/>
          <w:szCs w:val="52"/>
        </w:rPr>
        <w:t>（服务类）</w:t>
      </w:r>
    </w:p>
    <w:p/>
    <w:p/>
    <w:p/>
    <w:p/>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p>
    <w:p>
      <w:pPr>
        <w:jc w:val="center"/>
        <w:rPr>
          <w:b/>
          <w:sz w:val="44"/>
          <w:szCs w:val="44"/>
        </w:rPr>
      </w:pPr>
      <w:bookmarkStart w:id="1" w:name="_Hlk71465316"/>
      <w:r>
        <w:rPr>
          <w:rFonts w:hint="eastAsia"/>
          <w:b/>
          <w:sz w:val="44"/>
          <w:szCs w:val="44"/>
        </w:rPr>
        <w:t>深圳公共资源交易中心</w:t>
      </w:r>
    </w:p>
    <w:p>
      <w:pPr>
        <w:jc w:val="center"/>
        <w:rPr>
          <w:sz w:val="28"/>
          <w:szCs w:val="28"/>
        </w:rPr>
      </w:pPr>
      <w:r>
        <w:rPr>
          <w:rFonts w:hint="eastAsia"/>
          <w:b/>
          <w:sz w:val="28"/>
          <w:szCs w:val="28"/>
        </w:rPr>
        <w:t>（</w:t>
      </w:r>
      <w:r>
        <w:rPr>
          <w:b/>
          <w:sz w:val="28"/>
          <w:szCs w:val="28"/>
        </w:rPr>
        <w:t>20</w:t>
      </w:r>
      <w:r>
        <w:rPr>
          <w:rFonts w:hint="eastAsia"/>
          <w:b/>
          <w:sz w:val="28"/>
          <w:szCs w:val="28"/>
        </w:rPr>
        <w:t>23年）</w:t>
      </w:r>
      <w:bookmarkEnd w:id="1"/>
    </w:p>
    <w:p>
      <w:pPr>
        <w:ind w:firstLine="3150" w:firstLineChars="1500"/>
        <w:rPr>
          <w:rFonts w:ascii="宋体" w:hAnsi="宋体"/>
          <w:color w:val="FF0000"/>
          <w:szCs w:val="21"/>
        </w:rPr>
      </w:pPr>
      <w:r>
        <w:rPr>
          <w:rFonts w:hint="eastAsia"/>
        </w:rPr>
        <w:br w:type="page"/>
      </w:r>
      <w:r>
        <w:rPr>
          <w:rFonts w:ascii="宋体" w:eastAsia="黑体" w:hAnsi="宋体" w:hint="eastAsia"/>
          <w:b/>
          <w:bCs/>
          <w:color w:val="FF0000"/>
          <w:kern w:val="44"/>
          <w:sz w:val="28"/>
          <w:szCs w:val="44"/>
        </w:rPr>
        <w:t>警示条款</w:t>
      </w:r>
    </w:p>
    <w:p>
      <w:pPr>
        <w:ind w:firstLine="420" w:firstLineChars="200"/>
        <w:rPr>
          <w:rFonts w:ascii="宋体" w:hAnsi="宋体"/>
          <w:color w:val="FF0000"/>
          <w:sz w:val="20"/>
          <w:szCs w:val="20"/>
        </w:rPr>
      </w:pPr>
      <w:r>
        <w:rPr>
          <w:rFonts w:ascii="宋体" w:hAnsi="宋体" w:hint="eastAsia"/>
          <w:color w:val="FF0000"/>
          <w:sz w:val="20"/>
          <w:szCs w:val="20"/>
        </w:rPr>
        <w:t>一、</w:t>
      </w:r>
      <w:r>
        <w:rPr>
          <w:rFonts w:ascii="宋体" w:hAnsi="宋体" w:hint="eastAsia"/>
          <w:b/>
          <w:bCs/>
          <w:color w:val="FF0000"/>
          <w:sz w:val="20"/>
          <w:szCs w:val="20"/>
        </w:rPr>
        <w:t>《深圳经济特区政府采购条例》第五十七条</w:t>
      </w:r>
      <w:r>
        <w:rPr>
          <w:rFonts w:ascii="宋体" w:hAnsi="宋体" w:hint="eastAsia"/>
          <w:color w:val="FF0000"/>
          <w:sz w:val="20"/>
          <w:szCs w:val="20"/>
        </w:rPr>
        <w:t xml:space="preserve">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20" w:firstLineChars="200"/>
        <w:rPr>
          <w:rFonts w:ascii="宋体" w:hAnsi="宋体"/>
          <w:color w:val="FF0000"/>
          <w:sz w:val="20"/>
          <w:szCs w:val="20"/>
        </w:rPr>
      </w:pPr>
      <w:r>
        <w:rPr>
          <w:rFonts w:ascii="宋体" w:hAnsi="宋体" w:hint="eastAsia"/>
          <w:color w:val="FF0000"/>
          <w:sz w:val="20"/>
          <w:szCs w:val="20"/>
        </w:rPr>
        <w:t>（一）在采购活动中应当回避而未回避的；</w:t>
      </w:r>
    </w:p>
    <w:p>
      <w:pPr>
        <w:ind w:firstLine="420" w:firstLineChars="200"/>
        <w:rPr>
          <w:rFonts w:ascii="宋体" w:hAnsi="宋体"/>
          <w:color w:val="FF0000"/>
          <w:sz w:val="20"/>
          <w:szCs w:val="20"/>
        </w:rPr>
      </w:pPr>
      <w:r>
        <w:rPr>
          <w:rFonts w:ascii="宋体" w:hAnsi="宋体" w:hint="eastAsia"/>
          <w:color w:val="FF0000"/>
          <w:sz w:val="20"/>
          <w:szCs w:val="20"/>
        </w:rPr>
        <w:t>（二）未按本条例规定签订、履行采购合同，造成严重后果的；</w:t>
      </w:r>
    </w:p>
    <w:p>
      <w:pPr>
        <w:ind w:firstLine="420" w:firstLineChars="200"/>
        <w:rPr>
          <w:rFonts w:ascii="宋体" w:hAnsi="宋体"/>
          <w:color w:val="FF0000"/>
          <w:sz w:val="20"/>
          <w:szCs w:val="20"/>
        </w:rPr>
      </w:pPr>
      <w:r>
        <w:rPr>
          <w:rFonts w:ascii="宋体" w:hAnsi="宋体" w:hint="eastAsia"/>
          <w:color w:val="FF0000"/>
          <w:sz w:val="20"/>
          <w:szCs w:val="20"/>
        </w:rPr>
        <w:t>（三）隐瞒真实情况，提供虚假资料的；</w:t>
      </w:r>
    </w:p>
    <w:p>
      <w:pPr>
        <w:ind w:firstLine="420" w:firstLineChars="200"/>
        <w:rPr>
          <w:rFonts w:ascii="宋体" w:hAnsi="宋体"/>
          <w:color w:val="FF0000"/>
          <w:sz w:val="20"/>
          <w:szCs w:val="20"/>
        </w:rPr>
      </w:pPr>
      <w:r>
        <w:rPr>
          <w:rFonts w:ascii="宋体" w:hAnsi="宋体" w:hint="eastAsia"/>
          <w:color w:val="FF0000"/>
          <w:sz w:val="20"/>
          <w:szCs w:val="20"/>
        </w:rPr>
        <w:t>（四）以非法手段排斥其他供应商参与竞争的；</w:t>
      </w:r>
    </w:p>
    <w:p>
      <w:pPr>
        <w:ind w:firstLine="420" w:firstLineChars="200"/>
        <w:rPr>
          <w:rFonts w:ascii="宋体" w:hAnsi="宋体"/>
          <w:color w:val="FF0000"/>
          <w:sz w:val="20"/>
          <w:szCs w:val="20"/>
        </w:rPr>
      </w:pPr>
      <w:r>
        <w:rPr>
          <w:rFonts w:ascii="宋体" w:hAnsi="宋体" w:hint="eastAsia"/>
          <w:color w:val="FF0000"/>
          <w:sz w:val="20"/>
          <w:szCs w:val="20"/>
        </w:rPr>
        <w:t>（五）与其他采购参加人串通投标的；</w:t>
      </w:r>
    </w:p>
    <w:p>
      <w:pPr>
        <w:ind w:firstLine="420" w:firstLineChars="200"/>
        <w:rPr>
          <w:rFonts w:ascii="宋体" w:hAnsi="宋体"/>
          <w:color w:val="FF0000"/>
          <w:sz w:val="20"/>
          <w:szCs w:val="20"/>
        </w:rPr>
      </w:pPr>
      <w:r>
        <w:rPr>
          <w:rFonts w:ascii="宋体" w:hAnsi="宋体" w:hint="eastAsia"/>
          <w:color w:val="FF0000"/>
          <w:sz w:val="20"/>
          <w:szCs w:val="20"/>
        </w:rPr>
        <w:t>（六）恶意投诉的；</w:t>
      </w:r>
    </w:p>
    <w:p>
      <w:pPr>
        <w:ind w:firstLine="420" w:firstLineChars="200"/>
        <w:rPr>
          <w:rFonts w:ascii="宋体" w:hAnsi="宋体"/>
          <w:color w:val="FF0000"/>
          <w:sz w:val="20"/>
          <w:szCs w:val="20"/>
        </w:rPr>
      </w:pPr>
      <w:r>
        <w:rPr>
          <w:rFonts w:ascii="宋体" w:hAnsi="宋体" w:hint="eastAsia"/>
          <w:color w:val="FF0000"/>
          <w:sz w:val="20"/>
          <w:szCs w:val="20"/>
        </w:rPr>
        <w:t>（七）向采购项目相关人行贿或者提供其他不当利益的；</w:t>
      </w:r>
    </w:p>
    <w:p>
      <w:pPr>
        <w:ind w:firstLine="420" w:firstLineChars="200"/>
        <w:rPr>
          <w:rFonts w:ascii="宋体" w:hAnsi="宋体"/>
          <w:color w:val="FF0000"/>
          <w:sz w:val="20"/>
          <w:szCs w:val="20"/>
        </w:rPr>
      </w:pPr>
      <w:r>
        <w:rPr>
          <w:rFonts w:ascii="宋体" w:hAnsi="宋体" w:hint="eastAsia"/>
          <w:color w:val="FF0000"/>
          <w:sz w:val="20"/>
          <w:szCs w:val="20"/>
        </w:rPr>
        <w:t>（八）阻碍、抗拒主管部门监督检查的；</w:t>
      </w:r>
    </w:p>
    <w:p>
      <w:pPr>
        <w:ind w:firstLine="420" w:firstLineChars="200"/>
        <w:rPr>
          <w:rFonts w:ascii="宋体" w:hAnsi="宋体"/>
          <w:color w:val="FF0000"/>
          <w:sz w:val="20"/>
          <w:szCs w:val="20"/>
        </w:rPr>
      </w:pPr>
      <w:r>
        <w:rPr>
          <w:rFonts w:ascii="宋体" w:hAnsi="宋体" w:hint="eastAsia"/>
          <w:color w:val="FF0000"/>
          <w:sz w:val="20"/>
          <w:szCs w:val="20"/>
        </w:rPr>
        <w:t>（九）其他违反本条例规定的行为。</w:t>
      </w:r>
    </w:p>
    <w:p>
      <w:pPr>
        <w:ind w:firstLine="420" w:firstLineChars="200"/>
        <w:rPr>
          <w:rFonts w:ascii="宋体" w:hAnsi="宋体"/>
          <w:color w:val="FF0000"/>
          <w:sz w:val="20"/>
          <w:szCs w:val="20"/>
        </w:rPr>
      </w:pPr>
      <w:r>
        <w:rPr>
          <w:rFonts w:ascii="宋体" w:hAnsi="宋体" w:hint="eastAsia"/>
          <w:b/>
          <w:bCs/>
          <w:color w:val="FF0000"/>
          <w:sz w:val="20"/>
          <w:szCs w:val="20"/>
        </w:rPr>
        <w:t>二、《深圳经济特区政府采购条例实施细则》第七十五条 </w:t>
      </w:r>
      <w:r>
        <w:rPr>
          <w:rFonts w:ascii="宋体" w:hAnsi="宋体" w:hint="eastAsia"/>
          <w:color w:val="FF0000"/>
          <w:sz w:val="20"/>
          <w:szCs w:val="20"/>
        </w:rPr>
        <w:t>供应商有下列情形的，属于采购条例所称的串通投标行为，按照采购条例第五十七条有关规定处理：（一）投标供应商之间相互约定给予未中标的供应商利益补偿；（二）不同投标供应商的法定代表人、主要经营负责人、项目投标授权代表人、项目负责人、主要技术人员为同一人、属同一单位或者在同一单位缴纳社会保险；（三）不同投标供应商的投标文件由同一单位或者同一人编制，或者由同一人分阶段参与编制的；（四）不同投标供应商的投标文件或部分投标文件相互混装；（五）不同投标供应商的投标文件内容存在非正常一致；（六）由同一单位工作人员为两家以上（含两家）供应商进行同一项投标活动的；（七）主管部门依照法律、法规认定的其他情形。</w:t>
      </w:r>
    </w:p>
    <w:p>
      <w:pPr>
        <w:ind w:firstLine="420" w:firstLineChars="200"/>
        <w:rPr>
          <w:rFonts w:ascii="宋体" w:hAnsi="宋体"/>
          <w:color w:val="FF0000"/>
          <w:sz w:val="20"/>
          <w:szCs w:val="20"/>
        </w:rPr>
      </w:pPr>
      <w:r>
        <w:rPr>
          <w:rFonts w:ascii="宋体" w:hAnsi="宋体" w:hint="eastAsia"/>
          <w:b/>
          <w:bCs/>
          <w:color w:val="FF0000"/>
          <w:sz w:val="20"/>
          <w:szCs w:val="20"/>
        </w:rPr>
        <w:t>三、《深圳经济特区政府采购条例实施细则》第七十七条 </w:t>
      </w:r>
      <w:r>
        <w:rPr>
          <w:rFonts w:ascii="宋体" w:hAnsi="宋体" w:hint="eastAsia"/>
          <w:color w:val="FF0000"/>
          <w:sz w:val="20"/>
          <w:szCs w:val="20"/>
        </w:rPr>
        <w:t>供应商有下列情形之一的，属于隐瞒真实情况，提供虚假资料，按照采购条例第五十七的有关规定处理：（一）通过转让或者租借等方式从其他单位获取资格或者资质证书投标的；（二）由其他单位或者其他单位负责人在投标供应商编制的投标文件上加盖印章或者签字的；（三）项目负责人或者主要技术人员不是本单位人员的；（四）投标保证金不是从投标供应商基本账户转出的；（五）其他隐瞒真实情况、提供虚假资料的行为。</w:t>
      </w:r>
    </w:p>
    <w:p>
      <w:pPr>
        <w:ind w:firstLine="420" w:firstLineChars="200"/>
        <w:rPr>
          <w:rFonts w:ascii="宋体" w:hAnsi="宋体"/>
          <w:color w:val="FF0000"/>
          <w:sz w:val="20"/>
          <w:szCs w:val="20"/>
        </w:rPr>
      </w:pPr>
      <w:r>
        <w:rPr>
          <w:rFonts w:ascii="宋体" w:hAnsi="宋体" w:hint="eastAsia"/>
          <w:color w:val="FF0000"/>
          <w:sz w:val="20"/>
          <w:szCs w:val="20"/>
        </w:rPr>
        <w:t>投标供应商不能提供项目负责人或者主要技术人员的劳动合同、社会保险等劳动关系证明材料的，视为存在前款第（三）项规定的情形。</w:t>
      </w:r>
    </w:p>
    <w:p>
      <w:pPr>
        <w:ind w:firstLine="420" w:firstLineChars="200"/>
        <w:rPr>
          <w:rFonts w:ascii="宋体" w:hAnsi="宋体"/>
          <w:color w:val="FF0000"/>
          <w:sz w:val="20"/>
          <w:szCs w:val="20"/>
        </w:rPr>
      </w:pPr>
      <w:r>
        <w:rPr>
          <w:rFonts w:ascii="宋体" w:hAnsi="宋体" w:hint="eastAsia"/>
          <w:color w:val="FF0000"/>
          <w:sz w:val="20"/>
          <w:szCs w:val="20"/>
        </w:rPr>
        <w:t>四、请投标供应商阅读《政府采购违法行为风险知悉确认书》（内容详见“投标文件附件（信息不公开部分）”中节点“投标人认为需要加以说明的其他内容（格式自定）”），并经各投标供应商负责人或投标授权代表签字并加盖单位公章后，扫描上传至投标文件一并提交。</w:t>
      </w:r>
    </w:p>
    <w:p>
      <w:pPr>
        <w:ind w:firstLine="420" w:firstLineChars="200"/>
        <w:rPr>
          <w:rFonts w:ascii="宋体" w:hAnsi="宋体"/>
          <w:color w:val="FF0000"/>
          <w:sz w:val="20"/>
          <w:szCs w:val="20"/>
        </w:rPr>
      </w:pPr>
      <w:r>
        <w:rPr>
          <w:rFonts w:ascii="宋体" w:hAnsi="宋体" w:hint="eastAsia"/>
          <w:color w:val="FF0000"/>
          <w:sz w:val="20"/>
          <w:szCs w:val="20"/>
        </w:rPr>
        <w:t>注：该风险知悉确认书用于对供应商违法行为的警示，不作为供应商资格性审查及符合性审查条件。</w:t>
      </w:r>
    </w:p>
    <w:p>
      <w:pPr>
        <w:widowControl/>
        <w:jc w:val="left"/>
        <w:rPr>
          <w:rFonts w:ascii="宋体" w:eastAsia="黑体" w:hAnsi="宋体"/>
          <w:b/>
          <w:bCs/>
          <w:kern w:val="44"/>
          <w:sz w:val="28"/>
          <w:szCs w:val="44"/>
        </w:rPr>
      </w:pPr>
      <w:r>
        <w:br w:type="page"/>
      </w:r>
    </w:p>
    <w:p>
      <w:pPr>
        <w:pStyle w:val="Heading1"/>
      </w:pPr>
      <w:r>
        <w:rPr>
          <w:rFonts w:hint="eastAsia"/>
        </w:rPr>
        <w:t>目   录</w:t>
      </w:r>
    </w:p>
    <w:p>
      <w:pPr>
        <w:outlineLvl w:val="0"/>
        <w:rPr>
          <w:b/>
          <w:sz w:val="24"/>
        </w:rPr>
      </w:pPr>
      <w:r>
        <w:rPr>
          <w:rFonts w:hint="eastAsia"/>
          <w:b/>
          <w:sz w:val="24"/>
        </w:rPr>
        <w:t>第一册  专用条款</w:t>
      </w:r>
    </w:p>
    <w:p>
      <w:pPr>
        <w:rPr>
          <w:sz w:val="24"/>
        </w:rPr>
      </w:pPr>
      <w:r>
        <w:rPr>
          <w:rFonts w:hint="eastAsia"/>
          <w:sz w:val="24"/>
        </w:rPr>
        <w:t xml:space="preserve">          关键信息</w:t>
      </w:r>
    </w:p>
    <w:p>
      <w:pPr>
        <w:ind w:left="630" w:firstLine="630" w:leftChars="300" w:firstLineChars="300"/>
        <w:rPr>
          <w:rFonts w:ascii="宋体" w:hAnsi="宋体"/>
          <w:szCs w:val="21"/>
        </w:rPr>
      </w:pPr>
      <w:r>
        <w:rPr>
          <w:rFonts w:ascii="宋体" w:hAnsi="宋体" w:hint="eastAsia"/>
          <w:szCs w:val="21"/>
        </w:rPr>
        <w:t>第一章  招标公告</w:t>
      </w:r>
    </w:p>
    <w:p>
      <w:pPr>
        <w:ind w:left="630" w:firstLine="630" w:leftChars="300" w:firstLineChars="300"/>
        <w:rPr>
          <w:rFonts w:ascii="宋体" w:hAnsi="宋体"/>
          <w:szCs w:val="21"/>
        </w:rPr>
      </w:pPr>
      <w:r>
        <w:rPr>
          <w:rFonts w:ascii="宋体" w:hAnsi="宋体" w:hint="eastAsia"/>
          <w:szCs w:val="21"/>
        </w:rPr>
        <w:t xml:space="preserve">第二章  </w:t>
      </w:r>
      <w:bookmarkStart w:id="2" w:name="_Hlk71994379"/>
      <w:r>
        <w:rPr>
          <w:rFonts w:ascii="宋体" w:hAnsi="宋体" w:hint="eastAsia"/>
          <w:szCs w:val="21"/>
        </w:rPr>
        <w:t>对通用条款的补充内容及其他关键信息</w:t>
      </w:r>
      <w:bookmarkEnd w:id="2"/>
    </w:p>
    <w:p>
      <w:pPr>
        <w:ind w:left="630" w:firstLine="630" w:leftChars="300" w:firstLineChars="300"/>
        <w:rPr>
          <w:rFonts w:ascii="宋体" w:hAnsi="宋体"/>
          <w:szCs w:val="21"/>
        </w:rPr>
      </w:pPr>
      <w:r>
        <w:rPr>
          <w:rFonts w:ascii="宋体" w:hAnsi="宋体" w:hint="eastAsia"/>
          <w:szCs w:val="21"/>
        </w:rPr>
        <w:t xml:space="preserve">第三章 </w:t>
      </w:r>
      <w:r>
        <w:rPr>
          <w:rFonts w:ascii="宋体" w:hAnsi="宋体"/>
          <w:szCs w:val="21"/>
        </w:rPr>
        <w:t xml:space="preserve"> </w:t>
      </w:r>
      <w:r>
        <w:rPr>
          <w:rFonts w:ascii="宋体" w:hAnsi="宋体" w:hint="eastAsia"/>
          <w:szCs w:val="21"/>
        </w:rPr>
        <w:t>用户需求书</w:t>
      </w:r>
    </w:p>
    <w:p>
      <w:pPr>
        <w:ind w:left="630" w:firstLine="630" w:leftChars="300" w:firstLineChars="300"/>
        <w:rPr>
          <w:rFonts w:ascii="宋体" w:hAnsi="宋体"/>
          <w:szCs w:val="21"/>
        </w:rPr>
      </w:pPr>
      <w:r>
        <w:rPr>
          <w:rFonts w:ascii="宋体" w:hAnsi="宋体" w:hint="eastAsia"/>
          <w:szCs w:val="21"/>
        </w:rPr>
        <w:t xml:space="preserve">第四章 </w:t>
      </w:r>
      <w:r>
        <w:rPr>
          <w:rFonts w:ascii="宋体" w:hAnsi="宋体"/>
          <w:szCs w:val="21"/>
        </w:rPr>
        <w:t xml:space="preserve"> </w:t>
      </w:r>
      <w:r>
        <w:rPr>
          <w:rFonts w:ascii="宋体" w:hAnsi="宋体" w:hint="eastAsia"/>
          <w:szCs w:val="21"/>
        </w:rPr>
        <w:t>投标文件组成要求及格式</w:t>
      </w:r>
    </w:p>
    <w:p>
      <w:pPr>
        <w:ind w:left="630" w:firstLine="630" w:leftChars="300" w:firstLineChars="300"/>
        <w:rPr>
          <w:rFonts w:ascii="宋体" w:hAnsi="宋体"/>
          <w:szCs w:val="21"/>
        </w:rPr>
      </w:pPr>
      <w:r>
        <w:rPr>
          <w:rFonts w:ascii="宋体" w:hAnsi="宋体" w:hint="eastAsia"/>
          <w:szCs w:val="21"/>
        </w:rPr>
        <w:t>第五章  合同条款及格式</w:t>
      </w:r>
    </w:p>
    <w:p>
      <w:pPr>
        <w:rPr>
          <w:b/>
          <w:sz w:val="24"/>
        </w:rPr>
      </w:pPr>
    </w:p>
    <w:p>
      <w:pPr>
        <w:outlineLvl w:val="0"/>
        <w:rPr>
          <w:b/>
          <w:sz w:val="24"/>
        </w:rPr>
      </w:pPr>
      <w:r>
        <w:rPr>
          <w:rFonts w:hint="eastAsia"/>
          <w:b/>
          <w:sz w:val="24"/>
        </w:rPr>
        <w:t>第二册  通用条款</w:t>
      </w:r>
    </w:p>
    <w:p>
      <w:pPr>
        <w:ind w:left="630" w:firstLine="412" w:leftChars="300" w:firstLineChars="196"/>
        <w:rPr>
          <w:rFonts w:ascii="宋体" w:hAnsi="宋体"/>
          <w:szCs w:val="21"/>
        </w:rPr>
      </w:pPr>
      <w:r>
        <w:rPr>
          <w:rFonts w:ascii="宋体" w:hAnsi="宋体" w:hint="eastAsia"/>
          <w:szCs w:val="21"/>
        </w:rPr>
        <w:t>第一章  总则</w:t>
      </w:r>
    </w:p>
    <w:p>
      <w:pPr>
        <w:ind w:left="630" w:firstLine="412" w:leftChars="300" w:firstLineChars="196"/>
        <w:rPr>
          <w:rFonts w:ascii="宋体" w:hAnsi="宋体"/>
          <w:szCs w:val="21"/>
        </w:rPr>
      </w:pPr>
      <w:r>
        <w:rPr>
          <w:rFonts w:ascii="宋体" w:hAnsi="宋体" w:hint="eastAsia"/>
          <w:szCs w:val="21"/>
        </w:rPr>
        <w:t>第二章  招标文件</w:t>
      </w:r>
    </w:p>
    <w:p>
      <w:pPr>
        <w:ind w:left="630" w:firstLine="412" w:leftChars="300" w:firstLineChars="196"/>
        <w:rPr>
          <w:rFonts w:ascii="宋体" w:hAnsi="宋体"/>
          <w:szCs w:val="21"/>
        </w:rPr>
      </w:pPr>
      <w:r>
        <w:rPr>
          <w:rFonts w:ascii="宋体" w:hAnsi="宋体" w:hint="eastAsia"/>
          <w:szCs w:val="21"/>
        </w:rPr>
        <w:t>第三章  投标文件的编制</w:t>
      </w:r>
    </w:p>
    <w:p>
      <w:pPr>
        <w:ind w:left="630" w:firstLine="412" w:leftChars="300" w:firstLineChars="196"/>
        <w:rPr>
          <w:rFonts w:ascii="宋体" w:hAnsi="宋体"/>
          <w:szCs w:val="21"/>
        </w:rPr>
      </w:pPr>
      <w:r>
        <w:rPr>
          <w:rFonts w:ascii="宋体" w:hAnsi="宋体" w:hint="eastAsia"/>
          <w:szCs w:val="21"/>
        </w:rPr>
        <w:t>第四章  投标文件的递交</w:t>
      </w:r>
    </w:p>
    <w:p>
      <w:pPr>
        <w:ind w:left="630" w:firstLine="412" w:leftChars="300" w:firstLineChars="196"/>
        <w:rPr>
          <w:rFonts w:ascii="宋体" w:hAnsi="宋体"/>
          <w:szCs w:val="21"/>
        </w:rPr>
      </w:pPr>
      <w:r>
        <w:rPr>
          <w:rFonts w:ascii="宋体" w:hAnsi="宋体" w:hint="eastAsia"/>
          <w:szCs w:val="21"/>
        </w:rPr>
        <w:t>第五章  开标</w:t>
      </w:r>
    </w:p>
    <w:p>
      <w:pPr>
        <w:ind w:left="630" w:firstLine="412" w:leftChars="300" w:firstLineChars="196"/>
        <w:rPr>
          <w:rFonts w:ascii="宋体" w:hAnsi="宋体"/>
          <w:szCs w:val="21"/>
        </w:rPr>
      </w:pPr>
      <w:r>
        <w:rPr>
          <w:rFonts w:ascii="宋体" w:hAnsi="宋体" w:hint="eastAsia"/>
          <w:szCs w:val="21"/>
        </w:rPr>
        <w:t>第六章  评审要求</w:t>
      </w:r>
    </w:p>
    <w:p>
      <w:pPr>
        <w:ind w:left="630" w:firstLine="412" w:leftChars="300" w:firstLineChars="196"/>
        <w:rPr>
          <w:rFonts w:ascii="宋体" w:hAnsi="宋体"/>
          <w:szCs w:val="21"/>
        </w:rPr>
      </w:pPr>
      <w:r>
        <w:rPr>
          <w:rFonts w:ascii="宋体" w:hAnsi="宋体" w:hint="eastAsia"/>
          <w:szCs w:val="21"/>
        </w:rPr>
        <w:t>第七章  评审程序及评审方法</w:t>
      </w:r>
    </w:p>
    <w:p>
      <w:pPr>
        <w:ind w:left="630" w:firstLine="412" w:leftChars="300" w:firstLineChars="196"/>
        <w:rPr>
          <w:rFonts w:ascii="宋体" w:hAnsi="宋体"/>
          <w:szCs w:val="21"/>
        </w:rPr>
      </w:pPr>
      <w:r>
        <w:rPr>
          <w:rFonts w:ascii="宋体" w:hAnsi="宋体" w:hint="eastAsia"/>
          <w:szCs w:val="21"/>
        </w:rPr>
        <w:t>第八章  定标及公示</w:t>
      </w:r>
    </w:p>
    <w:p>
      <w:pPr>
        <w:ind w:left="630" w:firstLine="412" w:leftChars="300" w:firstLineChars="196"/>
        <w:rPr>
          <w:rFonts w:ascii="宋体" w:hAnsi="宋体"/>
          <w:szCs w:val="21"/>
        </w:rPr>
      </w:pPr>
      <w:r>
        <w:rPr>
          <w:rFonts w:ascii="宋体" w:hAnsi="宋体" w:hint="eastAsia"/>
          <w:szCs w:val="21"/>
        </w:rPr>
        <w:t>第九章  公开招标失败的后续处理</w:t>
      </w:r>
    </w:p>
    <w:p>
      <w:pPr>
        <w:ind w:left="630" w:firstLine="412" w:leftChars="300" w:firstLineChars="196"/>
        <w:rPr>
          <w:rFonts w:ascii="宋体" w:hAnsi="宋体"/>
          <w:szCs w:val="21"/>
        </w:rPr>
      </w:pPr>
      <w:r>
        <w:rPr>
          <w:rFonts w:ascii="宋体" w:hAnsi="宋体" w:hint="eastAsia"/>
          <w:szCs w:val="21"/>
        </w:rPr>
        <w:t>第十章  合同的授予与备案</w:t>
      </w:r>
    </w:p>
    <w:p>
      <w:pPr>
        <w:ind w:firstLine="1050" w:firstLineChars="500"/>
        <w:outlineLvl w:val="0"/>
        <w:rPr>
          <w:b/>
          <w:sz w:val="24"/>
        </w:rPr>
      </w:pPr>
      <w:r>
        <w:rPr>
          <w:rFonts w:ascii="宋体" w:hAnsi="宋体" w:hint="eastAsia"/>
          <w:szCs w:val="21"/>
        </w:rPr>
        <w:t>第十一章  质疑处理</w:t>
      </w:r>
    </w:p>
    <w:p>
      <w:pPr>
        <w:spacing w:line="360" w:lineRule="auto"/>
        <w:ind w:firstLine="420" w:firstLineChars="200"/>
        <w:jc w:val="left"/>
        <w:rPr>
          <w:rFonts w:ascii="宋体" w:hAnsi="宋体"/>
          <w:szCs w:val="21"/>
        </w:rPr>
      </w:pPr>
    </w:p>
    <w:p>
      <w:pPr>
        <w:pStyle w:val="Heading1"/>
        <w:rPr>
          <w:sz w:val="24"/>
        </w:rPr>
      </w:pPr>
      <w:r>
        <w:br w:type="page"/>
      </w:r>
      <w:bookmarkStart w:id="3" w:name="bt合同格式"/>
      <w:bookmarkEnd w:id="3"/>
      <w:bookmarkStart w:id="4" w:name="bt其他资料2"/>
      <w:bookmarkEnd w:id="4"/>
      <w:bookmarkStart w:id="5" w:name="bt技术标投标文件格式"/>
      <w:bookmarkEnd w:id="5"/>
      <w:bookmarkStart w:id="6" w:name="bt合同条款"/>
      <w:bookmarkEnd w:id="6"/>
      <w:bookmarkStart w:id="7" w:name="合同格式"/>
      <w:bookmarkEnd w:id="7"/>
      <w:bookmarkStart w:id="8" w:name="bt投标报价汇总表"/>
      <w:bookmarkEnd w:id="8"/>
      <w:bookmarkStart w:id="9" w:name="bt其他资料由投标人自定"/>
      <w:bookmarkEnd w:id="9"/>
      <w:bookmarkStart w:id="10" w:name="bt投标函"/>
      <w:bookmarkEnd w:id="10"/>
      <w:bookmarkStart w:id="11" w:name="bt商务标投标文件格式"/>
      <w:bookmarkEnd w:id="11"/>
      <w:bookmarkStart w:id="12" w:name="bt投标人情况介绍"/>
      <w:bookmarkEnd w:id="12"/>
      <w:bookmarkStart w:id="13" w:name="bt合同条款及格式"/>
      <w:bookmarkEnd w:id="13"/>
      <w:bookmarkStart w:id="14" w:name="bt开标一览表"/>
      <w:bookmarkEnd w:id="14"/>
      <w:bookmarkStart w:id="15" w:name="bt本工程承诺书"/>
      <w:bookmarkEnd w:id="15"/>
      <w:bookmarkStart w:id="16" w:name="bt项目管理班子配备情况"/>
      <w:bookmarkEnd w:id="16"/>
      <w:bookmarkStart w:id="17" w:name="bt投标文件签署授权委托书"/>
      <w:bookmarkEnd w:id="17"/>
      <w:bookmarkStart w:id="18" w:name="bt投标人须知"/>
      <w:bookmarkEnd w:id="18"/>
      <w:bookmarkStart w:id="19" w:name="bt说明"/>
      <w:bookmarkEnd w:id="19"/>
      <w:r>
        <w:rPr>
          <w:rFonts w:hint="eastAsia"/>
        </w:rPr>
        <w:t>第一册专用条款</w:t>
      </w:r>
    </w:p>
    <w:p>
      <w:pPr>
        <w:pStyle w:val="Heading2"/>
      </w:pPr>
      <w:r>
        <w:rPr>
          <w:rFonts w:hint="eastAsia"/>
        </w:rPr>
        <w:t xml:space="preserve">第一章  招标公告  </w:t>
      </w:r>
    </w:p>
    <w:p/>
    <w:p>
      <w:pPr>
        <w:spacing w:line="360" w:lineRule="auto"/>
        <w:rPr>
          <w:rFonts w:ascii="宋体" w:hAnsi="宋体" w:cs="宋体"/>
          <w:b/>
          <w:bCs/>
          <w:kern w:val="0"/>
          <w:szCs w:val="21"/>
        </w:rPr>
      </w:pPr>
      <w:r>
        <w:rPr>
          <w:rFonts w:ascii="宋体" w:hAnsi="宋体" w:cs="宋体" w:hint="eastAsia"/>
          <w:b/>
          <w:bCs/>
          <w:kern w:val="0"/>
          <w:szCs w:val="21"/>
        </w:rPr>
        <w:t>申请人的资格要求：</w:t>
      </w:r>
    </w:p>
    <w:p>
      <w:pPr>
        <w:ind w:firstLine="630" w:firstLineChars="300"/>
        <w:rPr>
          <w:rFonts w:ascii="宋体" w:hAnsi="宋体" w:cs="宋体"/>
          <w:kern w:val="0"/>
          <w:szCs w:val="21"/>
        </w:rPr>
      </w:pPr>
      <w:r>
        <w:rPr>
          <w:rFonts w:ascii="宋体" w:hAnsi="宋体" w:cs="宋体" w:hint="eastAsia"/>
          <w:kern w:val="0"/>
          <w:szCs w:val="21"/>
        </w:rPr>
        <w:t>1</w:t>
      </w:r>
      <w:r>
        <w:rPr>
          <w:rFonts w:ascii="宋体" w:hAnsi="宋体" w:cs="宋体"/>
          <w:kern w:val="0"/>
          <w:szCs w:val="21"/>
        </w:rPr>
        <w:t>.</w:t>
      </w:r>
      <w:r>
        <w:rPr>
          <w:rFonts w:ascii="宋体" w:hAnsi="宋体" w:cs="宋体" w:hint="eastAsia"/>
          <w:kern w:val="0"/>
          <w:szCs w:val="21"/>
        </w:rPr>
        <w:t>具有独立法人资格或是具有独立承担民事责任能力的其它组织（提供营业执照或事业单位法人证书等证明资料扫描件，原件备查）；</w:t>
      </w:r>
    </w:p>
    <w:p>
      <w:pPr>
        <w:ind w:firstLine="630" w:firstLineChars="300"/>
        <w:rPr>
          <w:rFonts w:ascii="宋体" w:hAnsi="宋体" w:cs="宋体"/>
          <w:kern w:val="0"/>
          <w:szCs w:val="21"/>
        </w:rPr>
      </w:pPr>
      <w:r>
        <w:rPr>
          <w:rFonts w:ascii="宋体" w:hAnsi="宋体" w:cs="宋体" w:hint="eastAsia"/>
          <w:kern w:val="0"/>
          <w:szCs w:val="21"/>
        </w:rPr>
        <w:t>2</w:t>
      </w:r>
      <w:r>
        <w:rPr>
          <w:rFonts w:ascii="宋体" w:hAnsi="宋体" w:cs="宋体"/>
          <w:kern w:val="0"/>
          <w:szCs w:val="21"/>
        </w:rPr>
        <w:t>.</w:t>
      </w:r>
      <w:r>
        <w:rPr>
          <w:rFonts w:ascii="宋体" w:hAnsi="宋体" w:cs="宋体" w:hint="eastAsia"/>
          <w:color w:val="FF0000"/>
          <w:kern w:val="0"/>
          <w:szCs w:val="21"/>
        </w:rPr>
        <w:t>本项目不接受联合体投标，不接受投标人选用进口产品参与投标（由供应商在《政府采购投标及履约承诺函》中作出声明）；</w:t>
      </w:r>
    </w:p>
    <w:p>
      <w:pPr>
        <w:ind w:firstLine="630" w:firstLineChars="300"/>
        <w:rPr>
          <w:rFonts w:ascii="宋体" w:hAnsi="宋体" w:cs="宋体"/>
          <w:kern w:val="0"/>
          <w:szCs w:val="21"/>
        </w:rPr>
      </w:pPr>
      <w:r>
        <w:rPr>
          <w:rFonts w:ascii="宋体" w:hAnsi="宋体" w:cs="宋体" w:hint="eastAsia"/>
          <w:kern w:val="0"/>
          <w:szCs w:val="21"/>
        </w:rPr>
        <w:t>3</w:t>
      </w:r>
      <w:r>
        <w:rPr>
          <w:rFonts w:ascii="宋体" w:hAnsi="宋体" w:cs="宋体"/>
          <w:kern w:val="0"/>
          <w:szCs w:val="21"/>
        </w:rPr>
        <w:t>.</w:t>
      </w:r>
      <w:r>
        <w:rPr>
          <w:rFonts w:ascii="宋体" w:hAnsi="宋体" w:cs="宋体" w:hint="eastAsia"/>
          <w:kern w:val="0"/>
          <w:szCs w:val="21"/>
        </w:rPr>
        <w:t>参与本项目政府采购活动时不存在被有关部门禁止参与政府采购活动且在有效期内的情况（由供应商在《政府采购投标及履约承诺函》中作出声明）；</w:t>
      </w:r>
    </w:p>
    <w:p>
      <w:pPr>
        <w:ind w:firstLine="630" w:firstLineChars="300"/>
        <w:rPr>
          <w:rFonts w:ascii="宋体" w:hAnsi="宋体" w:cs="宋体"/>
          <w:kern w:val="0"/>
          <w:szCs w:val="21"/>
        </w:rPr>
      </w:pPr>
      <w:r>
        <w:rPr>
          <w:rFonts w:ascii="宋体" w:hAnsi="宋体" w:cs="宋体" w:hint="eastAsia"/>
          <w:kern w:val="0"/>
          <w:szCs w:val="21"/>
        </w:rPr>
        <w:t>4</w:t>
      </w:r>
      <w:r>
        <w:rPr>
          <w:rFonts w:ascii="宋体" w:hAnsi="宋体" w:cs="宋体"/>
          <w:kern w:val="0"/>
          <w:szCs w:val="21"/>
        </w:rPr>
        <w:t>.</w:t>
      </w:r>
      <w:r>
        <w:rPr>
          <w:rFonts w:ascii="宋体" w:hAnsi="宋体" w:cs="宋体" w:hint="eastAsia"/>
          <w:kern w:val="0"/>
          <w:szCs w:val="21"/>
        </w:rPr>
        <w:t>具备《中华人民共和国政府采购法》第二十二条的条件（由供应商在《政府采购投标及履约承诺函》中作出声明）；</w:t>
      </w:r>
    </w:p>
    <w:p>
      <w:pPr>
        <w:ind w:firstLine="630" w:firstLineChars="300"/>
        <w:rPr>
          <w:rFonts w:ascii="宋体" w:hAnsi="宋体" w:cs="宋体"/>
          <w:kern w:val="0"/>
          <w:szCs w:val="21"/>
        </w:rPr>
      </w:pPr>
      <w:r>
        <w:rPr>
          <w:rFonts w:ascii="宋体" w:hAnsi="宋体" w:cs="宋体" w:hint="eastAsia"/>
          <w:kern w:val="0"/>
          <w:szCs w:val="21"/>
        </w:rPr>
        <w:t>5</w:t>
      </w:r>
      <w:r>
        <w:rPr>
          <w:rFonts w:ascii="宋体" w:hAnsi="宋体" w:cs="宋体"/>
          <w:kern w:val="0"/>
          <w:szCs w:val="21"/>
        </w:rPr>
        <w:t>.</w:t>
      </w:r>
      <w:r>
        <w:rPr>
          <w:rFonts w:ascii="宋体" w:hAnsi="宋体" w:cs="宋体" w:hint="eastAsia"/>
          <w:kern w:val="0"/>
          <w:szCs w:val="21"/>
        </w:rPr>
        <w:t>未被列入失信被执行人、重大税收违法案件当事人名单（重大税收违法失信主体）、政府采购严重违法失信行为记录名单（由供应商在《政府采购投标及履约承诺函》中作出声明）；</w:t>
      </w:r>
    </w:p>
    <w:p>
      <w:pPr>
        <w:ind w:firstLine="630" w:firstLineChars="300"/>
        <w:rPr>
          <w:rFonts w:ascii="宋体" w:hAnsi="宋体" w:cs="宋体"/>
          <w:kern w:val="0"/>
          <w:szCs w:val="21"/>
        </w:rPr>
      </w:pPr>
      <w:r>
        <w:rPr>
          <w:rFonts w:ascii="宋体" w:hAnsi="宋体" w:cs="宋体" w:hint="eastAsia"/>
          <w:kern w:val="0"/>
          <w:szCs w:val="21"/>
        </w:rPr>
        <w:t>6</w:t>
      </w:r>
      <w:r>
        <w:rPr>
          <w:rFonts w:ascii="宋体" w:hAnsi="宋体" w:cs="宋体"/>
          <w:kern w:val="0"/>
          <w:szCs w:val="21"/>
        </w:rPr>
        <w:t>.</w:t>
      </w:r>
      <w:r>
        <w:rPr>
          <w:rFonts w:ascii="宋体" w:hAnsi="宋体" w:cs="宋体" w:hint="eastAsia"/>
          <w:kern w:val="0"/>
          <w:szCs w:val="21"/>
        </w:rPr>
        <w:t>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由供应商在《政府采购投标及履约承诺函》中作出声明）。</w:t>
      </w:r>
    </w:p>
    <w:p>
      <w:pPr>
        <w:ind w:firstLine="420" w:firstLineChars="200"/>
        <w:rPr>
          <w:rFonts w:ascii="宋体" w:hAnsi="宋体" w:cs="宋体"/>
          <w:kern w:val="0"/>
          <w:szCs w:val="21"/>
        </w:rPr>
      </w:pPr>
      <w:r>
        <w:rPr>
          <w:rFonts w:hint="eastAsia"/>
        </w:rPr>
        <w:t>7.本项目属于专门面向中小微企业采购：根据《财政部 工业和信息化部关于印发&lt;政府采购促进中小企业发展管理办法&gt;的通知》（财库〔2020〕46号）的规定在《中小企业声明函、残疾人福利性单位声明函及监狱企业声明函》中作出声明，未提供声明函或声明内容不满足要求的，做资格审查不通过处理）。</w:t>
      </w:r>
    </w:p>
    <w:p>
      <w:pPr>
        <w:ind w:firstLine="420" w:firstLineChars="200"/>
        <w:rPr>
          <w:rFonts w:ascii="宋体" w:hAnsi="宋体" w:cs="宋体"/>
          <w:kern w:val="0"/>
          <w:szCs w:val="21"/>
        </w:rPr>
      </w:pPr>
      <w:r>
        <w:rPr>
          <w:rFonts w:ascii="宋体" w:hAnsi="宋体" w:cs="宋体" w:hint="eastAsia"/>
          <w:kern w:val="0"/>
          <w:szCs w:val="21"/>
        </w:rPr>
        <w:t>注：（1）“信用中国”、“中国政府采购网”、“深圳信用网”以及“深圳市政府采购监管网”为供应商信用信息的查询渠道，相关信息以开标当日的查询结果为准；</w:t>
      </w:r>
    </w:p>
    <w:p>
      <w:pPr>
        <w:ind w:firstLine="420" w:firstLineChars="200"/>
        <w:rPr>
          <w:rFonts w:ascii="宋体" w:hAnsi="宋体" w:cs="宋体"/>
          <w:kern w:val="0"/>
          <w:szCs w:val="21"/>
        </w:rPr>
      </w:pPr>
      <w:r>
        <w:rPr>
          <w:rFonts w:ascii="宋体" w:hAnsi="宋体" w:hint="eastAsia"/>
        </w:rPr>
        <w:t>（2）供应商投标（上传投标文件）必须先行办理注册手续，具体请按照本公告“六、其他补充事宜</w:t>
      </w:r>
      <w:r>
        <w:rPr>
          <w:rFonts w:ascii="宋体" w:hAnsi="宋体"/>
        </w:rPr>
        <w:t>”</w:t>
      </w:r>
      <w:r>
        <w:rPr>
          <w:rFonts w:ascii="宋体" w:hAnsi="宋体" w:hint="eastAsia"/>
        </w:rPr>
        <w:t>相关内容指引办理。</w:t>
      </w:r>
    </w:p>
    <w:p>
      <w:pPr>
        <w:ind w:firstLine="420" w:firstLineChars="200"/>
        <w:rPr>
          <w:rFonts w:ascii="宋体" w:hAnsi="宋体" w:cs="宋体"/>
          <w:color w:val="FF0000"/>
          <w:kern w:val="0"/>
          <w:szCs w:val="21"/>
        </w:rPr>
      </w:pPr>
    </w:p>
    <w:p>
      <w:pPr>
        <w:pStyle w:val="Heading2"/>
        <w:jc w:val="left"/>
        <w:rPr>
          <w:sz w:val="22"/>
          <w:szCs w:val="18"/>
        </w:rPr>
      </w:pPr>
      <w:r>
        <w:rPr>
          <w:rFonts w:hint="eastAsia"/>
          <w:sz w:val="22"/>
          <w:szCs w:val="18"/>
        </w:rPr>
        <w:t>完整公告内容详见：深圳市政府采购监管网（中国政府采购网深圳分网）（http://zfcg.sz.gov.cn/）、</w:t>
      </w:r>
      <w:r>
        <w:rPr>
          <w:rFonts w:hint="eastAsia"/>
          <w:szCs w:val="24"/>
        </w:rPr>
        <w:t>深圳政府采购智慧平台（http://zfcg.szggzy.com:8081）</w:t>
      </w:r>
    </w:p>
    <w:p>
      <w:r>
        <w:rPr>
          <w:rFonts w:hint="eastAsia"/>
        </w:rPr>
        <w:br w:type="page"/>
      </w:r>
    </w:p>
    <w:p>
      <w:pPr>
        <w:pStyle w:val="Heading2"/>
        <w:rPr>
          <w:sz w:val="28"/>
          <w:szCs w:val="28"/>
        </w:rPr>
      </w:pPr>
      <w:r>
        <w:rPr>
          <w:rFonts w:hint="eastAsia"/>
          <w:sz w:val="28"/>
          <w:szCs w:val="28"/>
        </w:rPr>
        <w:t>第二章 对通用条款的补充内容及其他关键信息</w:t>
      </w:r>
    </w:p>
    <w:p>
      <w:pPr>
        <w:pStyle w:val="Heading2"/>
        <w:spacing w:before="120" w:beforeLines="50" w:after="120" w:afterLines="50"/>
        <w:rPr>
          <w:sz w:val="28"/>
          <w:szCs w:val="28"/>
        </w:rPr>
      </w:pPr>
      <w:bookmarkStart w:id="20" w:name="_Toc60631620"/>
      <w:bookmarkStart w:id="21" w:name="_Toc100052364"/>
      <w:bookmarkStart w:id="22" w:name="_Toc60560625"/>
      <w:bookmarkStart w:id="23" w:name="_Toc73517639"/>
      <w:bookmarkStart w:id="24" w:name="_Toc101074876"/>
      <w:bookmarkStart w:id="25" w:name="_Toc73521547"/>
      <w:bookmarkStart w:id="26" w:name="_Toc73518117"/>
      <w:bookmarkStart w:id="27" w:name="_Toc73521635"/>
      <w:r>
        <w:rPr>
          <w:rFonts w:hint="eastAsia"/>
          <w:szCs w:val="24"/>
        </w:rPr>
        <w:t>一、对通用条款的补充内容</w:t>
      </w:r>
    </w:p>
    <w:tbl>
      <w:tblPr>
        <w:tblStyle w:val="TableNormal"/>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
      <w:tblGrid>
        <w:gridCol w:w="978"/>
        <w:gridCol w:w="2409"/>
        <w:gridCol w:w="4980"/>
      </w:tblGrid>
      <w:tr>
        <w:tblPrEx>
          <w:tblW w:w="836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0" w:type="dxa"/>
            <w:left w:w="108" w:type="dxa"/>
            <w:bottom w:w="0" w:type="dxa"/>
            <w:right w:w="108" w:type="dxa"/>
          </w:tblCellMar>
        </w:tblPrEx>
        <w:trPr>
          <w:cantSplit/>
          <w:trHeight w:val="20"/>
          <w:jc w:val="center"/>
        </w:trPr>
        <w:tc>
          <w:tcPr>
            <w:tcW w:w="978" w:type="dxa"/>
            <w:vAlign w:val="center"/>
          </w:tcPr>
          <w:p>
            <w:pPr>
              <w:jc w:val="center"/>
              <w:rPr>
                <w:rFonts w:ascii="宋体" w:hAnsi="宋体"/>
                <w:b/>
                <w:bCs/>
              </w:rPr>
            </w:pPr>
            <w:bookmarkEnd w:id="20"/>
            <w:bookmarkEnd w:id="21"/>
            <w:bookmarkEnd w:id="22"/>
            <w:bookmarkEnd w:id="23"/>
            <w:bookmarkEnd w:id="24"/>
            <w:bookmarkEnd w:id="25"/>
            <w:bookmarkEnd w:id="26"/>
            <w:bookmarkEnd w:id="27"/>
            <w:r>
              <w:rPr>
                <w:rFonts w:ascii="宋体" w:hAnsi="宋体" w:hint="eastAsia"/>
                <w:b/>
                <w:bCs/>
              </w:rPr>
              <w:t>通用条款序号</w:t>
            </w:r>
          </w:p>
        </w:tc>
        <w:tc>
          <w:tcPr>
            <w:tcW w:w="2409" w:type="dxa"/>
            <w:vAlign w:val="center"/>
          </w:tcPr>
          <w:p>
            <w:pPr>
              <w:jc w:val="center"/>
              <w:rPr>
                <w:rFonts w:ascii="宋体" w:hAnsi="宋体"/>
                <w:b/>
                <w:bCs/>
              </w:rPr>
            </w:pPr>
            <w:r>
              <w:rPr>
                <w:rFonts w:ascii="宋体" w:hAnsi="宋体" w:hint="eastAsia"/>
                <w:b/>
                <w:bCs/>
              </w:rPr>
              <w:t>涉及事项</w:t>
            </w:r>
          </w:p>
        </w:tc>
        <w:tc>
          <w:tcPr>
            <w:tcW w:w="4980" w:type="dxa"/>
            <w:vAlign w:val="center"/>
          </w:tcPr>
          <w:p>
            <w:pPr>
              <w:jc w:val="center"/>
              <w:rPr>
                <w:rFonts w:ascii="宋体" w:hAnsi="宋体"/>
                <w:b/>
                <w:bCs/>
              </w:rPr>
            </w:pPr>
            <w:r>
              <w:rPr>
                <w:rFonts w:ascii="宋体" w:hAnsi="宋体" w:hint="eastAsia"/>
                <w:b/>
                <w:bCs/>
              </w:rPr>
              <w:t xml:space="preserve">具 </w:t>
            </w:r>
            <w:r>
              <w:rPr>
                <w:rFonts w:ascii="宋体" w:hAnsi="宋体"/>
                <w:b/>
                <w:bCs/>
              </w:rPr>
              <w:t xml:space="preserve"> </w:t>
            </w:r>
            <w:r>
              <w:rPr>
                <w:rFonts w:ascii="宋体" w:hAnsi="宋体" w:hint="eastAsia"/>
                <w:b/>
                <w:bCs/>
              </w:rPr>
              <w:t xml:space="preserve">体 </w:t>
            </w:r>
            <w:r>
              <w:rPr>
                <w:rFonts w:ascii="宋体" w:hAnsi="宋体"/>
                <w:b/>
                <w:bCs/>
              </w:rPr>
              <w:t xml:space="preserve"> </w:t>
            </w:r>
            <w:r>
              <w:rPr>
                <w:rFonts w:ascii="宋体" w:hAnsi="宋体" w:hint="eastAsia"/>
                <w:b/>
                <w:bCs/>
              </w:rPr>
              <w:t xml:space="preserve">补 </w:t>
            </w:r>
            <w:r>
              <w:rPr>
                <w:rFonts w:ascii="宋体" w:hAnsi="宋体"/>
                <w:b/>
                <w:bCs/>
              </w:rPr>
              <w:t xml:space="preserve"> </w:t>
            </w:r>
            <w:r>
              <w:rPr>
                <w:rFonts w:ascii="宋体" w:hAnsi="宋体" w:hint="eastAsia"/>
                <w:b/>
                <w:bCs/>
              </w:rPr>
              <w:t xml:space="preserve">充 </w:t>
            </w:r>
            <w:r>
              <w:rPr>
                <w:rFonts w:ascii="宋体" w:hAnsi="宋体"/>
                <w:b/>
                <w:bCs/>
              </w:rPr>
              <w:t xml:space="preserve"> </w:t>
            </w:r>
            <w:r>
              <w:rPr>
                <w:rFonts w:ascii="宋体" w:hAnsi="宋体" w:hint="eastAsia"/>
                <w:b/>
                <w:bCs/>
              </w:rPr>
              <w:t xml:space="preserve">内 </w:t>
            </w:r>
            <w:r>
              <w:rPr>
                <w:rFonts w:ascii="宋体" w:hAnsi="宋体"/>
                <w:b/>
                <w:bCs/>
              </w:rPr>
              <w:t xml:space="preserve"> </w:t>
            </w:r>
            <w:r>
              <w:rPr>
                <w:rFonts w:ascii="宋体" w:hAnsi="宋体" w:hint="eastAsia"/>
                <w:b/>
                <w:bCs/>
              </w:rPr>
              <w:t>容</w:t>
            </w:r>
          </w:p>
        </w:tc>
      </w:tr>
      <w:tr>
        <w:tblPrEx>
          <w:tblW w:w="8367" w:type="dxa"/>
          <w:jc w:val="center"/>
          <w:tblCellMar>
            <w:top w:w="0" w:type="dxa"/>
            <w:left w:w="108" w:type="dxa"/>
            <w:bottom w:w="0" w:type="dxa"/>
            <w:right w:w="108" w:type="dxa"/>
          </w:tblCellMar>
        </w:tblPrEx>
        <w:trPr>
          <w:cantSplit/>
          <w:trHeight w:val="20"/>
          <w:jc w:val="center"/>
        </w:trPr>
        <w:tc>
          <w:tcPr>
            <w:tcW w:w="978" w:type="dxa"/>
            <w:vAlign w:val="center"/>
          </w:tcPr>
          <w:p>
            <w:pPr>
              <w:jc w:val="center"/>
              <w:rPr>
                <w:rFonts w:ascii="宋体" w:hAnsi="宋体"/>
              </w:rPr>
            </w:pPr>
            <w:r>
              <w:rPr>
                <w:rFonts w:ascii="宋体" w:hAnsi="宋体" w:hint="eastAsia"/>
              </w:rPr>
              <w:t>3</w:t>
            </w:r>
            <w:r>
              <w:rPr>
                <w:rFonts w:ascii="宋体" w:hAnsi="宋体"/>
              </w:rPr>
              <w:t>.1</w:t>
            </w:r>
          </w:p>
        </w:tc>
        <w:tc>
          <w:tcPr>
            <w:tcW w:w="2409" w:type="dxa"/>
            <w:vAlign w:val="center"/>
          </w:tcPr>
          <w:p>
            <w:pPr>
              <w:jc w:val="center"/>
            </w:pPr>
            <w:r>
              <w:rPr>
                <w:rFonts w:hint="eastAsia"/>
              </w:rPr>
              <w:t>采购人</w:t>
            </w:r>
          </w:p>
        </w:tc>
        <w:tc>
          <w:tcPr>
            <w:tcW w:w="4980" w:type="dxa"/>
            <w:vAlign w:val="center"/>
          </w:tcPr>
          <w:p>
            <w:pPr>
              <w:jc w:val="center"/>
              <w:rPr>
                <w:rFonts w:ascii="宋体" w:hAnsi="宋体"/>
              </w:rPr>
            </w:pPr>
            <w:r>
              <w:rPr>
                <w:rFonts w:ascii="宋体" w:hAnsi="宋体" w:hint="eastAsia"/>
              </w:rPr>
              <w:t>深圳市残疾人联合会</w:t>
            </w:r>
          </w:p>
        </w:tc>
      </w:tr>
      <w:tr>
        <w:tblPrEx>
          <w:tblW w:w="8367" w:type="dxa"/>
          <w:jc w:val="center"/>
          <w:tblCellMar>
            <w:top w:w="0" w:type="dxa"/>
            <w:left w:w="108" w:type="dxa"/>
            <w:bottom w:w="0" w:type="dxa"/>
            <w:right w:w="108" w:type="dxa"/>
          </w:tblCellMar>
        </w:tblPrEx>
        <w:trPr>
          <w:cantSplit/>
          <w:trHeight w:val="20"/>
          <w:jc w:val="center"/>
        </w:trPr>
        <w:tc>
          <w:tcPr>
            <w:tcW w:w="978" w:type="dxa"/>
            <w:vAlign w:val="center"/>
          </w:tcPr>
          <w:p>
            <w:pPr>
              <w:jc w:val="center"/>
              <w:rPr>
                <w:rFonts w:ascii="宋体" w:hAnsi="宋体"/>
              </w:rPr>
            </w:pPr>
            <w:r>
              <w:rPr>
                <w:rFonts w:ascii="宋体" w:hAnsi="宋体" w:hint="eastAsia"/>
              </w:rPr>
              <w:t>3</w:t>
            </w:r>
            <w:r>
              <w:rPr>
                <w:rFonts w:ascii="宋体" w:hAnsi="宋体"/>
              </w:rPr>
              <w:t>.2</w:t>
            </w:r>
          </w:p>
        </w:tc>
        <w:tc>
          <w:tcPr>
            <w:tcW w:w="2409" w:type="dxa"/>
            <w:vAlign w:val="center"/>
          </w:tcPr>
          <w:p>
            <w:pPr>
              <w:jc w:val="center"/>
              <w:rPr>
                <w:rFonts w:ascii="宋体" w:hAnsi="宋体"/>
              </w:rPr>
            </w:pPr>
            <w:r>
              <w:rPr>
                <w:rFonts w:ascii="宋体" w:hAnsi="宋体" w:hint="eastAsia"/>
              </w:rPr>
              <w:t>政府集中采购机构</w:t>
            </w:r>
          </w:p>
        </w:tc>
        <w:tc>
          <w:tcPr>
            <w:tcW w:w="4980" w:type="dxa"/>
            <w:vAlign w:val="center"/>
          </w:tcPr>
          <w:p>
            <w:pPr>
              <w:jc w:val="center"/>
              <w:rPr>
                <w:rFonts w:ascii="宋体" w:hAnsi="宋体"/>
              </w:rPr>
            </w:pPr>
            <w:r>
              <w:rPr>
                <w:rFonts w:ascii="宋体" w:hAnsi="宋体" w:hint="eastAsia"/>
              </w:rPr>
              <w:t>深圳公共资源交易中心</w:t>
            </w:r>
          </w:p>
          <w:p>
            <w:pPr>
              <w:jc w:val="center"/>
              <w:rPr>
                <w:rFonts w:ascii="宋体" w:hAnsi="宋体"/>
              </w:rPr>
            </w:pPr>
            <w:r>
              <w:rPr>
                <w:rFonts w:ascii="宋体" w:hAnsi="宋体" w:hint="eastAsia"/>
              </w:rPr>
              <w:t>（深圳交易集团有限公司政府采购业务分公司）</w:t>
            </w:r>
          </w:p>
        </w:tc>
      </w:tr>
      <w:tr>
        <w:tblPrEx>
          <w:tblW w:w="8367" w:type="dxa"/>
          <w:jc w:val="center"/>
          <w:tblCellMar>
            <w:top w:w="0" w:type="dxa"/>
            <w:left w:w="108" w:type="dxa"/>
            <w:bottom w:w="0" w:type="dxa"/>
            <w:right w:w="108" w:type="dxa"/>
          </w:tblCellMar>
        </w:tblPrEx>
        <w:trPr>
          <w:cantSplit/>
          <w:trHeight w:val="20"/>
          <w:jc w:val="center"/>
        </w:trPr>
        <w:tc>
          <w:tcPr>
            <w:tcW w:w="978" w:type="dxa"/>
            <w:vAlign w:val="center"/>
          </w:tcPr>
          <w:p>
            <w:pPr>
              <w:jc w:val="center"/>
              <w:rPr>
                <w:rFonts w:ascii="宋体" w:hAnsi="宋体"/>
              </w:rPr>
            </w:pPr>
            <w:r>
              <w:rPr>
                <w:rFonts w:ascii="宋体" w:hAnsi="宋体" w:hint="eastAsia"/>
              </w:rPr>
              <w:t>9</w:t>
            </w:r>
          </w:p>
        </w:tc>
        <w:tc>
          <w:tcPr>
            <w:tcW w:w="2409" w:type="dxa"/>
            <w:vAlign w:val="center"/>
          </w:tcPr>
          <w:p>
            <w:pPr>
              <w:jc w:val="center"/>
              <w:rPr>
                <w:rFonts w:ascii="宋体" w:hAnsi="宋体"/>
              </w:rPr>
            </w:pPr>
            <w:r>
              <w:rPr>
                <w:rFonts w:ascii="宋体" w:hAnsi="宋体" w:hint="eastAsia"/>
              </w:rPr>
              <w:t>踏勘现场</w:t>
            </w:r>
          </w:p>
        </w:tc>
        <w:tc>
          <w:tcPr>
            <w:tcW w:w="4980" w:type="dxa"/>
            <w:vAlign w:val="center"/>
          </w:tcPr>
          <w:p>
            <w:pPr>
              <w:jc w:val="center"/>
              <w:rPr>
                <w:rFonts w:ascii="宋体" w:hAnsi="宋体"/>
              </w:rPr>
            </w:pPr>
            <w:r>
              <w:rPr>
                <w:rFonts w:ascii="宋体" w:hAnsi="宋体" w:hint="eastAsia"/>
              </w:rPr>
              <w:t>不组织</w:t>
            </w:r>
          </w:p>
        </w:tc>
      </w:tr>
      <w:tr>
        <w:tblPrEx>
          <w:tblW w:w="8367" w:type="dxa"/>
          <w:jc w:val="center"/>
          <w:tblCellMar>
            <w:top w:w="0" w:type="dxa"/>
            <w:left w:w="108" w:type="dxa"/>
            <w:bottom w:w="0" w:type="dxa"/>
            <w:right w:w="108" w:type="dxa"/>
          </w:tblCellMar>
        </w:tblPrEx>
        <w:trPr>
          <w:cantSplit/>
          <w:trHeight w:val="20"/>
          <w:jc w:val="center"/>
        </w:trPr>
        <w:tc>
          <w:tcPr>
            <w:tcW w:w="978" w:type="dxa"/>
            <w:vAlign w:val="center"/>
          </w:tcPr>
          <w:p>
            <w:pPr>
              <w:jc w:val="center"/>
              <w:rPr>
                <w:rFonts w:ascii="宋体" w:hAnsi="宋体"/>
              </w:rPr>
            </w:pPr>
            <w:r>
              <w:rPr>
                <w:rFonts w:ascii="宋体" w:hAnsi="宋体" w:hint="eastAsia"/>
              </w:rPr>
              <w:t>1</w:t>
            </w:r>
            <w:r>
              <w:rPr>
                <w:rFonts w:ascii="宋体" w:hAnsi="宋体"/>
              </w:rPr>
              <w:t>0</w:t>
            </w:r>
          </w:p>
        </w:tc>
        <w:tc>
          <w:tcPr>
            <w:tcW w:w="2409" w:type="dxa"/>
            <w:vAlign w:val="center"/>
          </w:tcPr>
          <w:p>
            <w:pPr>
              <w:jc w:val="center"/>
              <w:rPr>
                <w:rFonts w:ascii="宋体" w:hAnsi="宋体"/>
              </w:rPr>
            </w:pPr>
            <w:r>
              <w:rPr>
                <w:rFonts w:ascii="宋体" w:hAnsi="宋体" w:hint="eastAsia"/>
              </w:rPr>
              <w:t>标前会议</w:t>
            </w:r>
          </w:p>
        </w:tc>
        <w:tc>
          <w:tcPr>
            <w:tcW w:w="4980" w:type="dxa"/>
            <w:vAlign w:val="center"/>
          </w:tcPr>
          <w:p>
            <w:pPr>
              <w:jc w:val="center"/>
              <w:rPr>
                <w:rFonts w:ascii="宋体" w:hAnsi="宋体"/>
              </w:rPr>
            </w:pPr>
            <w:r>
              <w:rPr>
                <w:rFonts w:ascii="宋体" w:hAnsi="宋体" w:hint="eastAsia"/>
              </w:rPr>
              <w:t>不组织</w:t>
            </w:r>
          </w:p>
        </w:tc>
      </w:tr>
      <w:tr>
        <w:tblPrEx>
          <w:tblW w:w="8367" w:type="dxa"/>
          <w:jc w:val="center"/>
          <w:tblCellMar>
            <w:top w:w="0" w:type="dxa"/>
            <w:left w:w="108" w:type="dxa"/>
            <w:bottom w:w="0" w:type="dxa"/>
            <w:right w:w="108" w:type="dxa"/>
          </w:tblCellMar>
        </w:tblPrEx>
        <w:trPr>
          <w:cantSplit/>
          <w:trHeight w:val="20"/>
          <w:jc w:val="center"/>
        </w:trPr>
        <w:tc>
          <w:tcPr>
            <w:tcW w:w="978" w:type="dxa"/>
            <w:vAlign w:val="center"/>
          </w:tcPr>
          <w:p>
            <w:pPr>
              <w:jc w:val="center"/>
              <w:rPr>
                <w:rFonts w:ascii="宋体" w:hAnsi="宋体"/>
              </w:rPr>
            </w:pPr>
            <w:r>
              <w:rPr>
                <w:rFonts w:ascii="宋体" w:hAnsi="宋体" w:hint="eastAsia"/>
              </w:rPr>
              <w:t>1</w:t>
            </w:r>
            <w:r>
              <w:rPr>
                <w:rFonts w:ascii="宋体" w:hAnsi="宋体"/>
              </w:rPr>
              <w:t>2</w:t>
            </w:r>
            <w:r>
              <w:rPr>
                <w:rFonts w:ascii="宋体" w:hAnsi="宋体" w:hint="eastAsia"/>
              </w:rPr>
              <w:t>/1</w:t>
            </w:r>
            <w:r>
              <w:rPr>
                <w:rFonts w:ascii="宋体" w:hAnsi="宋体"/>
              </w:rPr>
              <w:t>3</w:t>
            </w:r>
          </w:p>
        </w:tc>
        <w:tc>
          <w:tcPr>
            <w:tcW w:w="2409" w:type="dxa"/>
            <w:vAlign w:val="center"/>
          </w:tcPr>
          <w:p>
            <w:pPr>
              <w:jc w:val="center"/>
              <w:rPr>
                <w:rFonts w:ascii="宋体" w:hAnsi="宋体"/>
              </w:rPr>
            </w:pPr>
            <w:r>
              <w:rPr>
                <w:rFonts w:ascii="宋体" w:hAnsi="宋体" w:hint="eastAsia"/>
              </w:rPr>
              <w:t>招标文件的澄清和修改</w:t>
            </w:r>
          </w:p>
        </w:tc>
        <w:tc>
          <w:tcPr>
            <w:tcW w:w="4980" w:type="dxa"/>
            <w:vAlign w:val="center"/>
          </w:tcPr>
          <w:p>
            <w:pPr>
              <w:jc w:val="left"/>
              <w:rPr>
                <w:rFonts w:ascii="宋体" w:hAnsi="宋体"/>
              </w:rPr>
            </w:pPr>
            <w:r>
              <w:rPr>
                <w:rFonts w:ascii="宋体" w:hAnsi="宋体" w:hint="eastAsia"/>
              </w:rPr>
              <w:t>不晚于投标截止日三日前（详见招标公告），投标人有义务在招标期间在政府集中采购机构网站浏览与本项目有关的澄清和修改信息</w:t>
            </w:r>
          </w:p>
        </w:tc>
      </w:tr>
      <w:tr>
        <w:tblPrEx>
          <w:tblW w:w="8367" w:type="dxa"/>
          <w:jc w:val="center"/>
          <w:tblCellMar>
            <w:top w:w="0" w:type="dxa"/>
            <w:left w:w="108" w:type="dxa"/>
            <w:bottom w:w="0" w:type="dxa"/>
            <w:right w:w="108" w:type="dxa"/>
          </w:tblCellMar>
        </w:tblPrEx>
        <w:trPr>
          <w:cantSplit/>
          <w:trHeight w:val="20"/>
          <w:jc w:val="center"/>
        </w:trPr>
        <w:tc>
          <w:tcPr>
            <w:tcW w:w="978" w:type="dxa"/>
            <w:vAlign w:val="center"/>
          </w:tcPr>
          <w:p>
            <w:pPr>
              <w:jc w:val="center"/>
              <w:rPr>
                <w:rFonts w:ascii="宋体" w:hAnsi="宋体"/>
              </w:rPr>
            </w:pPr>
            <w:r>
              <w:rPr>
                <w:rFonts w:ascii="宋体" w:hAnsi="宋体" w:hint="eastAsia"/>
              </w:rPr>
              <w:t>2</w:t>
            </w:r>
            <w:r>
              <w:rPr>
                <w:rFonts w:ascii="宋体" w:hAnsi="宋体"/>
              </w:rPr>
              <w:t>0</w:t>
            </w:r>
          </w:p>
        </w:tc>
        <w:tc>
          <w:tcPr>
            <w:tcW w:w="2409" w:type="dxa"/>
            <w:vAlign w:val="center"/>
          </w:tcPr>
          <w:p>
            <w:pPr>
              <w:jc w:val="center"/>
              <w:rPr>
                <w:rFonts w:ascii="宋体" w:hAnsi="宋体"/>
              </w:rPr>
            </w:pPr>
            <w:r>
              <w:rPr>
                <w:rFonts w:ascii="宋体" w:hAnsi="宋体" w:hint="eastAsia"/>
              </w:rPr>
              <w:t>投标有效期</w:t>
            </w:r>
          </w:p>
        </w:tc>
        <w:tc>
          <w:tcPr>
            <w:tcW w:w="4980" w:type="dxa"/>
            <w:vAlign w:val="center"/>
          </w:tcPr>
          <w:p>
            <w:pPr>
              <w:jc w:val="center"/>
              <w:rPr>
                <w:rFonts w:ascii="宋体" w:hAnsi="宋体"/>
              </w:rPr>
            </w:pPr>
            <w:r>
              <w:rPr>
                <w:rFonts w:ascii="宋体" w:hAnsi="宋体" w:hint="eastAsia"/>
              </w:rPr>
              <w:t>120个日历日</w:t>
            </w:r>
          </w:p>
        </w:tc>
      </w:tr>
      <w:tr>
        <w:tblPrEx>
          <w:tblW w:w="8367" w:type="dxa"/>
          <w:jc w:val="center"/>
          <w:tblCellMar>
            <w:top w:w="0" w:type="dxa"/>
            <w:left w:w="108" w:type="dxa"/>
            <w:bottom w:w="0" w:type="dxa"/>
            <w:right w:w="108" w:type="dxa"/>
          </w:tblCellMar>
        </w:tblPrEx>
        <w:trPr>
          <w:cantSplit/>
          <w:trHeight w:val="20"/>
          <w:jc w:val="center"/>
        </w:trPr>
        <w:tc>
          <w:tcPr>
            <w:tcW w:w="978" w:type="dxa"/>
            <w:vAlign w:val="center"/>
          </w:tcPr>
          <w:p>
            <w:pPr>
              <w:jc w:val="center"/>
              <w:rPr>
                <w:rFonts w:ascii="宋体" w:hAnsi="宋体"/>
              </w:rPr>
            </w:pPr>
            <w:r>
              <w:rPr>
                <w:rFonts w:ascii="宋体" w:hAnsi="宋体" w:hint="eastAsia"/>
              </w:rPr>
              <w:t>2</w:t>
            </w:r>
            <w:r>
              <w:rPr>
                <w:rFonts w:ascii="宋体" w:hAnsi="宋体"/>
              </w:rPr>
              <w:t>2</w:t>
            </w:r>
          </w:p>
        </w:tc>
        <w:tc>
          <w:tcPr>
            <w:tcW w:w="2409" w:type="dxa"/>
            <w:vAlign w:val="center"/>
          </w:tcPr>
          <w:p>
            <w:pPr>
              <w:jc w:val="center"/>
              <w:rPr>
                <w:rFonts w:ascii="宋体" w:hAnsi="宋体"/>
              </w:rPr>
            </w:pPr>
            <w:r>
              <w:rPr>
                <w:rFonts w:ascii="宋体" w:hAnsi="宋体" w:hint="eastAsia"/>
              </w:rPr>
              <w:t>投标人的替代方案</w:t>
            </w:r>
          </w:p>
        </w:tc>
        <w:tc>
          <w:tcPr>
            <w:tcW w:w="4980" w:type="dxa"/>
            <w:vAlign w:val="center"/>
          </w:tcPr>
          <w:p>
            <w:pPr>
              <w:jc w:val="center"/>
              <w:rPr>
                <w:rFonts w:ascii="宋体" w:hAnsi="宋体"/>
              </w:rPr>
            </w:pPr>
            <w:r>
              <w:rPr>
                <w:rFonts w:ascii="宋体" w:hAnsi="宋体" w:hint="eastAsia"/>
              </w:rPr>
              <w:t>不接受</w:t>
            </w:r>
          </w:p>
        </w:tc>
      </w:tr>
      <w:tr>
        <w:tblPrEx>
          <w:tblW w:w="8367" w:type="dxa"/>
          <w:jc w:val="center"/>
          <w:tblCellMar>
            <w:top w:w="0" w:type="dxa"/>
            <w:left w:w="108" w:type="dxa"/>
            <w:bottom w:w="0" w:type="dxa"/>
            <w:right w:w="108" w:type="dxa"/>
          </w:tblCellMar>
        </w:tblPrEx>
        <w:trPr>
          <w:cantSplit/>
          <w:trHeight w:val="20"/>
          <w:jc w:val="center"/>
        </w:trPr>
        <w:tc>
          <w:tcPr>
            <w:tcW w:w="978" w:type="dxa"/>
            <w:vAlign w:val="center"/>
          </w:tcPr>
          <w:p>
            <w:pPr>
              <w:jc w:val="center"/>
              <w:rPr>
                <w:rFonts w:ascii="宋体" w:hAnsi="宋体"/>
              </w:rPr>
            </w:pPr>
            <w:r>
              <w:rPr>
                <w:rFonts w:ascii="宋体" w:hAnsi="宋体" w:hint="eastAsia"/>
              </w:rPr>
              <w:t>2</w:t>
            </w:r>
            <w:r>
              <w:rPr>
                <w:rFonts w:ascii="宋体" w:hAnsi="宋体"/>
              </w:rPr>
              <w:t>5</w:t>
            </w:r>
          </w:p>
        </w:tc>
        <w:tc>
          <w:tcPr>
            <w:tcW w:w="2409" w:type="dxa"/>
            <w:vAlign w:val="center"/>
          </w:tcPr>
          <w:p>
            <w:pPr>
              <w:jc w:val="center"/>
              <w:rPr>
                <w:rFonts w:ascii="宋体" w:hAnsi="宋体"/>
              </w:rPr>
            </w:pPr>
            <w:r>
              <w:rPr>
                <w:rFonts w:ascii="宋体" w:hAnsi="宋体" w:hint="eastAsia"/>
              </w:rPr>
              <w:t>投标文件的大小</w:t>
            </w:r>
          </w:p>
        </w:tc>
        <w:tc>
          <w:tcPr>
            <w:tcW w:w="4980" w:type="dxa"/>
            <w:vAlign w:val="center"/>
          </w:tcPr>
          <w:p>
            <w:pPr>
              <w:jc w:val="center"/>
              <w:rPr>
                <w:rFonts w:ascii="宋体" w:hAnsi="宋体"/>
              </w:rPr>
            </w:pPr>
            <w:r>
              <w:rPr>
                <w:rFonts w:ascii="宋体" w:hAnsi="宋体" w:hint="eastAsia"/>
              </w:rPr>
              <w:t>投标文件大小不得超过</w:t>
            </w:r>
            <w:r>
              <w:rPr>
                <w:rFonts w:ascii="宋体" w:hAnsi="宋体"/>
              </w:rPr>
              <w:t>1</w:t>
            </w:r>
            <w:r>
              <w:rPr>
                <w:rFonts w:ascii="宋体" w:hAnsi="宋体" w:hint="eastAsia"/>
              </w:rPr>
              <w:t>00MB</w:t>
            </w:r>
          </w:p>
        </w:tc>
      </w:tr>
      <w:tr>
        <w:tblPrEx>
          <w:tblW w:w="8367" w:type="dxa"/>
          <w:jc w:val="center"/>
          <w:tblCellMar>
            <w:top w:w="0" w:type="dxa"/>
            <w:left w:w="108" w:type="dxa"/>
            <w:bottom w:w="0" w:type="dxa"/>
            <w:right w:w="108" w:type="dxa"/>
          </w:tblCellMar>
        </w:tblPrEx>
        <w:trPr>
          <w:cantSplit/>
          <w:trHeight w:val="20"/>
          <w:jc w:val="center"/>
        </w:trPr>
        <w:tc>
          <w:tcPr>
            <w:tcW w:w="978" w:type="dxa"/>
            <w:vAlign w:val="center"/>
          </w:tcPr>
          <w:p>
            <w:pPr>
              <w:jc w:val="center"/>
              <w:rPr>
                <w:rFonts w:ascii="宋体" w:hAnsi="宋体"/>
              </w:rPr>
            </w:pPr>
            <w:r>
              <w:rPr>
                <w:rFonts w:ascii="宋体" w:hAnsi="宋体" w:hint="eastAsia"/>
              </w:rPr>
              <w:t>2</w:t>
            </w:r>
            <w:r>
              <w:rPr>
                <w:rFonts w:ascii="宋体" w:hAnsi="宋体"/>
              </w:rPr>
              <w:t>6</w:t>
            </w:r>
          </w:p>
        </w:tc>
        <w:tc>
          <w:tcPr>
            <w:tcW w:w="2409" w:type="dxa"/>
            <w:vAlign w:val="center"/>
          </w:tcPr>
          <w:p>
            <w:pPr>
              <w:jc w:val="center"/>
              <w:rPr>
                <w:rFonts w:ascii="宋体" w:hAnsi="宋体"/>
              </w:rPr>
            </w:pPr>
            <w:bookmarkStart w:id="28" w:name="_Hlk71664860"/>
            <w:r>
              <w:rPr>
                <w:rFonts w:ascii="宋体" w:hAnsi="宋体" w:hint="eastAsia"/>
              </w:rPr>
              <w:t>样品、演示、方案讲解</w:t>
            </w:r>
            <w:bookmarkEnd w:id="28"/>
          </w:p>
        </w:tc>
        <w:tc>
          <w:tcPr>
            <w:tcW w:w="4980" w:type="dxa"/>
            <w:vAlign w:val="center"/>
          </w:tcPr>
          <w:p>
            <w:pPr>
              <w:rPr>
                <w:rFonts w:ascii="宋体" w:eastAsia="宋体" w:hAnsi="宋体" w:hint="eastAsia"/>
                <w:lang w:eastAsia="zh-CN"/>
              </w:rPr>
            </w:pPr>
            <w:r>
              <w:rPr>
                <w:rFonts w:ascii="宋体" w:hAnsi="宋体" w:hint="eastAsia"/>
                <w:lang w:val="en-US" w:eastAsia="zh-CN"/>
              </w:rPr>
              <w:t>无</w:t>
            </w:r>
          </w:p>
        </w:tc>
      </w:tr>
      <w:tr>
        <w:tblPrEx>
          <w:tblW w:w="8367" w:type="dxa"/>
          <w:jc w:val="center"/>
          <w:tblCellMar>
            <w:top w:w="0" w:type="dxa"/>
            <w:left w:w="108" w:type="dxa"/>
            <w:bottom w:w="0" w:type="dxa"/>
            <w:right w:w="108" w:type="dxa"/>
          </w:tblCellMar>
        </w:tblPrEx>
        <w:trPr>
          <w:cantSplit/>
          <w:trHeight w:val="223"/>
          <w:jc w:val="center"/>
        </w:trPr>
        <w:tc>
          <w:tcPr>
            <w:tcW w:w="978" w:type="dxa"/>
            <w:vAlign w:val="center"/>
          </w:tcPr>
          <w:p>
            <w:pPr>
              <w:jc w:val="center"/>
              <w:rPr>
                <w:rFonts w:ascii="宋体" w:hAnsi="宋体"/>
              </w:rPr>
            </w:pPr>
            <w:r>
              <w:rPr>
                <w:rFonts w:ascii="宋体" w:hAnsi="宋体" w:hint="eastAsia"/>
              </w:rPr>
              <w:t>3</w:t>
            </w:r>
            <w:r>
              <w:rPr>
                <w:rFonts w:ascii="宋体" w:hAnsi="宋体"/>
              </w:rPr>
              <w:t>7</w:t>
            </w:r>
          </w:p>
        </w:tc>
        <w:tc>
          <w:tcPr>
            <w:tcW w:w="2409" w:type="dxa"/>
            <w:vAlign w:val="center"/>
          </w:tcPr>
          <w:p>
            <w:pPr>
              <w:jc w:val="center"/>
              <w:rPr>
                <w:rFonts w:ascii="宋体" w:hAnsi="宋体"/>
              </w:rPr>
            </w:pPr>
            <w:r>
              <w:rPr>
                <w:rFonts w:ascii="宋体" w:hAnsi="宋体" w:hint="eastAsia"/>
              </w:rPr>
              <w:t>评审方法</w:t>
            </w:r>
          </w:p>
        </w:tc>
        <w:tc>
          <w:tcPr>
            <w:tcW w:w="4980" w:type="dxa"/>
            <w:vAlign w:val="center"/>
          </w:tcPr>
          <w:p>
            <w:pPr>
              <w:jc w:val="left"/>
              <w:rPr>
                <w:rFonts w:ascii="宋体" w:hAnsi="宋体"/>
              </w:rPr>
            </w:pPr>
            <w:r>
              <w:rPr>
                <w:rFonts w:ascii="宋体" w:hAnsi="宋体" w:hint="eastAsia"/>
              </w:rPr>
              <w:t>综合评分法</w:t>
            </w:r>
          </w:p>
        </w:tc>
      </w:tr>
      <w:tr>
        <w:tblPrEx>
          <w:tblW w:w="8367" w:type="dxa"/>
          <w:jc w:val="center"/>
          <w:tblCellMar>
            <w:top w:w="0" w:type="dxa"/>
            <w:left w:w="108" w:type="dxa"/>
            <w:bottom w:w="0" w:type="dxa"/>
            <w:right w:w="108" w:type="dxa"/>
          </w:tblCellMar>
        </w:tblPrEx>
        <w:trPr>
          <w:cantSplit/>
          <w:trHeight w:val="483"/>
          <w:jc w:val="center"/>
        </w:trPr>
        <w:tc>
          <w:tcPr>
            <w:tcW w:w="978" w:type="dxa"/>
            <w:vAlign w:val="center"/>
          </w:tcPr>
          <w:p>
            <w:pPr>
              <w:jc w:val="center"/>
              <w:rPr>
                <w:rFonts w:ascii="宋体" w:hAnsi="宋体"/>
              </w:rPr>
            </w:pPr>
            <w:r>
              <w:rPr>
                <w:rFonts w:ascii="宋体" w:hAnsi="宋体" w:hint="eastAsia"/>
              </w:rPr>
              <w:t>3</w:t>
            </w:r>
            <w:r>
              <w:rPr>
                <w:rFonts w:ascii="宋体" w:hAnsi="宋体"/>
              </w:rPr>
              <w:t>8</w:t>
            </w:r>
          </w:p>
        </w:tc>
        <w:tc>
          <w:tcPr>
            <w:tcW w:w="2409" w:type="dxa"/>
            <w:vAlign w:val="center"/>
          </w:tcPr>
          <w:p>
            <w:pPr>
              <w:jc w:val="center"/>
              <w:rPr>
                <w:rFonts w:ascii="宋体" w:hAnsi="宋体"/>
              </w:rPr>
            </w:pPr>
            <w:r>
              <w:rPr>
                <w:rFonts w:ascii="宋体" w:hAnsi="宋体" w:hint="eastAsia"/>
              </w:rPr>
              <w:t>定标方法</w:t>
            </w:r>
          </w:p>
        </w:tc>
        <w:tc>
          <w:tcPr>
            <w:tcW w:w="4980" w:type="dxa"/>
            <w:vAlign w:val="center"/>
          </w:tcPr>
          <w:p>
            <w:pPr>
              <w:jc w:val="left"/>
              <w:rPr>
                <w:szCs w:val="20"/>
              </w:rPr>
            </w:pPr>
            <w:r>
              <w:rPr>
                <w:rFonts w:ascii="宋体" w:hAnsi="宋体" w:hint="eastAsia"/>
              </w:rPr>
              <w:t>非评定分离</w:t>
            </w:r>
          </w:p>
        </w:tc>
      </w:tr>
      <w:tr>
        <w:tblPrEx>
          <w:tblW w:w="8367" w:type="dxa"/>
          <w:jc w:val="center"/>
          <w:tblCellMar>
            <w:top w:w="0" w:type="dxa"/>
            <w:left w:w="108" w:type="dxa"/>
            <w:bottom w:w="0" w:type="dxa"/>
            <w:right w:w="108" w:type="dxa"/>
          </w:tblCellMar>
        </w:tblPrEx>
        <w:trPr>
          <w:cantSplit/>
          <w:trHeight w:val="20"/>
          <w:jc w:val="center"/>
        </w:trPr>
        <w:tc>
          <w:tcPr>
            <w:tcW w:w="978" w:type="dxa"/>
            <w:vAlign w:val="center"/>
          </w:tcPr>
          <w:p>
            <w:pPr>
              <w:jc w:val="center"/>
              <w:rPr>
                <w:rFonts w:ascii="宋体" w:hAnsi="宋体"/>
              </w:rPr>
            </w:pPr>
            <w:r>
              <w:rPr>
                <w:rFonts w:ascii="宋体" w:hAnsi="宋体" w:hint="eastAsia"/>
              </w:rPr>
              <w:t>4</w:t>
            </w:r>
            <w:r>
              <w:rPr>
                <w:rFonts w:ascii="宋体" w:hAnsi="宋体"/>
              </w:rPr>
              <w:t>6</w:t>
            </w:r>
          </w:p>
        </w:tc>
        <w:tc>
          <w:tcPr>
            <w:tcW w:w="2409" w:type="dxa"/>
            <w:vAlign w:val="center"/>
          </w:tcPr>
          <w:p>
            <w:pPr>
              <w:jc w:val="center"/>
              <w:rPr>
                <w:rFonts w:ascii="宋体" w:hAnsi="宋体"/>
              </w:rPr>
            </w:pPr>
            <w:r>
              <w:rPr>
                <w:rFonts w:ascii="宋体" w:hAnsi="宋体" w:hint="eastAsia"/>
              </w:rPr>
              <w:t>履约担保</w:t>
            </w:r>
          </w:p>
        </w:tc>
        <w:tc>
          <w:tcPr>
            <w:tcW w:w="4980" w:type="dxa"/>
            <w:vAlign w:val="center"/>
          </w:tcPr>
          <w:p>
            <w:pPr>
              <w:jc w:val="left"/>
              <w:rPr>
                <w:rFonts w:ascii="宋体" w:hAnsi="宋体"/>
              </w:rPr>
            </w:pPr>
            <w:r>
              <w:rPr>
                <w:rFonts w:ascii="宋体" w:hAnsi="宋体" w:hint="eastAsia"/>
              </w:rPr>
              <w:t>不需要</w:t>
            </w:r>
          </w:p>
        </w:tc>
      </w:tr>
    </w:tbl>
    <w:p>
      <w:pPr>
        <w:rPr>
          <w:b/>
        </w:rPr>
      </w:pPr>
      <w:r>
        <w:rPr>
          <w:rFonts w:hint="eastAsia"/>
          <w:szCs w:val="21"/>
        </w:rPr>
        <w:t>备注：本表是通用条款相关条款的补充和明确，如与通用条款内容相冲突的，以本表为准。</w:t>
      </w:r>
    </w:p>
    <w:p>
      <w:pPr>
        <w:rPr>
          <w:b/>
        </w:rPr>
      </w:pPr>
    </w:p>
    <w:p>
      <w:pPr>
        <w:pStyle w:val="Heading2"/>
        <w:spacing w:before="120" w:beforeLines="50" w:after="120" w:afterLines="50"/>
        <w:rPr>
          <w:szCs w:val="24"/>
        </w:rPr>
      </w:pPr>
      <w:r>
        <w:rPr>
          <w:rFonts w:hint="eastAsia"/>
          <w:szCs w:val="24"/>
        </w:rPr>
        <w:t>二、其他关键信息</w:t>
      </w:r>
    </w:p>
    <w:p>
      <w:pPr>
        <w:ind w:firstLine="420" w:firstLineChars="200"/>
        <w:rPr>
          <w:b/>
          <w:bCs/>
        </w:rPr>
      </w:pPr>
      <w:r>
        <w:rPr>
          <w:rFonts w:hint="eastAsia"/>
          <w:b/>
          <w:bCs/>
        </w:rPr>
        <w:t>（一）与“对通用条款的补充内容”章节相关的事项</w:t>
      </w:r>
    </w:p>
    <w:p>
      <w:pPr>
        <w:ind w:firstLine="420" w:firstLineChars="200"/>
      </w:pPr>
      <w:bookmarkStart w:id="29" w:name="_Hlk72579465"/>
    </w:p>
    <w:p>
      <w:pPr>
        <w:jc w:val="center"/>
      </w:pPr>
      <w:r>
        <w:rPr>
          <w:rFonts w:hint="eastAsia"/>
          <w:b/>
        </w:rPr>
        <w:t>非评定分离项目</w:t>
      </w:r>
    </w:p>
    <w:tbl>
      <w:tblPr>
        <w:tblStyle w:val="TableGrid"/>
        <w:tblW w:w="861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4211"/>
        <w:gridCol w:w="4402"/>
      </w:tblGrid>
      <w:tr>
        <w:tblPrEx>
          <w:tblW w:w="8613"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
        </w:trPr>
        <w:tc>
          <w:tcPr>
            <w:tcW w:w="4211" w:type="dxa"/>
            <w:vAlign w:val="center"/>
          </w:tcPr>
          <w:p>
            <w:pPr>
              <w:jc w:val="center"/>
            </w:pPr>
            <w:r>
              <w:rPr>
                <w:rFonts w:hint="eastAsia"/>
              </w:rPr>
              <w:t>评标方法</w:t>
            </w:r>
          </w:p>
        </w:tc>
        <w:tc>
          <w:tcPr>
            <w:tcW w:w="4402" w:type="dxa"/>
            <w:vAlign w:val="center"/>
          </w:tcPr>
          <w:p>
            <w:pPr>
              <w:jc w:val="center"/>
            </w:pPr>
            <w:r>
              <w:rPr>
                <w:rFonts w:hint="eastAsia"/>
              </w:rPr>
              <w:t>综合评分法</w:t>
            </w:r>
          </w:p>
        </w:tc>
      </w:tr>
      <w:tr>
        <w:tblPrEx>
          <w:tblW w:w="8613" w:type="dxa"/>
          <w:tblInd w:w="0" w:type="dxa"/>
          <w:tblCellMar>
            <w:top w:w="0" w:type="dxa"/>
            <w:left w:w="108" w:type="dxa"/>
            <w:bottom w:w="0" w:type="dxa"/>
            <w:right w:w="108" w:type="dxa"/>
          </w:tblCellMar>
        </w:tblPrEx>
        <w:trPr>
          <w:trHeight w:val="70"/>
        </w:trPr>
        <w:tc>
          <w:tcPr>
            <w:tcW w:w="4211" w:type="dxa"/>
            <w:vAlign w:val="center"/>
          </w:tcPr>
          <w:p>
            <w:pPr>
              <w:jc w:val="center"/>
            </w:pPr>
            <w:r>
              <w:rPr>
                <w:rFonts w:hint="eastAsia"/>
              </w:rPr>
              <w:t>候选中标供应商数量</w:t>
            </w:r>
          </w:p>
        </w:tc>
        <w:tc>
          <w:tcPr>
            <w:tcW w:w="4402" w:type="dxa"/>
            <w:vAlign w:val="center"/>
          </w:tcPr>
          <w:p>
            <w:pPr>
              <w:jc w:val="center"/>
            </w:pPr>
            <w:r>
              <w:rPr>
                <w:rFonts w:hint="eastAsia"/>
              </w:rPr>
              <w:t>3</w:t>
            </w:r>
          </w:p>
        </w:tc>
      </w:tr>
      <w:tr>
        <w:tblPrEx>
          <w:tblW w:w="8613" w:type="dxa"/>
          <w:tblInd w:w="0" w:type="dxa"/>
          <w:tblCellMar>
            <w:top w:w="0" w:type="dxa"/>
            <w:left w:w="108" w:type="dxa"/>
            <w:bottom w:w="0" w:type="dxa"/>
            <w:right w:w="108" w:type="dxa"/>
          </w:tblCellMar>
        </w:tblPrEx>
        <w:trPr>
          <w:trHeight w:val="70"/>
        </w:trPr>
        <w:tc>
          <w:tcPr>
            <w:tcW w:w="4211" w:type="dxa"/>
            <w:vAlign w:val="center"/>
          </w:tcPr>
          <w:p>
            <w:pPr>
              <w:jc w:val="center"/>
            </w:pPr>
            <w:r>
              <w:rPr>
                <w:rFonts w:hint="eastAsia"/>
              </w:rPr>
              <w:t>中标供应商数量</w:t>
            </w:r>
          </w:p>
        </w:tc>
        <w:tc>
          <w:tcPr>
            <w:tcW w:w="4402" w:type="dxa"/>
            <w:vAlign w:val="center"/>
          </w:tcPr>
          <w:p>
            <w:pPr>
              <w:jc w:val="center"/>
            </w:pPr>
            <w:r>
              <w:rPr>
                <w:rFonts w:hint="eastAsia"/>
              </w:rPr>
              <w:t>1</w:t>
            </w:r>
          </w:p>
        </w:tc>
      </w:tr>
    </w:tbl>
    <w:p>
      <w:pPr>
        <w:rPr>
          <w:rFonts w:ascii="宋体" w:hAnsi="宋体"/>
          <w:szCs w:val="21"/>
        </w:rPr>
      </w:pPr>
    </w:p>
    <w:p>
      <w:pPr>
        <w:rPr>
          <w:rFonts w:ascii="宋体" w:hAnsi="宋体"/>
          <w:b/>
        </w:rPr>
      </w:pPr>
    </w:p>
    <w:p>
      <w:pPr>
        <w:ind w:firstLine="420" w:firstLineChars="200"/>
        <w:rPr>
          <w:b/>
          <w:bCs/>
        </w:rPr>
      </w:pPr>
      <w:bookmarkEnd w:id="29"/>
      <w:r>
        <w:rPr>
          <w:rFonts w:hint="eastAsia"/>
          <w:b/>
        </w:rPr>
        <w:t>（二）其他事项</w:t>
      </w:r>
    </w:p>
    <w:p>
      <w:pPr>
        <w:rPr>
          <w:rFonts w:ascii="宋体" w:hAnsi="宋体"/>
          <w:szCs w:val="21"/>
        </w:rPr>
      </w:pPr>
      <w:r>
        <w:rPr>
          <w:rFonts w:ascii="宋体" w:hAnsi="宋体" w:hint="eastAsia"/>
          <w:szCs w:val="21"/>
        </w:rPr>
        <w:t>1、关于专门面向中小企业采购的说明</w:t>
      </w:r>
    </w:p>
    <w:p>
      <w:pPr>
        <w:rPr>
          <w:rFonts w:ascii="宋体" w:hAnsi="宋体"/>
          <w:szCs w:val="21"/>
        </w:rPr>
      </w:pPr>
      <w:r>
        <w:rPr>
          <w:rFonts w:ascii="宋体" w:hAnsi="宋体" w:hint="eastAsia"/>
          <w:szCs w:val="21"/>
        </w:rPr>
        <w:t>（1）本项目为专门面向中小企业采购的项目，不再执行价格评审优惠的扶持政策，小微企业不得将合同分包给大中型企业，中型企业不得将合同分包给大型企业。投标人提供服务全部均应由中小企业承接。</w:t>
      </w:r>
    </w:p>
    <w:p>
      <w:pPr>
        <w:rPr>
          <w:rFonts w:ascii="宋体" w:hAnsi="宋体"/>
          <w:szCs w:val="21"/>
        </w:rPr>
      </w:pPr>
      <w:r>
        <w:rPr>
          <w:rFonts w:ascii="宋体" w:hAnsi="宋体" w:hint="eastAsia"/>
          <w:szCs w:val="21"/>
        </w:rPr>
        <w:t>备注：（a）中小企业是指在中华人民共和国境内依法设立，依据国务院批准的中小企业划分标准确定的中型企业、小型企业、微型企业，但与大企业的负责人为同一人，或者与大企业存在直接控股、管理关系的除外；符合中小企业划分标准的个体工商户，在政府采购活动中视同中小企业；(b) 中小企业制造是指货物由中小企业生产且使用该中小企业商号或者注册商标；投标人提供的货物既有中小企业制造货物，又有非中小企业制造货物的，作无效投标处理。</w:t>
      </w:r>
    </w:p>
    <w:p>
      <w:pPr>
        <w:rPr>
          <w:rFonts w:ascii="宋体" w:hAnsi="宋体"/>
          <w:szCs w:val="21"/>
          <w:highlight w:val="none"/>
        </w:rPr>
      </w:pPr>
      <w:r>
        <w:rPr>
          <w:rFonts w:ascii="宋体" w:hAnsi="宋体" w:hint="eastAsia"/>
          <w:szCs w:val="21"/>
        </w:rPr>
        <w:t>（2）根据《工业和信息化部、国家统计局、国家发展和改革委员会、财政部关于印发中小企业划型标准规定的通知》（工信部联企业〔2011〕300 号），本项目采购标的（</w:t>
      </w:r>
      <w:r>
        <w:rPr>
          <w:rFonts w:ascii="宋体" w:hAnsi="宋体" w:hint="eastAsia"/>
          <w:color w:val="FF0000"/>
          <w:szCs w:val="21"/>
        </w:rPr>
        <w:t>服务需求</w:t>
      </w:r>
      <w:r>
        <w:rPr>
          <w:rFonts w:ascii="宋体" w:hAnsi="宋体" w:hint="eastAsia"/>
          <w:szCs w:val="21"/>
        </w:rPr>
        <w:t>）对应的中小企业划分标准所属行业为</w:t>
      </w:r>
      <w:r>
        <w:rPr>
          <w:b/>
          <w:bCs/>
          <w:color w:val="FF0000"/>
          <w:highlight w:val="none"/>
          <w:u w:val="single"/>
        </w:rPr>
        <w:t xml:space="preserve"> </w:t>
      </w:r>
      <w:r>
        <w:rPr>
          <w:rFonts w:hint="eastAsia"/>
          <w:b/>
          <w:bCs/>
          <w:color w:val="FF0000"/>
          <w:highlight w:val="none"/>
          <w:u w:val="single"/>
        </w:rPr>
        <w:t>物业管理</w:t>
      </w:r>
      <w:r>
        <w:rPr>
          <w:rFonts w:ascii="宋体" w:hAnsi="宋体" w:hint="eastAsia"/>
          <w:b/>
          <w:bCs/>
          <w:color w:val="FF0000"/>
          <w:szCs w:val="21"/>
          <w:highlight w:val="none"/>
          <w:u w:val="single"/>
        </w:rPr>
        <w:t>业</w:t>
      </w:r>
      <w:r>
        <w:rPr>
          <w:rFonts w:ascii="宋体" w:hAnsi="宋体" w:hint="eastAsia"/>
          <w:szCs w:val="21"/>
          <w:highlight w:val="none"/>
        </w:rPr>
        <w:t>。</w:t>
      </w:r>
    </w:p>
    <w:p>
      <w:pPr>
        <w:rPr>
          <w:rFonts w:ascii="宋体" w:hAnsi="宋体"/>
          <w:szCs w:val="21"/>
        </w:rPr>
      </w:pPr>
      <w:r>
        <w:rPr>
          <w:rFonts w:ascii="宋体" w:hAnsi="宋体" w:hint="eastAsia"/>
          <w:szCs w:val="21"/>
        </w:rPr>
        <w:t>（3）中型企业、小型企业、微型企业、残疾人福利性单位的认定资料为《中小企业声明函》、《残疾人福利性单位声明函》；监狱企业的认定资料为省级以上监狱管理局、戒毒管理局出具的监狱企业证明文件。声明函样式见本招标文件第一册专用条款第三章“投标文件格式、附件”中“四、投标人情况及资格证明文件”章节提供的格式）。</w:t>
      </w:r>
    </w:p>
    <w:p>
      <w:pPr>
        <w:ind w:firstLine="420" w:firstLineChars="200"/>
        <w:rPr>
          <w:rFonts w:ascii="仿宋" w:eastAsia="仿宋" w:hAnsi="仿宋"/>
          <w:sz w:val="28"/>
          <w:szCs w:val="28"/>
        </w:rPr>
      </w:pPr>
    </w:p>
    <w:p>
      <w:pPr>
        <w:rPr>
          <w:rFonts w:ascii="Calibri" w:hAnsi="Calibri"/>
        </w:rPr>
      </w:pPr>
    </w:p>
    <w:p>
      <w:pPr>
        <w:rPr>
          <w:bCs/>
        </w:rPr>
      </w:pPr>
      <w:r>
        <w:rPr>
          <w:rFonts w:hint="eastAsia"/>
          <w:bCs/>
        </w:rPr>
        <w:t>2.关于政府采购订单融资政策</w:t>
      </w:r>
    </w:p>
    <w:p>
      <w:pPr>
        <w:rPr>
          <w:bCs/>
        </w:rPr>
      </w:pPr>
      <w:r>
        <w:rPr>
          <w:rFonts w:hint="eastAsia"/>
          <w:bCs/>
        </w:rPr>
        <w:t>关于政府采购订单融资政策：为进一步拓宽企业融资渠道，降低企业融资成本，我市推出政府采购订单融资服务，中标（成交）供应商可以凭借中标（成交）通知书或政府采购合同向金融机构提出融资申请。订单融资具体流程可登录深圳交易集团融资服务平台（http://zfcg.szggzy.com:8081/financeplatform/），相关政策法规参阅深圳市政府采购监管网（http://zfcg.sz.gov.cn/）信息公开栏目。咨询电话：0755­88653386。</w:t>
      </w:r>
    </w:p>
    <w:p/>
    <w:p>
      <w:pPr>
        <w:jc w:val="left"/>
        <w:rPr>
          <w:rFonts w:ascii="宋体" w:hAnsi="宋体" w:cs="宋体"/>
          <w:b/>
          <w:color w:val="FF0000"/>
          <w:szCs w:val="21"/>
        </w:rPr>
      </w:pPr>
      <w:r>
        <w:rPr>
          <w:rFonts w:hint="eastAsia"/>
        </w:rPr>
        <w:t>3.</w:t>
      </w:r>
      <w:r>
        <w:rPr>
          <w:rFonts w:hint="eastAsia"/>
          <w:b/>
          <w:color w:val="FF0000"/>
        </w:rPr>
        <w:t>代理服务费</w:t>
      </w:r>
    </w:p>
    <w:p>
      <w:pPr>
        <w:spacing w:before="50" w:after="50"/>
        <w:ind w:firstLine="420" w:firstLineChars="200"/>
        <w:rPr>
          <w:rFonts w:ascii="宋体" w:hAnsi="宋体" w:cs="宋体"/>
          <w:color w:val="FF0000"/>
          <w:szCs w:val="21"/>
        </w:rPr>
      </w:pPr>
      <w:bookmarkStart w:id="30" w:name="_GoBack"/>
      <w:bookmarkEnd w:id="30"/>
      <w:r>
        <w:rPr>
          <w:rFonts w:ascii="宋体" w:hAnsi="宋体" w:cs="宋体" w:hint="eastAsia"/>
          <w:color w:val="FF0000"/>
          <w:szCs w:val="21"/>
        </w:rPr>
        <w:t>本项目不向中标供应商收取代理服务费</w:t>
      </w:r>
    </w:p>
    <w:p/>
    <w:p>
      <w:r>
        <w:rPr>
          <w:rFonts w:hint="eastAsia"/>
        </w:rPr>
        <w:t>4.长期服务采购项目</w:t>
      </w:r>
    </w:p>
    <w:p>
      <w:pPr>
        <w:ind w:firstLine="420" w:firstLineChars="200"/>
      </w:pPr>
      <w:r>
        <w:rPr>
          <w:rFonts w:hint="eastAsia"/>
          <w:color w:val="000000" w:themeColor="text1"/>
          <w14:textFill>
            <w14:solidFill>
              <w14:schemeClr w14:val="tx1"/>
            </w14:solidFill>
          </w14:textFill>
        </w:rPr>
        <w:t>本项目为长期服务项目，合同期满可以续签，但合同履行期限最长不得超过三十六个月。如甲方对履约情况不满意，甲方不再续约。</w:t>
      </w:r>
    </w:p>
    <w:p>
      <w:pPr>
        <w:ind w:firstLine="420" w:firstLineChars="200"/>
      </w:pPr>
    </w:p>
    <w:p>
      <w:pPr>
        <w:rPr>
          <w:rFonts w:ascii="宋体" w:hAnsi="宋体"/>
          <w:b/>
          <w:bCs/>
          <w:kern w:val="0"/>
          <w:sz w:val="28"/>
          <w:szCs w:val="28"/>
        </w:rPr>
      </w:pPr>
      <w:bookmarkStart w:id="31" w:name="_Toc128884461"/>
      <w:r>
        <w:rPr>
          <w:sz w:val="28"/>
          <w:szCs w:val="28"/>
        </w:rPr>
        <w:br w:type="page"/>
      </w:r>
    </w:p>
    <w:p>
      <w:pPr>
        <w:pStyle w:val="Heading2"/>
        <w:rPr>
          <w:sz w:val="28"/>
          <w:szCs w:val="28"/>
        </w:rPr>
      </w:pPr>
      <w:r>
        <w:rPr>
          <w:rFonts w:hint="eastAsia"/>
          <w:sz w:val="28"/>
          <w:szCs w:val="28"/>
        </w:rPr>
        <w:t>第三章 用户需求书</w:t>
      </w:r>
    </w:p>
    <w:p>
      <w:pPr>
        <w:pStyle w:val="Heading2"/>
        <w:spacing w:before="120" w:beforeLines="50" w:after="120" w:afterLines="50"/>
        <w:rPr>
          <w:szCs w:val="24"/>
        </w:rPr>
      </w:pPr>
      <w:r>
        <w:rPr>
          <w:rFonts w:hint="eastAsia"/>
          <w:szCs w:val="24"/>
        </w:rPr>
        <w:t>一、项目基本信息</w:t>
      </w:r>
    </w:p>
    <w:tbl>
      <w:tblPr>
        <w:tblStyle w:val="TableNormal"/>
        <w:tblW w:w="499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426"/>
        <w:gridCol w:w="3565"/>
        <w:gridCol w:w="2425"/>
        <w:gridCol w:w="2110"/>
      </w:tblGrid>
      <w:tr>
        <w:tblPrEx>
          <w:tblW w:w="4998" w:type="pc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554"/>
        </w:trPr>
        <w:tc>
          <w:tcPr>
            <w:tcW w:w="301" w:type="pct"/>
            <w:vAlign w:val="center"/>
          </w:tcPr>
          <w:p>
            <w:pPr>
              <w:jc w:val="center"/>
              <w:rPr>
                <w:bCs/>
                <w:szCs w:val="21"/>
              </w:rPr>
            </w:pPr>
            <w:r>
              <w:rPr>
                <w:rFonts w:hint="eastAsia"/>
                <w:bCs/>
                <w:szCs w:val="21"/>
              </w:rPr>
              <w:t>序号</w:t>
            </w:r>
          </w:p>
        </w:tc>
        <w:tc>
          <w:tcPr>
            <w:tcW w:w="1583" w:type="pct"/>
            <w:vAlign w:val="center"/>
          </w:tcPr>
          <w:p>
            <w:pPr>
              <w:jc w:val="center"/>
              <w:rPr>
                <w:bCs/>
                <w:szCs w:val="21"/>
              </w:rPr>
            </w:pPr>
            <w:r>
              <w:rPr>
                <w:rFonts w:hint="eastAsia"/>
                <w:szCs w:val="21"/>
              </w:rPr>
              <w:t>采购计划编号</w:t>
            </w:r>
          </w:p>
        </w:tc>
        <w:tc>
          <w:tcPr>
            <w:tcW w:w="1708" w:type="pct"/>
            <w:vAlign w:val="center"/>
          </w:tcPr>
          <w:p>
            <w:pPr>
              <w:jc w:val="center"/>
              <w:rPr>
                <w:bCs/>
                <w:szCs w:val="21"/>
              </w:rPr>
            </w:pPr>
            <w:r>
              <w:rPr>
                <w:rFonts w:hint="eastAsia"/>
                <w:bCs/>
                <w:szCs w:val="21"/>
              </w:rPr>
              <w:t>采购项目名称</w:t>
            </w:r>
          </w:p>
        </w:tc>
        <w:tc>
          <w:tcPr>
            <w:tcW w:w="1406" w:type="pct"/>
            <w:vAlign w:val="center"/>
          </w:tcPr>
          <w:p>
            <w:pPr>
              <w:jc w:val="center"/>
              <w:rPr>
                <w:b/>
                <w:bCs/>
                <w:color w:val="FF0000"/>
                <w:szCs w:val="21"/>
              </w:rPr>
            </w:pPr>
            <w:r>
              <w:rPr>
                <w:rFonts w:hint="eastAsia"/>
                <w:b/>
                <w:bCs/>
                <w:color w:val="FF0000"/>
                <w:szCs w:val="21"/>
              </w:rPr>
              <w:t>预算金额（元）</w:t>
            </w:r>
          </w:p>
        </w:tc>
      </w:tr>
      <w:tr>
        <w:tblPrEx>
          <w:tblW w:w="4998" w:type="pct"/>
          <w:tblInd w:w="0" w:type="dxa"/>
          <w:tblCellMar>
            <w:top w:w="0" w:type="dxa"/>
            <w:left w:w="108" w:type="dxa"/>
            <w:bottom w:w="0" w:type="dxa"/>
            <w:right w:w="108" w:type="dxa"/>
          </w:tblCellMar>
        </w:tblPrEx>
        <w:trPr>
          <w:trHeight w:val="290"/>
        </w:trPr>
        <w:tc>
          <w:tcPr>
            <w:tcW w:w="301" w:type="pct"/>
            <w:vAlign w:val="center"/>
          </w:tcPr>
          <w:p>
            <w:pPr>
              <w:jc w:val="center"/>
              <w:rPr>
                <w:bCs/>
                <w:color w:val="FF0000"/>
                <w:szCs w:val="21"/>
              </w:rPr>
            </w:pPr>
            <w:r>
              <w:rPr>
                <w:rFonts w:hint="eastAsia"/>
                <w:bCs/>
                <w:color w:val="FF0000"/>
                <w:szCs w:val="21"/>
              </w:rPr>
              <w:t>1</w:t>
            </w:r>
          </w:p>
        </w:tc>
        <w:tc>
          <w:tcPr>
            <w:tcW w:w="1583" w:type="pct"/>
            <w:vAlign w:val="center"/>
          </w:tcPr>
          <w:p>
            <w:pPr>
              <w:jc w:val="center"/>
              <w:rPr>
                <w:bCs/>
                <w:color w:val="FF0000"/>
                <w:szCs w:val="21"/>
              </w:rPr>
            </w:pPr>
            <w:r>
              <w:rPr>
                <w:rFonts w:hint="eastAsia"/>
                <w:bCs/>
                <w:color w:val="FF0000"/>
                <w:szCs w:val="21"/>
              </w:rPr>
              <w:t>PLAN-2023-440300000-609001-04374</w:t>
            </w:r>
          </w:p>
        </w:tc>
        <w:tc>
          <w:tcPr>
            <w:tcW w:w="1708" w:type="pct"/>
            <w:vMerge w:val="restart"/>
            <w:vAlign w:val="center"/>
          </w:tcPr>
          <w:p>
            <w:pPr>
              <w:jc w:val="center"/>
              <w:rPr>
                <w:b/>
                <w:bCs/>
                <w:color w:val="FF0000"/>
                <w:szCs w:val="21"/>
              </w:rPr>
            </w:pPr>
            <w:r>
              <w:rPr>
                <w:rFonts w:hint="eastAsia"/>
                <w:b/>
                <w:bCs/>
                <w:color w:val="FF0000"/>
                <w:szCs w:val="21"/>
              </w:rPr>
              <w:t>深圳市残疾人联合会深圳市残疾人综合服务大楼物业服务项目</w:t>
            </w:r>
          </w:p>
        </w:tc>
        <w:tc>
          <w:tcPr>
            <w:tcW w:w="1406" w:type="pct"/>
            <w:vAlign w:val="center"/>
          </w:tcPr>
          <w:p>
            <w:pPr>
              <w:jc w:val="center"/>
              <w:rPr>
                <w:bCs/>
                <w:color w:val="FF0000"/>
                <w:szCs w:val="21"/>
              </w:rPr>
            </w:pPr>
            <w:r>
              <w:rPr>
                <w:rFonts w:hint="eastAsia"/>
                <w:bCs/>
                <w:color w:val="FF0000"/>
                <w:szCs w:val="21"/>
              </w:rPr>
              <w:t>1805756.00</w:t>
            </w:r>
          </w:p>
        </w:tc>
      </w:tr>
      <w:tr>
        <w:tblPrEx>
          <w:tblW w:w="4998" w:type="pct"/>
          <w:tblInd w:w="0" w:type="dxa"/>
          <w:tblCellMar>
            <w:top w:w="0" w:type="dxa"/>
            <w:left w:w="108" w:type="dxa"/>
            <w:bottom w:w="0" w:type="dxa"/>
            <w:right w:w="108" w:type="dxa"/>
          </w:tblCellMar>
        </w:tblPrEx>
        <w:trPr>
          <w:trHeight w:val="290"/>
        </w:trPr>
        <w:tc>
          <w:tcPr>
            <w:tcW w:w="301" w:type="pct"/>
            <w:vAlign w:val="center"/>
          </w:tcPr>
          <w:p>
            <w:pPr>
              <w:jc w:val="center"/>
              <w:rPr>
                <w:bCs/>
                <w:color w:val="FF0000"/>
                <w:szCs w:val="21"/>
              </w:rPr>
            </w:pPr>
            <w:r>
              <w:rPr>
                <w:rFonts w:hint="eastAsia"/>
                <w:bCs/>
                <w:color w:val="FF0000"/>
                <w:szCs w:val="21"/>
              </w:rPr>
              <w:t>2</w:t>
            </w:r>
          </w:p>
        </w:tc>
        <w:tc>
          <w:tcPr>
            <w:tcW w:w="1583" w:type="pct"/>
            <w:vAlign w:val="center"/>
          </w:tcPr>
          <w:p>
            <w:pPr>
              <w:jc w:val="center"/>
              <w:rPr>
                <w:bCs/>
                <w:color w:val="FF0000"/>
                <w:szCs w:val="21"/>
              </w:rPr>
            </w:pPr>
            <w:r>
              <w:rPr>
                <w:rFonts w:hint="eastAsia"/>
                <w:bCs/>
                <w:color w:val="FF0000"/>
                <w:szCs w:val="21"/>
              </w:rPr>
              <w:t>PLAN-2023-440300000-609001-03625</w:t>
            </w:r>
          </w:p>
        </w:tc>
        <w:tc>
          <w:tcPr>
            <w:tcW w:w="1708" w:type="pct"/>
            <w:vMerge/>
            <w:vAlign w:val="center"/>
          </w:tcPr>
          <w:p>
            <w:pPr>
              <w:jc w:val="center"/>
              <w:rPr>
                <w:b/>
                <w:bCs/>
                <w:color w:val="FF0000"/>
                <w:szCs w:val="21"/>
              </w:rPr>
            </w:pPr>
          </w:p>
        </w:tc>
        <w:tc>
          <w:tcPr>
            <w:tcW w:w="1406" w:type="pct"/>
            <w:vAlign w:val="center"/>
          </w:tcPr>
          <w:p>
            <w:pPr>
              <w:jc w:val="center"/>
              <w:rPr>
                <w:bCs/>
                <w:color w:val="FF0000"/>
                <w:szCs w:val="21"/>
              </w:rPr>
            </w:pPr>
            <w:r>
              <w:rPr>
                <w:rFonts w:hint="eastAsia"/>
                <w:bCs/>
                <w:color w:val="FF0000"/>
                <w:szCs w:val="21"/>
              </w:rPr>
              <w:t>902244.00</w:t>
            </w:r>
          </w:p>
        </w:tc>
      </w:tr>
      <w:tr>
        <w:tblPrEx>
          <w:tblW w:w="4998" w:type="pct"/>
          <w:tblInd w:w="0" w:type="dxa"/>
          <w:tblCellMar>
            <w:top w:w="0" w:type="dxa"/>
            <w:left w:w="108" w:type="dxa"/>
            <w:bottom w:w="0" w:type="dxa"/>
            <w:right w:w="108" w:type="dxa"/>
          </w:tblCellMar>
        </w:tblPrEx>
        <w:trPr>
          <w:trHeight w:val="290"/>
        </w:trPr>
        <w:tc>
          <w:tcPr>
            <w:tcW w:w="3593" w:type="pct"/>
            <w:gridSpan w:val="3"/>
            <w:vAlign w:val="center"/>
          </w:tcPr>
          <w:p>
            <w:pPr>
              <w:jc w:val="center"/>
              <w:rPr>
                <w:b/>
                <w:bCs/>
                <w:color w:val="FF0000"/>
                <w:szCs w:val="21"/>
              </w:rPr>
            </w:pPr>
            <w:r>
              <w:rPr>
                <w:rFonts w:hint="eastAsia"/>
                <w:b/>
                <w:bCs/>
                <w:color w:val="FF0000"/>
                <w:szCs w:val="21"/>
              </w:rPr>
              <w:t>合计</w:t>
            </w:r>
          </w:p>
        </w:tc>
        <w:tc>
          <w:tcPr>
            <w:tcW w:w="1406" w:type="pct"/>
            <w:vAlign w:val="center"/>
          </w:tcPr>
          <w:p>
            <w:pPr>
              <w:jc w:val="center"/>
              <w:rPr>
                <w:bCs/>
                <w:color w:val="FF0000"/>
                <w:szCs w:val="21"/>
              </w:rPr>
            </w:pPr>
            <w:r>
              <w:rPr>
                <w:rFonts w:hint="eastAsia"/>
                <w:bCs/>
                <w:color w:val="FF0000"/>
                <w:szCs w:val="21"/>
              </w:rPr>
              <w:fldChar w:fldCharType="begin"/>
            </w:r>
            <w:r>
              <w:rPr>
                <w:rFonts w:hint="eastAsia"/>
                <w:bCs/>
                <w:color w:val="FF0000"/>
                <w:szCs w:val="21"/>
              </w:rPr>
              <w:instrText xml:space="preserve"> = sum(D2:D3) \* MERGEFORMAT </w:instrText>
            </w:r>
            <w:r>
              <w:rPr>
                <w:rFonts w:hint="eastAsia"/>
                <w:bCs/>
                <w:color w:val="FF0000"/>
                <w:szCs w:val="21"/>
              </w:rPr>
              <w:fldChar w:fldCharType="separate"/>
            </w:r>
            <w:r>
              <w:rPr>
                <w:rFonts w:hint="eastAsia"/>
                <w:bCs/>
                <w:color w:val="FF0000"/>
                <w:szCs w:val="21"/>
              </w:rPr>
              <w:t>2708000</w:t>
            </w:r>
            <w:r>
              <w:rPr>
                <w:rFonts w:hint="eastAsia"/>
                <w:bCs/>
                <w:color w:val="FF0000"/>
                <w:szCs w:val="21"/>
              </w:rPr>
              <w:fldChar w:fldCharType="end"/>
            </w:r>
          </w:p>
        </w:tc>
      </w:tr>
    </w:tbl>
    <w:p>
      <w:pPr>
        <w:pStyle w:val="Heading2"/>
        <w:spacing w:before="120" w:beforeLines="50" w:after="120" w:afterLines="50"/>
        <w:rPr>
          <w:szCs w:val="24"/>
        </w:rPr>
      </w:pPr>
      <w:r>
        <w:rPr>
          <w:rFonts w:hint="eastAsia"/>
          <w:szCs w:val="24"/>
        </w:rPr>
        <w:t>二、项目概况</w:t>
      </w:r>
    </w:p>
    <w:p>
      <w:pPr>
        <w:ind w:firstLine="420" w:firstLineChars="200"/>
        <w:rPr>
          <w:sz w:val="24"/>
        </w:rPr>
      </w:pPr>
    </w:p>
    <w:p>
      <w:pPr>
        <w:numPr>
          <w:ilvl w:val="0"/>
          <w:numId w:val="7"/>
        </w:numPr>
        <w:rPr>
          <w:b/>
          <w:sz w:val="24"/>
        </w:rPr>
      </w:pPr>
      <w:r>
        <w:rPr>
          <w:rFonts w:hint="eastAsia"/>
          <w:b/>
          <w:sz w:val="24"/>
        </w:rPr>
        <w:t>、大楼基本情况</w:t>
      </w:r>
    </w:p>
    <w:p>
      <w:pPr>
        <w:pStyle w:val="TOC2"/>
        <w:ind w:left="0"/>
      </w:pPr>
    </w:p>
    <w:p>
      <w:pPr>
        <w:spacing w:line="360" w:lineRule="auto"/>
        <w:ind w:firstLine="420" w:firstLineChars="200"/>
        <w:rPr>
          <w:szCs w:val="21"/>
        </w:rPr>
      </w:pPr>
      <w:r>
        <w:rPr>
          <w:rFonts w:hint="eastAsia"/>
          <w:szCs w:val="21"/>
        </w:rPr>
        <w:t>深圳市残疾人综合服务大楼是为全市残疾人提供综合服务的设施，项目总用地面积</w:t>
      </w:r>
      <w:r>
        <w:rPr>
          <w:szCs w:val="21"/>
        </w:rPr>
        <w:t>4954</w:t>
      </w:r>
      <w:r>
        <w:rPr>
          <w:rFonts w:hint="eastAsia"/>
          <w:szCs w:val="21"/>
        </w:rPr>
        <w:t>平方米，总建筑面积为</w:t>
      </w:r>
      <w:r>
        <w:rPr>
          <w:szCs w:val="21"/>
        </w:rPr>
        <w:t>1</w:t>
      </w:r>
      <w:r>
        <w:rPr>
          <w:rFonts w:hint="eastAsia"/>
          <w:szCs w:val="21"/>
        </w:rPr>
        <w:t>8586.94平米。大楼建筑设计</w:t>
      </w:r>
      <w:r>
        <w:rPr>
          <w:szCs w:val="21"/>
        </w:rPr>
        <w:t>14</w:t>
      </w:r>
      <w:r>
        <w:rPr>
          <w:rFonts w:hint="eastAsia"/>
          <w:szCs w:val="21"/>
        </w:rPr>
        <w:t>层，地上</w:t>
      </w:r>
      <w:r>
        <w:rPr>
          <w:szCs w:val="21"/>
        </w:rPr>
        <w:t>13</w:t>
      </w:r>
      <w:r>
        <w:rPr>
          <w:rFonts w:hint="eastAsia"/>
          <w:szCs w:val="21"/>
        </w:rPr>
        <w:t>层地下一层。</w:t>
      </w:r>
    </w:p>
    <w:p>
      <w:pPr>
        <w:spacing w:line="360" w:lineRule="auto"/>
        <w:ind w:firstLine="420" w:firstLineChars="200"/>
        <w:rPr>
          <w:szCs w:val="21"/>
        </w:rPr>
      </w:pPr>
      <w:r>
        <w:rPr>
          <w:rFonts w:hint="eastAsia"/>
          <w:szCs w:val="21"/>
        </w:rPr>
        <w:t>为了规范深圳市残疾人综合服务大楼的物业管理服务</w:t>
      </w:r>
      <w:r>
        <w:rPr>
          <w:szCs w:val="21"/>
        </w:rPr>
        <w:t>,</w:t>
      </w:r>
      <w:r>
        <w:rPr>
          <w:rFonts w:hint="eastAsia"/>
          <w:szCs w:val="21"/>
        </w:rPr>
        <w:t>拟将大楼的附属设施、机电设备、公用设施的维修、保养和管理及安全保卫、绿化保洁、等物业服务打包选择一家有资质、有管理经验、有业绩、有实力的物业管理公司实行一体化管理。</w:t>
      </w:r>
    </w:p>
    <w:p>
      <w:pPr>
        <w:spacing w:line="360" w:lineRule="auto"/>
        <w:ind w:firstLine="420" w:firstLineChars="200"/>
        <w:rPr>
          <w:szCs w:val="21"/>
        </w:rPr>
      </w:pPr>
      <w:r>
        <w:rPr>
          <w:rFonts w:hint="eastAsia"/>
          <w:szCs w:val="21"/>
        </w:rPr>
        <w:t>主要设备设施介绍</w:t>
      </w:r>
    </w:p>
    <w:p>
      <w:pPr>
        <w:spacing w:line="360" w:lineRule="auto"/>
        <w:rPr>
          <w:rFonts w:ascii="宋体" w:hAnsi="宋体"/>
          <w:szCs w:val="21"/>
        </w:rPr>
      </w:pPr>
      <w:r>
        <w:rPr>
          <w:rFonts w:ascii="宋体" w:hAnsi="宋体" w:hint="eastAsia"/>
          <w:szCs w:val="21"/>
        </w:rPr>
        <w:t>1、空调：海尔KMR-450W/D532A 冷暖两用工程主机37台；</w:t>
      </w:r>
    </w:p>
    <w:p>
      <w:pPr>
        <w:numPr>
          <w:ilvl w:val="0"/>
          <w:numId w:val="8"/>
        </w:numPr>
        <w:spacing w:line="360" w:lineRule="auto"/>
        <w:ind w:left="420" w:hanging="420"/>
        <w:rPr>
          <w:rFonts w:ascii="宋体" w:hAnsi="宋体"/>
          <w:szCs w:val="21"/>
        </w:rPr>
      </w:pPr>
      <w:r>
        <w:rPr>
          <w:rFonts w:ascii="宋体" w:hAnsi="宋体" w:hint="eastAsia"/>
          <w:szCs w:val="21"/>
        </w:rPr>
        <w:t>电梯：天津奥的斯 OTIS SKY 小机房电梯3台；</w:t>
      </w:r>
    </w:p>
    <w:p>
      <w:pPr>
        <w:numPr>
          <w:ilvl w:val="0"/>
          <w:numId w:val="8"/>
        </w:numPr>
        <w:spacing w:line="360" w:lineRule="auto"/>
        <w:ind w:left="420" w:hanging="420"/>
        <w:rPr>
          <w:rFonts w:ascii="宋体" w:hAnsi="宋体"/>
          <w:szCs w:val="21"/>
        </w:rPr>
      </w:pPr>
      <w:r>
        <w:rPr>
          <w:rFonts w:ascii="宋体" w:hAnsi="宋体" w:hint="eastAsia"/>
          <w:szCs w:val="21"/>
        </w:rPr>
        <w:t>供配电</w:t>
      </w:r>
      <w:r>
        <w:rPr>
          <w:rFonts w:ascii="宋体" w:hAnsi="宋体" w:hint="eastAsia"/>
          <w:b/>
          <w:szCs w:val="21"/>
        </w:rPr>
        <w:t>：</w:t>
      </w:r>
    </w:p>
    <w:p>
      <w:pPr>
        <w:spacing w:line="360" w:lineRule="auto"/>
        <w:ind w:firstLine="210" w:firstLineChars="100"/>
        <w:rPr>
          <w:rFonts w:ascii="宋体" w:hAnsi="宋体"/>
          <w:szCs w:val="21"/>
        </w:rPr>
      </w:pPr>
      <w:r>
        <w:rPr>
          <w:rFonts w:ascii="宋体" w:hAnsi="宋体" w:hint="eastAsia"/>
          <w:szCs w:val="21"/>
        </w:rPr>
        <w:t>3.1 北京施耐德环网开关柜:7单元（其中高压配电3单元，综合配电4单元）</w:t>
      </w:r>
    </w:p>
    <w:p>
      <w:pPr>
        <w:spacing w:line="360" w:lineRule="auto"/>
        <w:ind w:firstLine="210" w:firstLineChars="100"/>
        <w:rPr>
          <w:rFonts w:ascii="宋体" w:hAnsi="宋体"/>
          <w:szCs w:val="21"/>
        </w:rPr>
      </w:pPr>
      <w:r>
        <w:rPr>
          <w:rFonts w:ascii="宋体" w:hAnsi="宋体" w:hint="eastAsia"/>
          <w:szCs w:val="21"/>
        </w:rPr>
        <w:t>3.2 江苏施耐德SCB10-630KVA树脂浇注干式变压器：2台</w:t>
      </w:r>
    </w:p>
    <w:p>
      <w:pPr>
        <w:spacing w:line="360" w:lineRule="auto"/>
        <w:ind w:firstLine="210" w:firstLineChars="100"/>
        <w:rPr>
          <w:rFonts w:ascii="宋体" w:hAnsi="宋体"/>
          <w:szCs w:val="21"/>
        </w:rPr>
      </w:pPr>
      <w:r>
        <w:rPr>
          <w:rFonts w:ascii="宋体" w:hAnsi="宋体" w:hint="eastAsia"/>
          <w:szCs w:val="21"/>
        </w:rPr>
        <w:t>3.3英国320KW康明斯发电机：1台</w:t>
      </w:r>
    </w:p>
    <w:p>
      <w:pPr>
        <w:spacing w:line="360" w:lineRule="auto"/>
        <w:ind w:firstLine="210" w:firstLineChars="100"/>
        <w:rPr>
          <w:rFonts w:ascii="宋体" w:hAnsi="宋体"/>
          <w:szCs w:val="21"/>
        </w:rPr>
      </w:pPr>
      <w:r>
        <w:rPr>
          <w:rFonts w:ascii="宋体" w:hAnsi="宋体" w:hint="eastAsia"/>
          <w:szCs w:val="21"/>
        </w:rPr>
        <w:t>3.4 浙江施耐德进线及联络开关（低压）柜：12台</w:t>
      </w:r>
    </w:p>
    <w:p>
      <w:pPr>
        <w:spacing w:line="360" w:lineRule="auto"/>
        <w:rPr>
          <w:rFonts w:ascii="宋体" w:hAnsi="宋体"/>
          <w:b/>
          <w:szCs w:val="21"/>
        </w:rPr>
      </w:pPr>
      <w:r>
        <w:rPr>
          <w:rFonts w:ascii="宋体" w:hAnsi="宋体" w:hint="eastAsia"/>
          <w:szCs w:val="21"/>
        </w:rPr>
        <w:t>4、消防系统：</w:t>
      </w:r>
    </w:p>
    <w:p>
      <w:pPr>
        <w:spacing w:line="360" w:lineRule="auto"/>
        <w:ind w:firstLine="210" w:firstLineChars="100"/>
        <w:outlineLvl w:val="0"/>
        <w:rPr>
          <w:rFonts w:ascii="宋体" w:hAnsi="宋体"/>
          <w:szCs w:val="21"/>
        </w:rPr>
      </w:pPr>
      <w:r>
        <w:rPr>
          <w:rFonts w:ascii="宋体" w:hAnsi="宋体" w:hint="eastAsia"/>
          <w:szCs w:val="21"/>
        </w:rPr>
        <w:t>4.1 JB-QTL-2100联动型火灾报警系统：1套</w:t>
      </w:r>
    </w:p>
    <w:p>
      <w:pPr>
        <w:spacing w:line="360" w:lineRule="auto"/>
        <w:ind w:firstLine="210" w:firstLineChars="100"/>
        <w:outlineLvl w:val="0"/>
        <w:rPr>
          <w:rFonts w:ascii="宋体" w:hAnsi="宋体"/>
          <w:kern w:val="0"/>
          <w:szCs w:val="21"/>
        </w:rPr>
      </w:pPr>
      <w:r>
        <w:rPr>
          <w:rFonts w:ascii="宋体" w:hAnsi="宋体" w:hint="eastAsia"/>
          <w:szCs w:val="21"/>
        </w:rPr>
        <w:t xml:space="preserve">4.2 </w:t>
      </w:r>
      <w:r>
        <w:rPr>
          <w:rFonts w:ascii="宋体" w:hAnsi="宋体" w:hint="eastAsia"/>
          <w:kern w:val="0"/>
          <w:szCs w:val="21"/>
        </w:rPr>
        <w:t xml:space="preserve"> 广州市白云泵业集团有限公司Y2-225M-2  55KW立式消防栓水泵：2台</w:t>
      </w:r>
    </w:p>
    <w:p>
      <w:pPr>
        <w:spacing w:line="360" w:lineRule="auto"/>
        <w:ind w:firstLine="210" w:firstLineChars="100"/>
        <w:outlineLvl w:val="0"/>
        <w:rPr>
          <w:rFonts w:ascii="宋体" w:hAnsi="宋体"/>
          <w:kern w:val="0"/>
          <w:szCs w:val="21"/>
        </w:rPr>
      </w:pPr>
      <w:r>
        <w:rPr>
          <w:rFonts w:ascii="宋体" w:hAnsi="宋体" w:hint="eastAsia"/>
          <w:szCs w:val="21"/>
        </w:rPr>
        <w:t xml:space="preserve">4.3 </w:t>
      </w:r>
      <w:r>
        <w:rPr>
          <w:rFonts w:ascii="宋体" w:hAnsi="宋体" w:hint="eastAsia"/>
          <w:kern w:val="0"/>
          <w:szCs w:val="21"/>
        </w:rPr>
        <w:t>广州市白云泵业集团有限公司Y2-225M-2 55KW立式喷淋水泵：2台</w:t>
      </w:r>
    </w:p>
    <w:p>
      <w:pPr>
        <w:spacing w:line="360" w:lineRule="auto"/>
        <w:ind w:firstLine="210" w:firstLineChars="100"/>
        <w:rPr>
          <w:rFonts w:ascii="宋体" w:hAnsi="宋体"/>
          <w:kern w:val="0"/>
          <w:szCs w:val="21"/>
        </w:rPr>
      </w:pPr>
      <w:r>
        <w:rPr>
          <w:rFonts w:ascii="宋体" w:hAnsi="宋体" w:hint="eastAsia"/>
          <w:kern w:val="0"/>
          <w:szCs w:val="21"/>
        </w:rPr>
        <w:t>4.4 广州市白云泵业集团有限公司25BGL4-15X3 1.5KW稳压水泵：4台</w:t>
      </w:r>
    </w:p>
    <w:p>
      <w:pPr>
        <w:spacing w:line="360" w:lineRule="auto"/>
        <w:outlineLvl w:val="0"/>
        <w:rPr>
          <w:rFonts w:ascii="宋体" w:hAnsi="宋体"/>
          <w:b/>
          <w:kern w:val="0"/>
          <w:szCs w:val="21"/>
        </w:rPr>
      </w:pPr>
      <w:r>
        <w:rPr>
          <w:rFonts w:ascii="宋体" w:hAnsi="宋体" w:hint="eastAsia"/>
          <w:kern w:val="0"/>
          <w:szCs w:val="21"/>
        </w:rPr>
        <w:t>5、给排水：</w:t>
      </w:r>
    </w:p>
    <w:p>
      <w:pPr>
        <w:spacing w:line="360" w:lineRule="auto"/>
        <w:ind w:left="806" w:hanging="525" w:leftChars="134" w:hangingChars="250"/>
        <w:rPr>
          <w:rFonts w:ascii="宋体" w:hAnsi="宋体"/>
          <w:kern w:val="0"/>
          <w:szCs w:val="21"/>
        </w:rPr>
      </w:pPr>
      <w:r>
        <w:rPr>
          <w:rFonts w:ascii="宋体" w:hAnsi="宋体" w:hint="eastAsia"/>
          <w:kern w:val="0"/>
          <w:szCs w:val="21"/>
        </w:rPr>
        <w:t>5.1 广州市白云泵业集团有限公司Y250M-4Y-B5 55KW生活水泵（立式多级）：2台</w:t>
      </w:r>
    </w:p>
    <w:p>
      <w:pPr>
        <w:spacing w:line="360" w:lineRule="auto"/>
        <w:ind w:left="806" w:hanging="525" w:leftChars="134" w:hangingChars="250"/>
        <w:rPr>
          <w:rFonts w:ascii="宋体" w:hAnsi="宋体"/>
          <w:kern w:val="0"/>
          <w:szCs w:val="21"/>
        </w:rPr>
      </w:pPr>
      <w:r>
        <w:rPr>
          <w:rFonts w:ascii="宋体" w:hAnsi="宋体" w:hint="eastAsia"/>
          <w:szCs w:val="21"/>
        </w:rPr>
        <w:t>5.2</w:t>
      </w:r>
      <w:r>
        <w:rPr>
          <w:rFonts w:ascii="宋体" w:hAnsi="宋体" w:hint="eastAsia"/>
          <w:kern w:val="0"/>
          <w:szCs w:val="21"/>
        </w:rPr>
        <w:t>广州市白云泵业集团有限公司BYL12/12.5X8-50 5KW生活水泵（恒压）：1台</w:t>
      </w:r>
    </w:p>
    <w:p>
      <w:pPr>
        <w:spacing w:line="360" w:lineRule="auto"/>
        <w:ind w:left="806" w:hanging="525" w:leftChars="134" w:hangingChars="250"/>
        <w:outlineLvl w:val="0"/>
        <w:rPr>
          <w:rFonts w:ascii="黑体" w:eastAsia="黑体"/>
          <w:sz w:val="28"/>
          <w:szCs w:val="28"/>
        </w:rPr>
      </w:pPr>
      <w:r>
        <w:rPr>
          <w:rFonts w:ascii="宋体" w:hAnsi="宋体" w:hint="eastAsia"/>
          <w:szCs w:val="21"/>
        </w:rPr>
        <w:t xml:space="preserve">5.3 </w:t>
      </w:r>
      <w:r>
        <w:rPr>
          <w:rFonts w:ascii="宋体" w:hAnsi="宋体" w:hint="eastAsia"/>
          <w:kern w:val="0"/>
          <w:szCs w:val="21"/>
        </w:rPr>
        <w:t>广州市白云泵业集团有限公司JB/T10391-2008排污水泵：12台</w:t>
      </w:r>
    </w:p>
    <w:p>
      <w:pPr>
        <w:spacing w:line="360" w:lineRule="auto"/>
      </w:pPr>
      <w:r>
        <w:rPr>
          <w:rFonts w:hint="eastAsia"/>
        </w:rPr>
        <w:t>6、监控系统：监控系统</w:t>
      </w:r>
      <w:r>
        <w:t>1</w:t>
      </w:r>
      <w:r>
        <w:rPr>
          <w:rFonts w:hint="eastAsia"/>
        </w:rPr>
        <w:t>套。</w:t>
      </w:r>
    </w:p>
    <w:p>
      <w:pPr>
        <w:spacing w:line="360" w:lineRule="auto"/>
      </w:pPr>
      <w:r>
        <w:rPr>
          <w:rFonts w:hint="eastAsia"/>
        </w:rPr>
        <w:t>7、员工食堂：厨房设备、设施1套。</w:t>
      </w:r>
    </w:p>
    <w:p>
      <w:pPr>
        <w:rPr>
          <w:b/>
          <w:sz w:val="24"/>
        </w:rPr>
      </w:pPr>
      <w:r>
        <w:rPr>
          <w:rFonts w:hint="eastAsia"/>
          <w:b/>
          <w:sz w:val="24"/>
        </w:rPr>
        <w:t>（二）、物业服务范围</w:t>
      </w:r>
    </w:p>
    <w:p>
      <w:pPr>
        <w:widowControl/>
        <w:spacing w:line="420" w:lineRule="exact"/>
        <w:ind w:left="525" w:hanging="525" w:hangingChars="250"/>
        <w:jc w:val="left"/>
        <w:rPr>
          <w:rFonts w:ascii="宋体" w:hAnsi="宋体" w:cs="宋体"/>
          <w:kern w:val="0"/>
          <w:szCs w:val="21"/>
        </w:rPr>
      </w:pPr>
      <w:r>
        <w:rPr>
          <w:rFonts w:ascii="宋体" w:hAnsi="宋体" w:cs="宋体" w:hint="eastAsia"/>
          <w:kern w:val="0"/>
          <w:szCs w:val="21"/>
        </w:rPr>
        <w:t>（一）大楼建筑本体共用部位(外墙面、楼梯间、走廊通道、门厅、设备机房等)的维修、养护和管理；</w:t>
      </w:r>
    </w:p>
    <w:p>
      <w:pPr>
        <w:widowControl/>
        <w:spacing w:line="420" w:lineRule="exact"/>
        <w:ind w:left="525" w:hanging="525" w:hangingChars="250"/>
        <w:jc w:val="left"/>
        <w:rPr>
          <w:rFonts w:ascii="宋体" w:hAnsi="宋体" w:cs="宋体"/>
          <w:kern w:val="0"/>
          <w:szCs w:val="21"/>
        </w:rPr>
      </w:pPr>
      <w:r>
        <w:rPr>
          <w:rFonts w:ascii="宋体" w:hAnsi="宋体" w:cs="宋体" w:hint="eastAsia"/>
          <w:kern w:val="0"/>
          <w:szCs w:val="21"/>
        </w:rPr>
        <w:t>（二）大楼建筑本体共用设施设备(照明、空调系统、给排水系统、供配电系统、消防设施设备、门禁系统、闭路监控系统、电梯、会议系统、厨房设备等)的维修、养护、管理和运行服务；</w:t>
      </w:r>
    </w:p>
    <w:p>
      <w:pPr>
        <w:widowControl/>
        <w:spacing w:line="420" w:lineRule="exact"/>
        <w:ind w:left="525" w:hanging="525" w:hangingChars="250"/>
        <w:jc w:val="left"/>
        <w:rPr>
          <w:rFonts w:ascii="宋体" w:hAnsi="宋体" w:cs="宋体"/>
          <w:kern w:val="0"/>
          <w:szCs w:val="21"/>
        </w:rPr>
      </w:pPr>
      <w:r>
        <w:rPr>
          <w:rFonts w:ascii="宋体" w:hAnsi="宋体" w:cs="宋体" w:hint="eastAsia"/>
          <w:kern w:val="0"/>
          <w:szCs w:val="21"/>
        </w:rPr>
        <w:t>（三）本物业规划红线内属物业管理范围的公用设施（道路、路灯、化粪池、沙雨井、绿化带、室外水管道等）的维修、养护和管理；</w:t>
      </w:r>
    </w:p>
    <w:p>
      <w:pPr>
        <w:widowControl/>
        <w:spacing w:line="420" w:lineRule="exact"/>
        <w:ind w:left="525" w:hanging="525" w:hangingChars="250"/>
        <w:jc w:val="left"/>
        <w:rPr>
          <w:rFonts w:ascii="宋体" w:hAnsi="宋体" w:cs="宋体"/>
          <w:kern w:val="0"/>
          <w:szCs w:val="21"/>
        </w:rPr>
      </w:pPr>
      <w:r>
        <w:rPr>
          <w:rFonts w:ascii="宋体" w:hAnsi="宋体" w:cs="宋体" w:hint="eastAsia"/>
          <w:kern w:val="0"/>
          <w:szCs w:val="21"/>
        </w:rPr>
        <w:t>（四）采购单位配套的专业设备设施的维护和管理；</w:t>
      </w:r>
    </w:p>
    <w:p>
      <w:pPr>
        <w:widowControl/>
        <w:spacing w:line="420" w:lineRule="exact"/>
        <w:ind w:left="525" w:hanging="525" w:hangingChars="250"/>
        <w:jc w:val="left"/>
        <w:rPr>
          <w:rFonts w:ascii="宋体" w:hAnsi="宋体" w:cs="宋体"/>
          <w:kern w:val="0"/>
          <w:szCs w:val="21"/>
        </w:rPr>
      </w:pPr>
      <w:r>
        <w:rPr>
          <w:rFonts w:ascii="宋体" w:hAnsi="宋体" w:cs="宋体" w:hint="eastAsia"/>
          <w:kern w:val="0"/>
          <w:szCs w:val="21"/>
        </w:rPr>
        <w:t>（五）物业红线内公共场地、办公室、会议室、大厅、办公楼走廊、消防楼梯、洗手间、水房等部位的清洁卫生，垃圾的收集清运，环境定期消杀；</w:t>
      </w:r>
    </w:p>
    <w:p>
      <w:pPr>
        <w:widowControl/>
        <w:spacing w:line="420" w:lineRule="exact"/>
        <w:ind w:left="525" w:hanging="525" w:hangingChars="250"/>
        <w:jc w:val="left"/>
        <w:rPr>
          <w:rFonts w:ascii="宋体" w:hAnsi="宋体" w:cs="宋体"/>
          <w:kern w:val="0"/>
          <w:szCs w:val="21"/>
        </w:rPr>
      </w:pPr>
      <w:r>
        <w:rPr>
          <w:rFonts w:ascii="宋体" w:hAnsi="宋体" w:cs="宋体" w:hint="eastAsia"/>
          <w:kern w:val="0"/>
          <w:szCs w:val="21"/>
        </w:rPr>
        <w:t>（六）大楼外墙（含玻璃幕墙、磁砖外墙）每年清洗2次；</w:t>
      </w:r>
    </w:p>
    <w:p>
      <w:pPr>
        <w:widowControl/>
        <w:spacing w:line="420" w:lineRule="exact"/>
        <w:ind w:left="525" w:hanging="525" w:hangingChars="250"/>
        <w:jc w:val="left"/>
        <w:rPr>
          <w:rFonts w:ascii="宋体" w:hAnsi="宋体" w:cs="宋体"/>
          <w:kern w:val="0"/>
          <w:szCs w:val="21"/>
        </w:rPr>
      </w:pPr>
      <w:r>
        <w:rPr>
          <w:rFonts w:ascii="宋体" w:hAnsi="宋体" w:cs="宋体" w:hint="eastAsia"/>
          <w:kern w:val="0"/>
          <w:szCs w:val="21"/>
        </w:rPr>
        <w:t>（七）大楼围墙绿植及所有绿化地养护更换；</w:t>
      </w:r>
    </w:p>
    <w:p>
      <w:pPr>
        <w:widowControl/>
        <w:spacing w:line="420" w:lineRule="exact"/>
        <w:ind w:left="525" w:hanging="525" w:hangingChars="250"/>
        <w:jc w:val="left"/>
        <w:rPr>
          <w:rFonts w:ascii="宋体" w:hAnsi="宋体" w:cs="宋体"/>
          <w:kern w:val="0"/>
          <w:szCs w:val="21"/>
        </w:rPr>
      </w:pPr>
      <w:r>
        <w:rPr>
          <w:rFonts w:ascii="宋体" w:hAnsi="宋体" w:cs="宋体" w:hint="eastAsia"/>
          <w:kern w:val="0"/>
          <w:szCs w:val="21"/>
        </w:rPr>
        <w:t>（八）大楼秩序维护和安全保卫；停车场管理，交通、车辆行驶及停泊；</w:t>
      </w:r>
    </w:p>
    <w:p>
      <w:pPr>
        <w:widowControl/>
        <w:spacing w:line="420" w:lineRule="exact"/>
        <w:ind w:left="525" w:hanging="525" w:hangingChars="250"/>
        <w:jc w:val="left"/>
        <w:rPr>
          <w:rFonts w:ascii="宋体" w:hAnsi="宋体" w:cs="宋体"/>
          <w:kern w:val="0"/>
          <w:szCs w:val="21"/>
        </w:rPr>
      </w:pPr>
      <w:r>
        <w:rPr>
          <w:rFonts w:ascii="宋体" w:hAnsi="宋体" w:cs="宋体" w:hint="eastAsia"/>
          <w:kern w:val="0"/>
          <w:szCs w:val="21"/>
        </w:rPr>
        <w:t>（九）配合和协助公安机关进行治安监控和巡视等保安工作；抽调临时保安力量，做好大楼重大活动安全保卫工作，随时出员提供紧急救助服务；</w:t>
      </w:r>
    </w:p>
    <w:p>
      <w:pPr>
        <w:widowControl/>
        <w:spacing w:line="420" w:lineRule="exact"/>
        <w:ind w:left="525" w:hanging="525" w:hangingChars="250"/>
        <w:jc w:val="left"/>
        <w:rPr>
          <w:rFonts w:ascii="宋体" w:hAnsi="宋体" w:cs="宋体"/>
          <w:kern w:val="0"/>
          <w:szCs w:val="21"/>
        </w:rPr>
      </w:pPr>
      <w:r>
        <w:rPr>
          <w:rFonts w:ascii="宋体" w:hAnsi="宋体" w:cs="宋体" w:hint="eastAsia"/>
          <w:kern w:val="0"/>
          <w:szCs w:val="21"/>
        </w:rPr>
        <w:t>（十）负责大楼的报纸、信件、包裹、特快专递、文件等收发工作；</w:t>
      </w:r>
    </w:p>
    <w:p>
      <w:pPr>
        <w:widowControl/>
        <w:spacing w:line="420" w:lineRule="exact"/>
        <w:ind w:left="525" w:hanging="525" w:hangingChars="250"/>
        <w:jc w:val="left"/>
        <w:rPr>
          <w:rFonts w:ascii="宋体" w:hAnsi="宋体" w:cs="宋体"/>
          <w:kern w:val="0"/>
          <w:szCs w:val="21"/>
        </w:rPr>
      </w:pPr>
      <w:r>
        <w:rPr>
          <w:rFonts w:ascii="宋体" w:hAnsi="宋体" w:cs="宋体" w:hint="eastAsia"/>
          <w:kern w:val="0"/>
          <w:szCs w:val="21"/>
        </w:rPr>
        <w:t>（十一）物业及物业管理的档案和资料管理；</w:t>
      </w:r>
    </w:p>
    <w:p>
      <w:pPr>
        <w:widowControl/>
        <w:spacing w:line="420" w:lineRule="exact"/>
        <w:ind w:left="525" w:hanging="525" w:hangingChars="250"/>
        <w:jc w:val="left"/>
        <w:rPr>
          <w:rFonts w:ascii="宋体" w:hAnsi="宋体" w:cs="宋体"/>
          <w:kern w:val="0"/>
          <w:szCs w:val="21"/>
        </w:rPr>
      </w:pPr>
      <w:r>
        <w:rPr>
          <w:rFonts w:ascii="宋体" w:hAnsi="宋体" w:cs="宋体" w:hint="eastAsia"/>
          <w:kern w:val="0"/>
          <w:szCs w:val="21"/>
        </w:rPr>
        <w:t>（十二）配合采购方做好节能减排工作；</w:t>
      </w:r>
    </w:p>
    <w:p>
      <w:pPr>
        <w:widowControl/>
        <w:spacing w:line="420" w:lineRule="exact"/>
        <w:ind w:left="525" w:hanging="525" w:hangingChars="250"/>
        <w:jc w:val="left"/>
        <w:rPr>
          <w:rFonts w:ascii="宋体" w:hAnsi="宋体" w:cs="宋体"/>
          <w:kern w:val="0"/>
          <w:szCs w:val="21"/>
        </w:rPr>
      </w:pPr>
      <w:r>
        <w:rPr>
          <w:rFonts w:ascii="宋体" w:hAnsi="宋体" w:cs="宋体" w:hint="eastAsia"/>
          <w:kern w:val="0"/>
          <w:szCs w:val="21"/>
        </w:rPr>
        <w:t>（十三）根据深圳市防疫要求做好日常防疫工作；</w:t>
      </w:r>
    </w:p>
    <w:p>
      <w:pPr>
        <w:widowControl/>
        <w:spacing w:line="420" w:lineRule="exact"/>
        <w:ind w:left="525" w:hanging="525" w:hangingChars="250"/>
        <w:jc w:val="left"/>
        <w:rPr>
          <w:sz w:val="24"/>
        </w:rPr>
      </w:pPr>
      <w:r>
        <w:rPr>
          <w:rFonts w:ascii="宋体" w:hAnsi="宋体" w:cs="宋体" w:hint="eastAsia"/>
          <w:kern w:val="0"/>
          <w:szCs w:val="21"/>
        </w:rPr>
        <w:t>（十四）法规和政策规定由物业管理公司管理的其它事项；</w:t>
      </w:r>
    </w:p>
    <w:p>
      <w:pPr>
        <w:ind w:firstLine="420" w:firstLineChars="200"/>
        <w:rPr>
          <w:sz w:val="24"/>
        </w:rPr>
      </w:pPr>
    </w:p>
    <w:p>
      <w:pPr>
        <w:rPr>
          <w:rFonts w:ascii="宋体" w:hAnsi="宋体"/>
          <w:b/>
          <w:color w:val="FF0000"/>
          <w:szCs w:val="21"/>
        </w:rPr>
      </w:pPr>
    </w:p>
    <w:p>
      <w:pPr>
        <w:pStyle w:val="Heading2"/>
        <w:spacing w:before="120" w:beforeLines="50" w:after="120" w:afterLines="50"/>
        <w:rPr>
          <w:szCs w:val="24"/>
        </w:rPr>
      </w:pPr>
      <w:r>
        <w:rPr>
          <w:rFonts w:hint="eastAsia"/>
          <w:szCs w:val="24"/>
        </w:rPr>
        <w:t>三、</w:t>
      </w:r>
      <w:bookmarkStart w:id="32" w:name="_Hlk72073432"/>
      <w:r>
        <w:rPr>
          <w:rFonts w:hint="eastAsia"/>
          <w:szCs w:val="24"/>
        </w:rPr>
        <w:t>服务需求明细</w:t>
      </w:r>
      <w:bookmarkEnd w:id="32"/>
    </w:p>
    <w:tbl>
      <w:tblPr>
        <w:tblStyle w:val="TableNormal"/>
        <w:tblpPr w:leftFromText="180" w:rightFromText="180" w:vertAnchor="text" w:horzAnchor="margin" w:tblpY="173"/>
        <w:tblW w:w="86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771"/>
        <w:gridCol w:w="2598"/>
        <w:gridCol w:w="2693"/>
        <w:gridCol w:w="1276"/>
        <w:gridCol w:w="1276"/>
      </w:tblGrid>
      <w:tr>
        <w:tblPrEx>
          <w:tblW w:w="861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108" w:type="dxa"/>
            <w:bottom w:w="0" w:type="dxa"/>
            <w:right w:w="108" w:type="dxa"/>
          </w:tblCellMar>
        </w:tblPrEx>
        <w:trPr>
          <w:trHeight w:val="416"/>
        </w:trPr>
        <w:tc>
          <w:tcPr>
            <w:tcW w:w="771" w:type="dxa"/>
            <w:vAlign w:val="center"/>
          </w:tcPr>
          <w:p>
            <w:pPr>
              <w:jc w:val="center"/>
              <w:rPr>
                <w:bCs/>
                <w:szCs w:val="21"/>
              </w:rPr>
            </w:pPr>
            <w:r>
              <w:rPr>
                <w:rFonts w:hint="eastAsia"/>
                <w:bCs/>
                <w:szCs w:val="21"/>
              </w:rPr>
              <w:t>序号</w:t>
            </w:r>
          </w:p>
        </w:tc>
        <w:tc>
          <w:tcPr>
            <w:tcW w:w="2598" w:type="dxa"/>
            <w:vAlign w:val="center"/>
          </w:tcPr>
          <w:p>
            <w:pPr>
              <w:jc w:val="center"/>
              <w:rPr>
                <w:bCs/>
                <w:szCs w:val="21"/>
              </w:rPr>
            </w:pPr>
            <w:r>
              <w:rPr>
                <w:rFonts w:hint="eastAsia"/>
                <w:szCs w:val="21"/>
              </w:rPr>
              <w:t>采购计划编号</w:t>
            </w:r>
          </w:p>
        </w:tc>
        <w:tc>
          <w:tcPr>
            <w:tcW w:w="2693" w:type="dxa"/>
            <w:vAlign w:val="center"/>
          </w:tcPr>
          <w:p>
            <w:pPr>
              <w:jc w:val="center"/>
              <w:rPr>
                <w:bCs/>
                <w:szCs w:val="21"/>
              </w:rPr>
            </w:pPr>
            <w:r>
              <w:rPr>
                <w:rFonts w:hint="eastAsia"/>
                <w:bCs/>
                <w:szCs w:val="21"/>
              </w:rPr>
              <w:t>服务需求名称（标的名称）</w:t>
            </w:r>
          </w:p>
        </w:tc>
        <w:tc>
          <w:tcPr>
            <w:tcW w:w="1276" w:type="dxa"/>
            <w:vAlign w:val="center"/>
          </w:tcPr>
          <w:p>
            <w:pPr>
              <w:jc w:val="center"/>
              <w:rPr>
                <w:bCs/>
                <w:szCs w:val="21"/>
              </w:rPr>
            </w:pPr>
            <w:r>
              <w:rPr>
                <w:rFonts w:hint="eastAsia"/>
                <w:bCs/>
                <w:szCs w:val="21"/>
              </w:rPr>
              <w:t>数量</w:t>
            </w:r>
          </w:p>
        </w:tc>
        <w:tc>
          <w:tcPr>
            <w:tcW w:w="1276" w:type="dxa"/>
            <w:vAlign w:val="center"/>
          </w:tcPr>
          <w:p>
            <w:pPr>
              <w:jc w:val="center"/>
              <w:rPr>
                <w:bCs/>
                <w:szCs w:val="21"/>
              </w:rPr>
            </w:pPr>
            <w:r>
              <w:rPr>
                <w:rFonts w:hint="eastAsia"/>
                <w:bCs/>
                <w:szCs w:val="21"/>
              </w:rPr>
              <w:t>单位</w:t>
            </w:r>
          </w:p>
        </w:tc>
      </w:tr>
      <w:tr>
        <w:tblPrEx>
          <w:tblW w:w="8614" w:type="dxa"/>
          <w:tblInd w:w="0" w:type="dxa"/>
          <w:tblLayout w:type="fixed"/>
          <w:tblCellMar>
            <w:top w:w="0" w:type="dxa"/>
            <w:left w:w="108" w:type="dxa"/>
            <w:bottom w:w="0" w:type="dxa"/>
            <w:right w:w="108" w:type="dxa"/>
          </w:tblCellMar>
        </w:tblPrEx>
        <w:trPr>
          <w:trHeight w:val="170"/>
        </w:trPr>
        <w:tc>
          <w:tcPr>
            <w:tcW w:w="771" w:type="dxa"/>
            <w:vAlign w:val="center"/>
          </w:tcPr>
          <w:p>
            <w:pPr>
              <w:jc w:val="center"/>
              <w:rPr>
                <w:bCs/>
                <w:szCs w:val="21"/>
              </w:rPr>
            </w:pPr>
            <w:r>
              <w:rPr>
                <w:rFonts w:hint="eastAsia"/>
                <w:bCs/>
                <w:szCs w:val="21"/>
              </w:rPr>
              <w:t>1</w:t>
            </w:r>
          </w:p>
        </w:tc>
        <w:tc>
          <w:tcPr>
            <w:tcW w:w="2598" w:type="dxa"/>
            <w:vAlign w:val="center"/>
          </w:tcPr>
          <w:p>
            <w:pPr>
              <w:jc w:val="center"/>
              <w:rPr>
                <w:bCs/>
                <w:color w:val="FF0000"/>
                <w:szCs w:val="21"/>
              </w:rPr>
            </w:pPr>
            <w:r>
              <w:rPr>
                <w:rFonts w:hint="eastAsia"/>
                <w:bCs/>
                <w:color w:val="FF0000"/>
                <w:szCs w:val="21"/>
              </w:rPr>
              <w:t>PLAN-2023-440300000-609001-04374</w:t>
            </w:r>
          </w:p>
        </w:tc>
        <w:tc>
          <w:tcPr>
            <w:tcW w:w="2693" w:type="dxa"/>
          </w:tcPr>
          <w:p>
            <w:pPr>
              <w:jc w:val="center"/>
              <w:rPr>
                <w:bCs/>
                <w:szCs w:val="21"/>
              </w:rPr>
            </w:pPr>
            <w:r>
              <w:rPr>
                <w:rFonts w:hint="eastAsia"/>
                <w:b/>
                <w:bCs/>
                <w:color w:val="FF0000"/>
                <w:szCs w:val="21"/>
              </w:rPr>
              <w:t>深圳市残疾人综合服务大楼2023年物业服务</w:t>
            </w:r>
          </w:p>
        </w:tc>
        <w:tc>
          <w:tcPr>
            <w:tcW w:w="1276" w:type="dxa"/>
            <w:vAlign w:val="center"/>
          </w:tcPr>
          <w:p>
            <w:pPr>
              <w:jc w:val="center"/>
              <w:rPr>
                <w:bCs/>
                <w:szCs w:val="21"/>
              </w:rPr>
            </w:pPr>
            <w:r>
              <w:t>1</w:t>
            </w:r>
          </w:p>
        </w:tc>
        <w:tc>
          <w:tcPr>
            <w:tcW w:w="1276" w:type="dxa"/>
            <w:vAlign w:val="center"/>
          </w:tcPr>
          <w:p>
            <w:pPr>
              <w:jc w:val="center"/>
              <w:rPr>
                <w:bCs/>
                <w:szCs w:val="21"/>
              </w:rPr>
            </w:pPr>
            <w:r>
              <w:rPr>
                <w:rFonts w:hint="eastAsia"/>
                <w:bCs/>
                <w:szCs w:val="21"/>
              </w:rPr>
              <w:t>项</w:t>
            </w:r>
          </w:p>
        </w:tc>
      </w:tr>
      <w:tr>
        <w:tblPrEx>
          <w:tblW w:w="8614" w:type="dxa"/>
          <w:tblInd w:w="0" w:type="dxa"/>
          <w:tblLayout w:type="fixed"/>
          <w:tblCellMar>
            <w:top w:w="0" w:type="dxa"/>
            <w:left w:w="108" w:type="dxa"/>
            <w:bottom w:w="0" w:type="dxa"/>
            <w:right w:w="108" w:type="dxa"/>
          </w:tblCellMar>
        </w:tblPrEx>
        <w:trPr>
          <w:trHeight w:val="170"/>
        </w:trPr>
        <w:tc>
          <w:tcPr>
            <w:tcW w:w="771" w:type="dxa"/>
            <w:vAlign w:val="center"/>
          </w:tcPr>
          <w:p>
            <w:pPr>
              <w:jc w:val="center"/>
              <w:rPr>
                <w:bCs/>
                <w:szCs w:val="21"/>
              </w:rPr>
            </w:pPr>
            <w:r>
              <w:rPr>
                <w:bCs/>
                <w:szCs w:val="21"/>
              </w:rPr>
              <w:t>2</w:t>
            </w:r>
          </w:p>
        </w:tc>
        <w:tc>
          <w:tcPr>
            <w:tcW w:w="2598" w:type="dxa"/>
            <w:vAlign w:val="center"/>
          </w:tcPr>
          <w:p>
            <w:pPr>
              <w:jc w:val="center"/>
              <w:rPr>
                <w:bCs/>
                <w:szCs w:val="21"/>
              </w:rPr>
            </w:pPr>
            <w:r>
              <w:rPr>
                <w:rFonts w:hint="eastAsia"/>
                <w:bCs/>
                <w:color w:val="FF0000"/>
                <w:szCs w:val="21"/>
              </w:rPr>
              <w:t>PLAN-2023-440300000-609001-03625</w:t>
            </w:r>
          </w:p>
        </w:tc>
        <w:tc>
          <w:tcPr>
            <w:tcW w:w="2693" w:type="dxa"/>
          </w:tcPr>
          <w:p>
            <w:pPr>
              <w:jc w:val="center"/>
              <w:rPr>
                <w:bCs/>
                <w:szCs w:val="21"/>
              </w:rPr>
            </w:pPr>
            <w:r>
              <w:rPr>
                <w:rFonts w:hint="eastAsia"/>
                <w:b/>
                <w:bCs/>
                <w:color w:val="FF0000"/>
                <w:szCs w:val="21"/>
              </w:rPr>
              <w:t>深圳市残疾人综合服务大楼2023年物业服务</w:t>
            </w:r>
          </w:p>
        </w:tc>
        <w:tc>
          <w:tcPr>
            <w:tcW w:w="1276" w:type="dxa"/>
            <w:vAlign w:val="center"/>
          </w:tcPr>
          <w:p>
            <w:pPr>
              <w:jc w:val="center"/>
              <w:rPr>
                <w:bCs/>
                <w:szCs w:val="21"/>
              </w:rPr>
            </w:pPr>
            <w:r>
              <w:rPr>
                <w:rFonts w:hint="eastAsia"/>
                <w:bCs/>
                <w:szCs w:val="21"/>
              </w:rPr>
              <w:t>1</w:t>
            </w:r>
          </w:p>
        </w:tc>
        <w:tc>
          <w:tcPr>
            <w:tcW w:w="1276" w:type="dxa"/>
            <w:vAlign w:val="center"/>
          </w:tcPr>
          <w:p>
            <w:pPr>
              <w:jc w:val="center"/>
              <w:rPr>
                <w:bCs/>
                <w:szCs w:val="21"/>
              </w:rPr>
            </w:pPr>
            <w:r>
              <w:rPr>
                <w:rFonts w:hint="eastAsia"/>
                <w:bCs/>
                <w:szCs w:val="21"/>
              </w:rPr>
              <w:t>项</w:t>
            </w:r>
          </w:p>
        </w:tc>
      </w:tr>
    </w:tbl>
    <w:p>
      <w:pPr>
        <w:pStyle w:val="BodyText"/>
      </w:pPr>
    </w:p>
    <w:p>
      <w:pPr>
        <w:pStyle w:val="Heading2"/>
        <w:spacing w:before="120" w:beforeLines="50" w:after="120" w:afterLines="50"/>
        <w:rPr>
          <w:szCs w:val="24"/>
        </w:rPr>
      </w:pPr>
      <w:r>
        <w:rPr>
          <w:rFonts w:hint="eastAsia"/>
          <w:szCs w:val="24"/>
        </w:rPr>
        <w:t>四、实质性条款</w:t>
      </w:r>
    </w:p>
    <w:tbl>
      <w:tblPr>
        <w:tblStyle w:val="TableNormal"/>
        <w:tblW w:w="81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705"/>
        <w:gridCol w:w="7483"/>
      </w:tblGrid>
      <w:tr>
        <w:tblPrEx>
          <w:tblW w:w="8188"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r>
              <w:rPr>
                <w:rFonts w:ascii="宋体" w:hAnsi="宋体" w:hint="eastAsia"/>
                <w:kern w:val="0"/>
                <w:szCs w:val="21"/>
              </w:rPr>
              <w:t>序号</w:t>
            </w:r>
          </w:p>
        </w:tc>
        <w:tc>
          <w:tcPr>
            <w:tcW w:w="7483" w:type="dxa"/>
          </w:tcPr>
          <w:p>
            <w:pPr>
              <w:adjustRightInd w:val="0"/>
              <w:snapToGrid w:val="0"/>
              <w:spacing w:line="360" w:lineRule="auto"/>
              <w:jc w:val="center"/>
              <w:rPr>
                <w:rFonts w:ascii="宋体" w:hAnsi="宋体"/>
                <w:kern w:val="0"/>
                <w:szCs w:val="21"/>
              </w:rPr>
            </w:pPr>
            <w:r>
              <w:rPr>
                <w:rFonts w:ascii="宋体" w:hAnsi="宋体" w:hint="eastAsia"/>
                <w:kern w:val="0"/>
                <w:szCs w:val="21"/>
              </w:rPr>
              <w:t>实质性条款具体内容</w:t>
            </w:r>
          </w:p>
        </w:tc>
      </w:tr>
      <w:tr>
        <w:tblPrEx>
          <w:tblW w:w="8188" w:type="dxa"/>
          <w:tblInd w:w="0" w:type="dxa"/>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r>
              <w:rPr>
                <w:rFonts w:ascii="宋体" w:hAnsi="宋体" w:hint="eastAsia"/>
                <w:kern w:val="0"/>
                <w:szCs w:val="21"/>
              </w:rPr>
              <w:t>1</w:t>
            </w:r>
          </w:p>
        </w:tc>
        <w:tc>
          <w:tcPr>
            <w:tcW w:w="7483" w:type="dxa"/>
          </w:tcPr>
          <w:p>
            <w:pPr>
              <w:rPr>
                <w:rFonts w:hAnsi="宋体" w:eastAsiaTheme="minorEastAsia"/>
                <w:kern w:val="0"/>
                <w:szCs w:val="21"/>
              </w:rPr>
            </w:pPr>
            <w:r>
              <w:rPr>
                <w:rFonts w:hint="eastAsia"/>
              </w:rPr>
              <w:t>满足本项目标★的条款要求</w:t>
            </w:r>
          </w:p>
        </w:tc>
      </w:tr>
      <w:tr>
        <w:tblPrEx>
          <w:tblW w:w="8188" w:type="dxa"/>
          <w:tblInd w:w="0" w:type="dxa"/>
          <w:tblCellMar>
            <w:top w:w="0" w:type="dxa"/>
            <w:left w:w="108" w:type="dxa"/>
            <w:bottom w:w="0" w:type="dxa"/>
            <w:right w:w="108" w:type="dxa"/>
          </w:tblCellMar>
        </w:tblPrEx>
        <w:tc>
          <w:tcPr>
            <w:tcW w:w="705" w:type="dxa"/>
          </w:tcPr>
          <w:p>
            <w:pPr>
              <w:adjustRightInd w:val="0"/>
              <w:snapToGrid w:val="0"/>
              <w:spacing w:line="360" w:lineRule="auto"/>
              <w:jc w:val="center"/>
              <w:rPr>
                <w:rFonts w:ascii="宋体" w:eastAsia="宋体" w:hAnsi="宋体" w:hint="eastAsia"/>
                <w:kern w:val="0"/>
                <w:szCs w:val="21"/>
                <w:lang w:val="en-US" w:eastAsia="zh-CN"/>
              </w:rPr>
            </w:pPr>
            <w:r>
              <w:rPr>
                <w:rFonts w:ascii="宋体" w:hAnsi="宋体" w:hint="eastAsia"/>
                <w:kern w:val="0"/>
                <w:szCs w:val="21"/>
                <w:lang w:val="en-US" w:eastAsia="zh-CN"/>
              </w:rPr>
              <w:t>2</w:t>
            </w:r>
          </w:p>
        </w:tc>
        <w:tc>
          <w:tcPr>
            <w:tcW w:w="7483" w:type="dxa"/>
          </w:tcPr>
          <w:p>
            <w:pPr>
              <w:widowControl/>
              <w:spacing w:line="420" w:lineRule="exact"/>
              <w:jc w:val="left"/>
              <w:rPr>
                <w:rFonts w:hint="eastAsia"/>
              </w:rPr>
            </w:pPr>
            <w:r>
              <w:rPr>
                <w:rFonts w:ascii="宋体" w:hAnsi="宋体" w:cs="宋体" w:hint="eastAsia"/>
                <w:b/>
                <w:bCs/>
                <w:color w:val="FF0000"/>
                <w:kern w:val="0"/>
                <w:szCs w:val="21"/>
              </w:rPr>
              <w:t>投标人若为保安服务公司，需提供服务所在地公安机关核发的《保安服务许可证》【非服务所在地公安机关核发的，承诺“在开始提供保安服务之前30日内向服务所在地设区市的公安机关备案“，提供承诺函（格式自拟）】；若为自行招用保安员的单位，需提供服务所在地设区市的公安机关备案证明【未取得备案的，需承诺“自开始保安服务之日起30个工作日内向服务所在地设区市的公安机关备案”，提供承诺函（格式自拟）】。</w:t>
            </w:r>
          </w:p>
        </w:tc>
      </w:tr>
    </w:tbl>
    <w:p>
      <w:pPr>
        <w:rPr>
          <w:rFonts w:ascii="宋体"/>
          <w:b/>
          <w:kern w:val="0"/>
          <w:sz w:val="24"/>
          <w:szCs w:val="20"/>
        </w:rPr>
      </w:pPr>
      <w:bookmarkEnd w:id="31"/>
      <w:r>
        <w:rPr>
          <w:rFonts w:ascii="宋体"/>
          <w:b/>
          <w:kern w:val="0"/>
          <w:sz w:val="24"/>
          <w:szCs w:val="20"/>
        </w:rPr>
        <w:t>注：上表所列内容为不可负偏离条款，负偏离将视为未实质性满足招标文件要求和条件作投标无效处理。</w:t>
      </w:r>
    </w:p>
    <w:p>
      <w:pPr>
        <w:pStyle w:val="BodyText"/>
      </w:pPr>
    </w:p>
    <w:p>
      <w:pPr>
        <w:pStyle w:val="Heading2"/>
        <w:spacing w:before="120" w:beforeLines="50" w:after="120" w:afterLines="50"/>
        <w:rPr>
          <w:szCs w:val="24"/>
        </w:rPr>
      </w:pPr>
      <w:r>
        <w:rPr>
          <w:rFonts w:hint="eastAsia"/>
          <w:szCs w:val="24"/>
        </w:rPr>
        <w:t>五、技术要求</w:t>
      </w:r>
    </w:p>
    <w:p>
      <w:pPr>
        <w:jc w:val="center"/>
        <w:rPr>
          <w:b/>
          <w:sz w:val="28"/>
          <w:szCs w:val="28"/>
        </w:rPr>
      </w:pPr>
      <w:r>
        <w:rPr>
          <w:rFonts w:hint="eastAsia"/>
          <w:b/>
          <w:sz w:val="28"/>
          <w:szCs w:val="28"/>
        </w:rPr>
        <w:t>（一）物业服务标准及要求</w:t>
      </w:r>
    </w:p>
    <w:p>
      <w:pPr>
        <w:widowControl/>
        <w:snapToGrid w:val="0"/>
        <w:spacing w:line="420" w:lineRule="exact"/>
        <w:jc w:val="left"/>
        <w:outlineLvl w:val="0"/>
        <w:rPr>
          <w:rFonts w:ascii="宋体" w:hAnsi="宋体" w:cs="宋体"/>
          <w:kern w:val="0"/>
          <w:szCs w:val="21"/>
        </w:rPr>
      </w:pPr>
      <w:r>
        <w:rPr>
          <w:rFonts w:ascii="宋体" w:hAnsi="宋体" w:cs="宋体" w:hint="eastAsia"/>
          <w:b/>
          <w:bCs/>
          <w:kern w:val="0"/>
          <w:szCs w:val="21"/>
        </w:rPr>
        <w:t>1、物业管理总体标准</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1.1 物业管理服务指标达到全国物业管理示范大厦指标标准；</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1.2 建立ISO9001质量保证体系，并有效运作；</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1.3 业主满意率达98%以上；</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1.4 有效投诉率0.2%以下；</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1.5 有效投诉处理率达100%；</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1.6 房屋及公共配套设施、设备完好率98%以上；</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1.7 大楼内治安案件发生率为零，无任何重大事故发生；</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1.8 环境卫生、消杀、绿化达标率为100%；</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1.9 利用现代化管理手段对物业管理进行管理100%；</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1.10 消防管理通过政府规定，年检完好率100%。</w:t>
      </w:r>
    </w:p>
    <w:p>
      <w:pPr>
        <w:widowControl/>
        <w:snapToGrid w:val="0"/>
        <w:spacing w:line="420" w:lineRule="exact"/>
        <w:jc w:val="left"/>
        <w:outlineLvl w:val="0"/>
        <w:rPr>
          <w:rFonts w:ascii="宋体" w:hAnsi="宋体" w:cs="宋体"/>
          <w:kern w:val="0"/>
          <w:szCs w:val="21"/>
        </w:rPr>
      </w:pPr>
      <w:r>
        <w:rPr>
          <w:rFonts w:ascii="宋体" w:hAnsi="宋体" w:cs="宋体" w:hint="eastAsia"/>
          <w:b/>
          <w:bCs/>
          <w:kern w:val="0"/>
          <w:szCs w:val="21"/>
        </w:rPr>
        <w:t>2、要求</w:t>
      </w:r>
    </w:p>
    <w:p>
      <w:pPr>
        <w:widowControl/>
        <w:spacing w:line="420" w:lineRule="exact"/>
        <w:ind w:left="420" w:hanging="315" w:leftChars="50" w:hangingChars="150"/>
        <w:jc w:val="left"/>
        <w:rPr>
          <w:rFonts w:ascii="宋体" w:hAnsi="宋体" w:cs="宋体"/>
          <w:color w:val="0D0D0D"/>
          <w:kern w:val="0"/>
          <w:szCs w:val="21"/>
        </w:rPr>
      </w:pPr>
      <w:r>
        <w:rPr>
          <w:rFonts w:ascii="宋体" w:hAnsi="宋体" w:cs="宋体" w:hint="eastAsia"/>
          <w:kern w:val="0"/>
          <w:szCs w:val="21"/>
        </w:rPr>
        <w:t>2.1 乙方（即中标单位，下同）根据有关物业管理法规和与甲方（即深圳市残疾人联合会，下同）签订的物业管理委托合同，对该物业实行统一管理、综合服务、自主经营、自负盈亏、不得将项目非法分包或转包给任何单位和个人；如有特殊专业必须由有资质的专业公司承接相关服务，需经甲方同意才可分包或转包；</w:t>
      </w:r>
      <w:r>
        <w:rPr>
          <w:rFonts w:hint="eastAsia"/>
          <w:color w:val="0D0D0D"/>
          <w:szCs w:val="21"/>
        </w:rPr>
        <w:t>并承担运营过程中的所有风险（人员、生产、消防安全、劳资风险等）。</w:t>
      </w:r>
    </w:p>
    <w:p>
      <w:pPr>
        <w:widowControl/>
        <w:spacing w:line="420" w:lineRule="exact"/>
        <w:jc w:val="left"/>
        <w:rPr>
          <w:rFonts w:ascii="宋体" w:hAnsi="宋体" w:cs="宋体"/>
          <w:kern w:val="0"/>
          <w:szCs w:val="21"/>
        </w:rPr>
      </w:pPr>
      <w:r>
        <w:rPr>
          <w:rFonts w:ascii="宋体" w:hAnsi="宋体" w:cs="宋体" w:hint="eastAsia"/>
          <w:kern w:val="0"/>
          <w:szCs w:val="21"/>
        </w:rPr>
        <w:t xml:space="preserve"> 2.2 为确保服务质量及与甲方的沟通联络，乙方须在大楼设立专门管理处，委派专职主管，       </w:t>
      </w:r>
    </w:p>
    <w:p>
      <w:pPr>
        <w:widowControl/>
        <w:spacing w:line="420" w:lineRule="exact"/>
        <w:jc w:val="left"/>
        <w:rPr>
          <w:rFonts w:ascii="宋体" w:hAnsi="宋体" w:cs="宋体"/>
          <w:kern w:val="0"/>
          <w:szCs w:val="21"/>
        </w:rPr>
      </w:pPr>
      <w:r>
        <w:rPr>
          <w:rFonts w:ascii="宋体" w:hAnsi="宋体" w:cs="宋体" w:hint="eastAsia"/>
          <w:kern w:val="0"/>
          <w:szCs w:val="21"/>
        </w:rPr>
        <w:t xml:space="preserve">    负责对提供服务、履行承诺、服务质量的检查监督及与甲方日常业务联系；</w:t>
      </w:r>
    </w:p>
    <w:p>
      <w:pPr>
        <w:widowControl/>
        <w:spacing w:line="420" w:lineRule="exact"/>
        <w:ind w:left="420" w:hanging="315" w:leftChars="50" w:hangingChars="150"/>
        <w:jc w:val="left"/>
        <w:rPr>
          <w:rFonts w:ascii="宋体" w:hAnsi="宋体" w:cs="宋体"/>
          <w:color w:val="0D0D0D"/>
          <w:kern w:val="0"/>
          <w:szCs w:val="21"/>
        </w:rPr>
      </w:pPr>
      <w:r>
        <w:rPr>
          <w:rFonts w:ascii="宋体" w:hAnsi="宋体" w:cs="宋体" w:hint="eastAsia"/>
          <w:kern w:val="0"/>
          <w:szCs w:val="21"/>
        </w:rPr>
        <w:t>2.3 乙方须制定并提供员工管理服务规范要求及确保服务质量达标的具体措施；</w:t>
      </w:r>
      <w:r>
        <w:rPr>
          <w:rFonts w:hint="eastAsia"/>
          <w:color w:val="0D0D0D"/>
          <w:szCs w:val="21"/>
        </w:rPr>
        <w:t>人员的劳动关系、人员管理归属于乙方全权负责，包括定</w:t>
      </w:r>
      <w:r>
        <w:rPr>
          <w:rFonts w:hint="eastAsia"/>
          <w:color w:val="262626"/>
          <w:szCs w:val="21"/>
        </w:rPr>
        <w:t>编、</w:t>
      </w:r>
      <w:r>
        <w:rPr>
          <w:rFonts w:hint="eastAsia"/>
          <w:color w:val="0D0D0D"/>
          <w:szCs w:val="21"/>
        </w:rPr>
        <w:t>定薪和日常管理。</w:t>
      </w:r>
      <w:r>
        <w:rPr>
          <w:rFonts w:ascii="宋体" w:hAnsi="宋体" w:cs="宋体"/>
          <w:color w:val="0D0D0D"/>
          <w:kern w:val="0"/>
          <w:szCs w:val="21"/>
        </w:rPr>
        <w:t xml:space="preserve"> </w:t>
      </w:r>
    </w:p>
    <w:p>
      <w:pPr>
        <w:widowControl/>
        <w:spacing w:line="420" w:lineRule="exact"/>
        <w:jc w:val="left"/>
        <w:rPr>
          <w:rFonts w:ascii="宋体" w:hAnsi="宋体" w:cs="宋体"/>
          <w:kern w:val="0"/>
          <w:szCs w:val="21"/>
        </w:rPr>
      </w:pPr>
      <w:r>
        <w:rPr>
          <w:rFonts w:ascii="宋体" w:hAnsi="宋体" w:cs="宋体" w:hint="eastAsia"/>
          <w:kern w:val="0"/>
          <w:szCs w:val="21"/>
        </w:rPr>
        <w:t xml:space="preserve"> 2.4 乙方须向甲方提供并履行服务承诺；</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2.5 乙方须主动接受甲方的指导、检查、监督及协调，甲方在适当时候对该物业管理进行考核，如达不到上述要求，则可终止委托管理合同并进行财务审计，由乙方承担违约和赔偿责任；</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2.6 甲方除按合同规定支付物业管理费和合同明确规定由甲方支付的相关费用外，物业管理各项费用开支均由乙方自行承担；</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2.7 乙方应严格执行有关物业管理法律法规以及与甲方签定的物业管理合同，自觉接受行业主管部门的监管，因违法或违约造成的一切法律责任，由乙方自行承担；</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2.8本招标项目招标人选择一家独立中标单位，中标单位不得将服务内容予以转包或分包，服务内容除涉及变更外，各项服务费总价、单价均以中标价为准。举办任何大小活动需增加临时服务时，不再增加任何费用；</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2.9乙方所有员工甲方不提供餐饮和住宿；</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2.10乙方服务人员在岗履行工作职责期间，发生自身的人身伤害、伤亡，均由乙方负责处理并承担经济和道义上的责任，甲方不承担任何责任；</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2.11乙方违反国家相关法规，与其聘用人员发生纠纷，均由乙方负责调解与处理，甲方不承担任何责任；</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2.12乙方在服务中违反国家相关法规，因过失造成他人人身伤亡的，均由乙方负责处理并承担经济和道义上的责任，甲方不承担任何责任；</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2.13本项目给出的工程承包范围和说明描述只是概括的，不应认为是全面的、无缺的，服务单位应研究所有相关文件、工程量清单，特别是图纸和工程现场的实际情况去完全了解本项目的实际范围；</w:t>
      </w:r>
    </w:p>
    <w:p>
      <w:pPr>
        <w:widowControl/>
        <w:snapToGrid w:val="0"/>
        <w:spacing w:line="420" w:lineRule="exact"/>
        <w:jc w:val="left"/>
        <w:outlineLvl w:val="0"/>
        <w:rPr>
          <w:rFonts w:ascii="宋体" w:hAnsi="宋体" w:cs="宋体"/>
          <w:b/>
          <w:bCs/>
          <w:color w:val="FF0000"/>
          <w:kern w:val="0"/>
          <w:szCs w:val="21"/>
        </w:rPr>
      </w:pPr>
      <w:r>
        <w:rPr>
          <w:rFonts w:ascii="宋体" w:hAnsi="宋体" w:cs="宋体" w:hint="eastAsia"/>
          <w:b/>
          <w:bCs/>
          <w:kern w:val="0"/>
          <w:szCs w:val="21"/>
        </w:rPr>
        <w:t>3、人员配备要求</w:t>
      </w:r>
    </w:p>
    <w:p>
      <w:pPr>
        <w:widowControl/>
        <w:spacing w:line="420" w:lineRule="exact"/>
        <w:ind w:firstLine="420" w:firstLineChars="200"/>
        <w:jc w:val="left"/>
        <w:rPr>
          <w:rFonts w:ascii="宋体" w:hAnsi="宋体" w:cs="宋体"/>
          <w:color w:val="000000"/>
          <w:kern w:val="0"/>
          <w:szCs w:val="21"/>
        </w:rPr>
      </w:pPr>
      <w:r>
        <w:rPr>
          <w:rFonts w:ascii="宋体" w:hAnsi="宋体" w:cs="宋体" w:hint="eastAsia"/>
          <w:color w:val="000000"/>
          <w:kern w:val="0"/>
          <w:szCs w:val="21"/>
        </w:rPr>
        <w:t>物业公司在保证按要求配备值班人员外，按照相关法律法规安排好员工的轮休。</w:t>
      </w:r>
    </w:p>
    <w:p>
      <w:pPr>
        <w:widowControl/>
        <w:spacing w:line="420" w:lineRule="exact"/>
        <w:ind w:firstLine="420" w:firstLineChars="200"/>
        <w:jc w:val="left"/>
        <w:rPr>
          <w:rFonts w:ascii="宋体" w:hAnsi="宋体" w:cs="宋体"/>
          <w:color w:val="000000"/>
          <w:kern w:val="0"/>
          <w:szCs w:val="21"/>
        </w:rPr>
      </w:pPr>
      <w:r>
        <w:rPr>
          <w:rFonts w:ascii="宋体" w:hAnsi="宋体" w:cs="宋体" w:hint="eastAsia"/>
          <w:color w:val="000000"/>
          <w:kern w:val="0"/>
          <w:szCs w:val="21"/>
        </w:rPr>
        <w:t>3.1 现场负责人1人：大专及以上学历有相关物业管理经验，具安全主任资格证45岁以下；</w:t>
      </w:r>
    </w:p>
    <w:p>
      <w:pPr>
        <w:widowControl/>
        <w:spacing w:line="420" w:lineRule="exact"/>
        <w:ind w:firstLine="420" w:firstLineChars="200"/>
        <w:jc w:val="left"/>
        <w:rPr>
          <w:rFonts w:ascii="宋体" w:hAnsi="宋体" w:cs="宋体"/>
          <w:color w:val="000000"/>
          <w:kern w:val="0"/>
          <w:szCs w:val="21"/>
        </w:rPr>
      </w:pPr>
      <w:r>
        <w:rPr>
          <w:rFonts w:ascii="宋体" w:hAnsi="宋体" w:cs="宋体" w:hint="eastAsia"/>
          <w:color w:val="000000"/>
          <w:kern w:val="0"/>
          <w:szCs w:val="21"/>
        </w:rPr>
        <w:t>3.2 物业服务相关档案管理人员1人：大专及以上学历有相关档案管理经验35岁以下；</w:t>
      </w:r>
    </w:p>
    <w:p>
      <w:pPr>
        <w:widowControl/>
        <w:spacing w:line="420" w:lineRule="exact"/>
        <w:ind w:firstLine="420" w:firstLineChars="200"/>
        <w:jc w:val="left"/>
        <w:rPr>
          <w:rFonts w:ascii="宋体" w:hAnsi="宋体" w:cs="宋体"/>
          <w:color w:val="000000"/>
          <w:kern w:val="0"/>
          <w:szCs w:val="21"/>
        </w:rPr>
      </w:pPr>
      <w:r>
        <w:rPr>
          <w:rFonts w:ascii="宋体" w:hAnsi="宋体" w:cs="宋体" w:hint="eastAsia"/>
          <w:color w:val="000000"/>
          <w:kern w:val="0"/>
          <w:szCs w:val="21"/>
        </w:rPr>
        <w:t>3.3 物业客服服务人员2人：大专及以上学历有相关物业管理经验35岁以下；</w:t>
      </w:r>
    </w:p>
    <w:p>
      <w:pPr>
        <w:widowControl/>
        <w:spacing w:line="420" w:lineRule="exact"/>
        <w:ind w:left="630" w:hanging="210" w:leftChars="200" w:hangingChars="100"/>
        <w:jc w:val="left"/>
        <w:rPr>
          <w:rFonts w:ascii="宋体" w:hAnsi="宋体" w:cs="宋体"/>
          <w:color w:val="000000"/>
          <w:kern w:val="0"/>
          <w:szCs w:val="21"/>
        </w:rPr>
      </w:pPr>
      <w:r>
        <w:rPr>
          <w:rFonts w:ascii="宋体" w:hAnsi="宋体" w:cs="宋体" w:hint="eastAsia"/>
          <w:color w:val="000000"/>
          <w:kern w:val="0"/>
          <w:szCs w:val="21"/>
        </w:rPr>
        <w:t>3.4 公共设施日常维护人员4人：工程主管（有高级技术证书55岁以下）1人，水、电维修工（有中级技术证书50岁以下）3人；</w:t>
      </w:r>
    </w:p>
    <w:p>
      <w:pPr>
        <w:widowControl/>
        <w:spacing w:line="420" w:lineRule="exact"/>
        <w:ind w:firstLine="420" w:firstLineChars="200"/>
        <w:jc w:val="left"/>
        <w:rPr>
          <w:rFonts w:ascii="宋体" w:hAnsi="宋体" w:cs="宋体"/>
          <w:color w:val="000000"/>
          <w:kern w:val="0"/>
          <w:szCs w:val="21"/>
        </w:rPr>
      </w:pPr>
      <w:r>
        <w:rPr>
          <w:rFonts w:ascii="宋体" w:hAnsi="宋体" w:cs="宋体" w:hint="eastAsia"/>
          <w:color w:val="000000"/>
          <w:kern w:val="0"/>
          <w:szCs w:val="21"/>
        </w:rPr>
        <w:t>3.5 安防人员15人：高中及以上学历年龄45岁以下,45-60岁以上不可超2人；</w:t>
      </w:r>
    </w:p>
    <w:p>
      <w:pPr>
        <w:widowControl/>
        <w:spacing w:line="420" w:lineRule="exact"/>
        <w:ind w:firstLine="420" w:firstLineChars="200"/>
        <w:jc w:val="left"/>
        <w:rPr>
          <w:rFonts w:ascii="宋体" w:hAnsi="宋体" w:cs="宋体"/>
          <w:color w:val="000000"/>
          <w:kern w:val="0"/>
          <w:szCs w:val="21"/>
        </w:rPr>
      </w:pPr>
      <w:r>
        <w:rPr>
          <w:rFonts w:ascii="宋体" w:hAnsi="宋体" w:cs="宋体" w:hint="eastAsia"/>
          <w:color w:val="000000"/>
          <w:kern w:val="0"/>
          <w:szCs w:val="21"/>
        </w:rPr>
        <w:t>3.6 保洁人员绿化养护人员7人：年龄55岁以下,55-60岁不可超2人；</w:t>
      </w:r>
    </w:p>
    <w:p>
      <w:pPr>
        <w:widowControl/>
        <w:spacing w:line="420" w:lineRule="exact"/>
        <w:ind w:firstLine="420" w:firstLineChars="200"/>
        <w:jc w:val="left"/>
        <w:rPr>
          <w:rFonts w:ascii="宋体" w:hAnsi="宋体" w:cs="宋体"/>
          <w:color w:val="000000"/>
          <w:kern w:val="0"/>
          <w:szCs w:val="21"/>
        </w:rPr>
      </w:pPr>
      <w:r>
        <w:rPr>
          <w:rFonts w:ascii="宋体" w:hAnsi="宋体" w:cs="宋体" w:hint="eastAsia"/>
          <w:color w:val="000000"/>
          <w:kern w:val="0"/>
          <w:szCs w:val="21"/>
        </w:rPr>
        <w:t>3.7 物业公司所有人员上岗前须经甲方认可同意；</w:t>
      </w:r>
    </w:p>
    <w:p>
      <w:pPr>
        <w:widowControl/>
        <w:spacing w:line="420" w:lineRule="exact"/>
        <w:ind w:left="630" w:hanging="210" w:leftChars="200" w:hangingChars="100"/>
        <w:jc w:val="left"/>
        <w:rPr>
          <w:rFonts w:ascii="宋体" w:hAnsi="宋体" w:cs="宋体"/>
          <w:color w:val="000000"/>
          <w:kern w:val="0"/>
          <w:szCs w:val="21"/>
        </w:rPr>
      </w:pPr>
      <w:r>
        <w:rPr>
          <w:rFonts w:ascii="宋体" w:hAnsi="宋体" w:cs="宋体" w:hint="eastAsia"/>
          <w:color w:val="000000"/>
          <w:kern w:val="0"/>
          <w:szCs w:val="21"/>
        </w:rPr>
        <w:t>3.8 人员流动1年内不得超过25%。对不符合本项目的服务人员,服务单位应在两个工作日内要求其离岗并补齐相应岗位服务人员。</w:t>
      </w:r>
    </w:p>
    <w:p>
      <w:pPr>
        <w:widowControl/>
        <w:spacing w:line="420" w:lineRule="exact"/>
        <w:ind w:firstLine="480"/>
        <w:jc w:val="left"/>
        <w:rPr>
          <w:rFonts w:ascii="宋体" w:hAnsi="宋体" w:cs="宋体"/>
          <w:kern w:val="0"/>
          <w:szCs w:val="21"/>
        </w:rPr>
      </w:pPr>
    </w:p>
    <w:p>
      <w:pPr>
        <w:jc w:val="center"/>
        <w:rPr>
          <w:b/>
          <w:sz w:val="28"/>
          <w:szCs w:val="28"/>
        </w:rPr>
      </w:pPr>
      <w:bookmarkStart w:id="33" w:name="_Toc128884465"/>
      <w:r>
        <w:rPr>
          <w:rFonts w:hint="eastAsia"/>
          <w:b/>
          <w:sz w:val="28"/>
          <w:szCs w:val="28"/>
        </w:rPr>
        <w:t>（二）、物业服务</w:t>
      </w:r>
      <w:bookmarkEnd w:id="33"/>
      <w:r>
        <w:rPr>
          <w:rFonts w:hint="eastAsia"/>
          <w:b/>
          <w:sz w:val="28"/>
          <w:szCs w:val="28"/>
        </w:rPr>
        <w:t>基本内容及要求</w:t>
      </w:r>
    </w:p>
    <w:p>
      <w:pPr>
        <w:widowControl/>
        <w:snapToGrid w:val="0"/>
        <w:spacing w:line="420" w:lineRule="exact"/>
        <w:jc w:val="left"/>
        <w:outlineLvl w:val="0"/>
        <w:rPr>
          <w:rFonts w:ascii="宋体" w:hAnsi="宋体" w:cs="宋体"/>
          <w:kern w:val="0"/>
          <w:szCs w:val="21"/>
        </w:rPr>
      </w:pPr>
      <w:r>
        <w:rPr>
          <w:rFonts w:ascii="宋体" w:hAnsi="宋体" w:cs="宋体" w:hint="eastAsia"/>
          <w:b/>
          <w:bCs/>
          <w:kern w:val="0"/>
          <w:szCs w:val="21"/>
        </w:rPr>
        <w:t>1、房屋与公共设施管理养护</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1.1  房屋管理养护范围：房屋承重结构部位(包括基础、梁、柱、板、屋顶等)、房屋的抗震结构部位(包括构造柱、梁、墙等)、房屋的内、外墙面、围墙、楼梯间、走廊通道、设备机房、门厅、门窗、屋面和地下室等。</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1.2 公共设施管理养护范围：大楼区域内道路、室外管网、保安亭、护栏、停车场闸门、标识导向牌、沟渠、池井、路灯、吊顶、信箱等。</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1.3 房屋与公共设施管理养护要求：</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1.3.1 制定房屋与公共设施管理养护制度和计划，坚持日常检查和定期检查相结合、计划性维护保养和及时维修相结合；</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1.3.2 严格执行建设部颁布的房屋修缮管理标准，保证施工质量；</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 xml:space="preserve">1.3.3 确保管理养护范围内所有项目、设施的完好和正常使用，房屋及公共设施的完好率&gt;99%，维修工程合格率100%，返修率&lt;0.5%，重大维修工程回访率100%； </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1.3.4 严格制定维修养护工作时间，确保在不影响用户办公的前提下开展维修养护工作，并确保人员和财产安全；</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1.3.5 确保房屋及公共设施维修养护实施过程中使用材料符合环保要求；</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1.3.6 日常维修保养更换、小修及零配件一次单项金额在200元以下（含200元）由乙方支付，维修材料单项200元以上材料费由甲方支付人工由乙方支付。</w:t>
      </w:r>
    </w:p>
    <w:p>
      <w:pPr>
        <w:widowControl/>
        <w:snapToGrid w:val="0"/>
        <w:spacing w:line="420" w:lineRule="exact"/>
        <w:jc w:val="left"/>
        <w:outlineLvl w:val="0"/>
        <w:rPr>
          <w:rFonts w:ascii="宋体" w:hAnsi="宋体" w:cs="宋体"/>
          <w:kern w:val="0"/>
          <w:szCs w:val="21"/>
        </w:rPr>
      </w:pPr>
      <w:r>
        <w:rPr>
          <w:rFonts w:ascii="宋体" w:hAnsi="宋体" w:cs="宋体" w:hint="eastAsia"/>
          <w:b/>
          <w:bCs/>
          <w:kern w:val="0"/>
          <w:szCs w:val="21"/>
        </w:rPr>
        <w:t>2、房屋建筑本体共用设备管理养护</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2.1 房屋建筑本体共用设备管理养护范围：供配电系统、给排水系统、空调系统、消防系统、电梯系统、监控系统、门禁管理系统等。</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2.2 供配电系统管理养护要求：</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2.2.1制定供配电系统管理养护制度和计划，定期对供配电系统范围内的电气设备包括变压器、高压环网柜、高压开关柜、低压配电柜、变配电室、柴油发电机组、公共照明智能控制系统等进行检查、检测和维护，建立各项设备档案，确保供配电系统24小时正常、安全运行；</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2.2.2 建立24小时维修值班制度，及时排除故障，零修合格率100%；</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2.2.3 加强对大楼内外所有照明灯具、线路、开关的日常维护检修，确保正常、节能安全使用；</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2.2.4 制定切实可行节电管理制度，有明显节能成果；</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2.2.5 确保市政停电情况下发电机组在15秒钟内运转供电，功率因数达0.95以上；</w:t>
      </w:r>
    </w:p>
    <w:p>
      <w:pPr>
        <w:widowControl/>
        <w:spacing w:line="420" w:lineRule="exact"/>
        <w:ind w:firstLine="630" w:firstLineChars="300"/>
        <w:jc w:val="left"/>
        <w:rPr>
          <w:rFonts w:ascii="宋体" w:hAnsi="宋体" w:cs="宋体"/>
          <w:kern w:val="0"/>
          <w:szCs w:val="21"/>
        </w:rPr>
      </w:pPr>
      <w:r>
        <w:rPr>
          <w:rFonts w:ascii="宋体" w:hAnsi="宋体" w:cs="宋体" w:hint="eastAsia"/>
          <w:kern w:val="0"/>
          <w:szCs w:val="21"/>
        </w:rPr>
        <w:t>管理和维护好避雷设施；</w:t>
      </w:r>
    </w:p>
    <w:p>
      <w:pPr>
        <w:widowControl/>
        <w:spacing w:line="420" w:lineRule="exact"/>
        <w:ind w:left="630" w:hanging="210" w:leftChars="200" w:hangingChars="100"/>
        <w:jc w:val="left"/>
        <w:rPr>
          <w:rFonts w:ascii="宋体" w:hAnsi="宋体" w:cs="宋体"/>
          <w:kern w:val="0"/>
          <w:szCs w:val="21"/>
        </w:rPr>
      </w:pPr>
      <w:r>
        <w:rPr>
          <w:rFonts w:ascii="宋体" w:hAnsi="宋体" w:cs="宋体" w:hint="eastAsia"/>
          <w:kern w:val="0"/>
          <w:szCs w:val="21"/>
        </w:rPr>
        <w:t>2.2.6 日常维修保养更换、小修、零配件及耗材（包括光管、灯泡、镇流器、开关等）一次单项金额在200元以下（含200元）由乙方支付，维修材料单项200元以上材料费由甲方支付人工由乙方支付；</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3.1 给排水系统管理养护要求</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3.1 .1制定并严格落实供水、用水管理制度和给排水系统设备维修保养制度，加强对给排水系统范围内的设备设施包括管网、水泵、水箱、水池、化粪池、水井、阀门等的日常检查、保养、维修、清洁和清通工作，确保给排水系统24小时正常、安全运行；</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3.1.2 建立24小时维修值班制度，及时发现和排除故障，维修合格率100%；</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3.1.3 每季度对生活水池进行清洗消毒，按规定做好空调水的处理，确保生活饮用水符合国家规定的标准和要求；</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3.1.4 每季度对化粪池、污水沉淀池进行定期清理确保通畅；</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3.1.5 日常维修保养更换、小修及零配件一次单项金额在200元以下（含200元）由乙方支付，维修材料单项200元以上材料费由甲方支付人工由乙方支付。</w:t>
      </w:r>
    </w:p>
    <w:p>
      <w:pPr>
        <w:widowControl/>
        <w:spacing w:line="420" w:lineRule="exact"/>
        <w:jc w:val="left"/>
        <w:rPr>
          <w:rFonts w:ascii="宋体" w:hAnsi="宋体" w:cs="宋体"/>
          <w:kern w:val="0"/>
          <w:szCs w:val="21"/>
        </w:rPr>
      </w:pPr>
      <w:r>
        <w:rPr>
          <w:rFonts w:ascii="宋体" w:hAnsi="宋体" w:cs="宋体" w:hint="eastAsia"/>
          <w:kern w:val="0"/>
          <w:szCs w:val="21"/>
        </w:rPr>
        <w:t>4.1 空调系统（含分体空调）管理养护要求：</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4.1.1 制定并严格执行空调运行管理制度、安全操作规程和空调系统设备维修保养制度，定期对空调系统范围内的设备设施包括冷水机组、冷却塔、水泵、风机盘管、新风机柜、阀类、控制系统、水处理系统、分体空调机、中央空调运行智能控制系统等进行检查、检修和保养，确保空调系统安全运行、正常使用；</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4.1.2 建立24小时维修值班制度，及时发现和排除故障，维修合格率100%；</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4.1.3 建立空调设备档案，做好各项运行和维修保养记录；</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4.1.4 制定切实可行节能运行制度，有明显节能降耗成果；</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4.1.5空调为全包项目所有规范维修由乙方承担。</w:t>
      </w:r>
    </w:p>
    <w:p>
      <w:pPr>
        <w:widowControl/>
        <w:spacing w:line="420" w:lineRule="exact"/>
        <w:jc w:val="left"/>
        <w:rPr>
          <w:rFonts w:ascii="宋体" w:hAnsi="宋体" w:cs="宋体"/>
          <w:kern w:val="0"/>
          <w:szCs w:val="21"/>
        </w:rPr>
      </w:pPr>
      <w:r>
        <w:rPr>
          <w:rFonts w:ascii="宋体" w:hAnsi="宋体" w:cs="宋体" w:hint="eastAsia"/>
          <w:kern w:val="0"/>
          <w:szCs w:val="21"/>
        </w:rPr>
        <w:t>5.1 消防系统管理养护要求：</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5.1.1 制定并严格执行消防管理制度和消防系统设备维修保养制度，加强对消防系统范围内的设备设施包括控制中心、报警系统、应急广播和对讲电话、防排烟风机、气体灭火系统、消防栓及管网、消防泵、喷淋泵、喷淋管网、各类阀门、疏散指示牌等的日常检查、检测、检修和保养，确保设施设备完好率100%、整个系统可随时正常使用；</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5.1.2 及时发现并排除设施设备故障，维修合格率100%；</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5.1.3 落实区域消防安全责任人、义务消防人员，加强消防日常检查，制定突发性火灾等应急预案，设立消防疏散示意图，保证紧急疏散通道通畅，确保无消防安全隐患，火灾发生率为“0”；</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5.1.4 日常维修保养更换、小修及零配件一次单项金额在200元以下（含200元）由乙方支付，维修材料单项200元以上材料费由甲方支付人工由乙方支付。</w:t>
      </w:r>
    </w:p>
    <w:p>
      <w:pPr>
        <w:widowControl/>
        <w:spacing w:line="420" w:lineRule="exact"/>
        <w:jc w:val="left"/>
        <w:rPr>
          <w:rFonts w:ascii="宋体" w:hAnsi="宋体" w:cs="宋体"/>
          <w:kern w:val="0"/>
          <w:szCs w:val="21"/>
        </w:rPr>
      </w:pPr>
      <w:r>
        <w:rPr>
          <w:rFonts w:ascii="宋体" w:hAnsi="宋体" w:cs="宋体" w:hint="eastAsia"/>
          <w:kern w:val="0"/>
          <w:szCs w:val="21"/>
        </w:rPr>
        <w:t>6.1电梯系统管理养护要求：</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6.1.1 制定并严格执行电梯运行管理制度、安全操作规程和电梯系统设备维修保养制度，定时、定期对电梯系统各项设施设备进行检查、检测，确保设施设备完好率100%、整个系统安全、正常运行；</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6.1.2 设立24小时报修电话或对讲机值守制度，及时发现并排除设施设备故障，及时有效处理电梯事故，维修质量合格率100%；</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6.1.3 按时对电梯进行年度定期检验，办理安全运行证；</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6.1.4 做好各项运行和维修保养记录；</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6.1.5 制定切实可行节能运行管理措施，有明显节能降耗成果；</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6.1.6电梯为全包项目所有规范维修由乙方承担。</w:t>
      </w:r>
    </w:p>
    <w:p>
      <w:pPr>
        <w:widowControl/>
        <w:snapToGrid w:val="0"/>
        <w:spacing w:line="420" w:lineRule="exact"/>
        <w:jc w:val="left"/>
        <w:outlineLvl w:val="0"/>
        <w:rPr>
          <w:rFonts w:ascii="宋体" w:hAnsi="宋体" w:cs="宋体"/>
          <w:kern w:val="0"/>
          <w:szCs w:val="21"/>
        </w:rPr>
      </w:pPr>
      <w:r>
        <w:rPr>
          <w:rFonts w:ascii="宋体" w:hAnsi="宋体" w:cs="宋体" w:hint="eastAsia"/>
          <w:b/>
          <w:bCs/>
          <w:kern w:val="0"/>
          <w:szCs w:val="21"/>
        </w:rPr>
        <w:t>3、安全保卫管理服务</w:t>
      </w:r>
    </w:p>
    <w:p>
      <w:pPr>
        <w:widowControl/>
        <w:spacing w:line="420" w:lineRule="exact"/>
        <w:ind w:firstLine="482"/>
        <w:jc w:val="left"/>
        <w:rPr>
          <w:rFonts w:ascii="宋体" w:hAnsi="宋体" w:cs="宋体"/>
          <w:kern w:val="0"/>
          <w:szCs w:val="21"/>
        </w:rPr>
      </w:pPr>
      <w:r>
        <w:rPr>
          <w:rFonts w:ascii="宋体" w:hAnsi="宋体" w:cs="宋体" w:hint="eastAsia"/>
          <w:kern w:val="0"/>
          <w:szCs w:val="21"/>
        </w:rPr>
        <w:t>安全保卫管理服务的内容和要求包括：</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3.1 对大楼红线以内区域实行24小时保安监控管理，加强日常巡查，确保大楼及各项财产安全，保证良好的工作秩序，偷盗案件发生率为“0”；</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3.2 保安监控中心、门卫岗亭、大楼大堂实行24小时值班制度，按要求对进入大楼的车辆、人员进行登记，做好安全防范；</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3.3 采取针对性措施，加强对领导办公区域、交通应急指挥中心、保密室、设备机房、停车场等重点部位的安全防范；</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3.4 建立车辆出入登记检查制度，合理规划交通线路和停车区，指挥内部、外部车辆停放，保证内部车辆安全，维护良好交通秩序，责任内车辆丢失损坏率为“0”；</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3.5 负责大楼所有门窗、照明、公用电器设备等的开、关，及时发现和排除各种安全隐患；</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3.6 建立突发事件处理制度，制定各类应急处理预案，及时、有效处理自然灾害、传染疫情、刑事治安、交通事故、交通维稳等各类突发事件、事故；</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3.7 制定并落实保密管理制度，未经用户批准不得在办公区照相、录音和录像，不得泄露用户内部工作人员私人电话、车牌号等私人资料；</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3.8 负责上下班音乐播放、当天报刊信件分发、非经常性物品搬运等工作；</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3.9 配合实施交通系统紧急应急预案，有效处理其他突发事件；</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3.10 配合实施交通行业维稳和反恐防恐任务；</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3.11做好大型会议、活动的接待、安保工作。</w:t>
      </w:r>
    </w:p>
    <w:p>
      <w:pPr>
        <w:widowControl/>
        <w:snapToGrid w:val="0"/>
        <w:spacing w:line="420" w:lineRule="exact"/>
        <w:jc w:val="left"/>
        <w:outlineLvl w:val="0"/>
        <w:rPr>
          <w:rFonts w:ascii="宋体" w:hAnsi="宋体" w:cs="宋体"/>
          <w:kern w:val="0"/>
          <w:szCs w:val="21"/>
        </w:rPr>
      </w:pPr>
      <w:r>
        <w:rPr>
          <w:rFonts w:ascii="宋体" w:hAnsi="宋体" w:cs="宋体" w:hint="eastAsia"/>
          <w:b/>
          <w:bCs/>
          <w:kern w:val="0"/>
          <w:szCs w:val="21"/>
        </w:rPr>
        <w:t>4、清洁卫生服务</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4.1 清洁卫生服务范围：大楼所属环境地面、各种设施；大楼大堂及门口走廊、各层办公室、休息室、会议室、接待室、健身房等公共场所、走廊、卫生间、楼梯间地面及墙身、灯饰、空调风口、天花、门窗、消防栓、标识牌等公用设施设备；各部电梯；各层地下室等。</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4.2 清洁卫生服务要求：</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4.2.1 制定规范、完善的清洁卫生制度和计划，每天做好日常保洁服务，保持良好卫生环境，环境卫生达标率100%；</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4.2.2 定期使用专业药剂、设备和技术，对日常保洁工作无法顾及或有特殊要求的区域、设施设备包括设施、镜面、大理石地面等进行清洁、养护；</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4.2.3 按规定做好大楼“四害”消杀及防疫消毒工作，消杀达标率100%；</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4.2.4 负责及时更换卫生间厕纸和洗手液，费用由甲方负责；</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4.2.5 按要求每天清理生活垃圾并运送垃圾处理场；</w:t>
      </w:r>
    </w:p>
    <w:p>
      <w:pPr>
        <w:widowControl/>
        <w:spacing w:line="420" w:lineRule="exact"/>
        <w:ind w:left="735" w:hanging="420" w:leftChars="150" w:hangingChars="200"/>
        <w:jc w:val="left"/>
        <w:rPr>
          <w:rFonts w:ascii="宋体" w:hAnsi="宋体" w:cs="宋体"/>
          <w:kern w:val="0"/>
          <w:szCs w:val="21"/>
        </w:rPr>
      </w:pPr>
      <w:r>
        <w:rPr>
          <w:rFonts w:ascii="宋体" w:hAnsi="宋体" w:cs="宋体" w:hint="eastAsia"/>
          <w:kern w:val="0"/>
          <w:szCs w:val="21"/>
        </w:rPr>
        <w:t>4.2.6 建立废旧物品回收管理制度，及时收集并存储、保管有利用价值的废旧物品，定期交由甲方处理。</w:t>
      </w:r>
    </w:p>
    <w:p>
      <w:pPr>
        <w:widowControl/>
        <w:snapToGrid w:val="0"/>
        <w:spacing w:line="420" w:lineRule="exact"/>
        <w:jc w:val="left"/>
        <w:outlineLvl w:val="0"/>
        <w:rPr>
          <w:rFonts w:ascii="宋体" w:hAnsi="宋体" w:cs="宋体"/>
          <w:kern w:val="0"/>
          <w:szCs w:val="21"/>
        </w:rPr>
      </w:pPr>
      <w:r>
        <w:rPr>
          <w:rFonts w:ascii="宋体" w:hAnsi="宋体" w:cs="宋体" w:hint="eastAsia"/>
          <w:b/>
          <w:bCs/>
          <w:kern w:val="0"/>
          <w:szCs w:val="21"/>
        </w:rPr>
        <w:t>5、绿化摆花服务</w:t>
      </w:r>
    </w:p>
    <w:p>
      <w:pPr>
        <w:adjustRightInd w:val="0"/>
        <w:snapToGrid w:val="0"/>
        <w:spacing w:line="420" w:lineRule="exact"/>
        <w:outlineLvl w:val="0"/>
        <w:rPr>
          <w:rFonts w:ascii="宋体" w:hAnsi="宋体" w:cs="宋体"/>
          <w:kern w:val="0"/>
          <w:szCs w:val="21"/>
        </w:rPr>
      </w:pPr>
      <w:r>
        <w:rPr>
          <w:rFonts w:ascii="宋体" w:hAnsi="宋体" w:cs="宋体" w:hint="eastAsia"/>
          <w:kern w:val="0"/>
          <w:szCs w:val="21"/>
        </w:rPr>
        <w:t>5.1养护要求：对大楼围墙及天台绿地所有种植的绿植更换养护。</w:t>
      </w:r>
    </w:p>
    <w:p>
      <w:pPr>
        <w:adjustRightInd w:val="0"/>
        <w:snapToGrid w:val="0"/>
        <w:spacing w:line="420" w:lineRule="exact"/>
        <w:outlineLvl w:val="0"/>
        <w:rPr>
          <w:rFonts w:ascii="宋体" w:hAnsi="宋体" w:cs="宋体"/>
          <w:b/>
          <w:bCs/>
          <w:kern w:val="0"/>
          <w:szCs w:val="21"/>
        </w:rPr>
      </w:pPr>
      <w:r>
        <w:rPr>
          <w:rFonts w:ascii="宋体" w:hAnsi="宋体" w:cs="宋体" w:hint="eastAsia"/>
          <w:b/>
          <w:bCs/>
          <w:kern w:val="0"/>
          <w:szCs w:val="21"/>
        </w:rPr>
        <w:t>6、外墙清洗</w:t>
      </w:r>
    </w:p>
    <w:p>
      <w:pPr>
        <w:widowControl/>
        <w:spacing w:line="420" w:lineRule="exact"/>
        <w:ind w:left="17" w:firstLine="420" w:leftChars="8" w:firstLineChars="200"/>
        <w:jc w:val="left"/>
        <w:rPr>
          <w:rFonts w:ascii="宋体" w:hAnsi="宋体" w:cs="宋体"/>
          <w:kern w:val="0"/>
          <w:szCs w:val="21"/>
        </w:rPr>
      </w:pPr>
      <w:r>
        <w:rPr>
          <w:rFonts w:ascii="宋体" w:hAnsi="宋体" w:cs="宋体" w:hint="eastAsia"/>
          <w:kern w:val="0"/>
          <w:szCs w:val="21"/>
        </w:rPr>
        <w:t>外墙每年整体清洗两次，用三相高压机清洗，清洗高空作业员必须系主绳和附绳双保险操作，严禁用酸性药剂清洗。</w:t>
      </w:r>
    </w:p>
    <w:p>
      <w:pPr>
        <w:widowControl/>
        <w:snapToGrid w:val="0"/>
        <w:spacing w:line="420" w:lineRule="exact"/>
        <w:jc w:val="left"/>
        <w:outlineLvl w:val="0"/>
        <w:rPr>
          <w:rFonts w:ascii="宋体" w:hAnsi="宋体" w:cs="宋体"/>
          <w:kern w:val="0"/>
          <w:szCs w:val="21"/>
        </w:rPr>
      </w:pPr>
      <w:r>
        <w:rPr>
          <w:rFonts w:ascii="宋体" w:hAnsi="宋体" w:cs="宋体" w:hint="eastAsia"/>
          <w:b/>
          <w:bCs/>
          <w:kern w:val="0"/>
          <w:szCs w:val="21"/>
        </w:rPr>
        <w:t>7、会议室、理疗室、档案室、文体中心、多功能厅等公共场所管理</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7.1 做好相关后勤服务；</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7.2 做好各项会议活动的相关准备工作；</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7.3 进行日常清洁卫生工作；</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7.4 及时对麦克风、健身器材、康复器材等作消毒处理；</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7.5 会议活动结束后及时清理现场，做好清洁卫生，关闭好以上场所。</w:t>
      </w:r>
    </w:p>
    <w:p>
      <w:pPr>
        <w:widowControl/>
        <w:numPr>
          <w:ilvl w:val="0"/>
          <w:numId w:val="9"/>
        </w:numPr>
        <w:snapToGrid w:val="0"/>
        <w:spacing w:line="420" w:lineRule="exact"/>
        <w:jc w:val="left"/>
        <w:outlineLvl w:val="0"/>
        <w:rPr>
          <w:rFonts w:ascii="宋体" w:hAnsi="宋体" w:cs="宋体"/>
          <w:b/>
          <w:bCs/>
          <w:kern w:val="0"/>
          <w:szCs w:val="21"/>
        </w:rPr>
      </w:pPr>
      <w:r>
        <w:rPr>
          <w:rFonts w:ascii="宋体" w:hAnsi="宋体" w:cs="宋体" w:hint="eastAsia"/>
          <w:b/>
          <w:bCs/>
          <w:kern w:val="0"/>
          <w:szCs w:val="21"/>
        </w:rPr>
        <w:t>会议服务</w:t>
      </w:r>
    </w:p>
    <w:p>
      <w:pPr>
        <w:widowControl/>
        <w:snapToGrid w:val="0"/>
        <w:spacing w:line="420" w:lineRule="exact"/>
        <w:ind w:firstLine="105" w:firstLineChars="50"/>
        <w:jc w:val="left"/>
        <w:outlineLvl w:val="0"/>
        <w:rPr>
          <w:rFonts w:ascii="宋体" w:hAnsi="宋体" w:cs="宋体"/>
          <w:kern w:val="0"/>
          <w:szCs w:val="21"/>
        </w:rPr>
      </w:pPr>
      <w:r>
        <w:rPr>
          <w:rFonts w:ascii="宋体" w:hAnsi="宋体" w:cs="宋体" w:hint="eastAsia"/>
          <w:kern w:val="0"/>
          <w:szCs w:val="21"/>
        </w:rPr>
        <w:t>8.1 会议服务范围：甲方在大楼内召开或举行的各类会议、典礼、仪式、比赛等。</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8.2 会议服务内容与要求：按照会议活动的具体内容和甲方要求，做好会前准备、会中服务、会后整理等各项会务服务工作，确保会议顺利进行，保证会议环境安全、舒适。</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8.3需配备大型彩色打印机一台、小型彩色打印机一台、配备工作用电脑五台。</w:t>
      </w:r>
    </w:p>
    <w:p>
      <w:pPr>
        <w:widowControl/>
        <w:spacing w:line="420" w:lineRule="exact"/>
        <w:jc w:val="left"/>
        <w:outlineLvl w:val="0"/>
        <w:rPr>
          <w:rFonts w:ascii="宋体" w:hAnsi="宋体" w:cs="宋体"/>
          <w:b/>
          <w:bCs/>
          <w:kern w:val="0"/>
          <w:szCs w:val="21"/>
        </w:rPr>
      </w:pPr>
      <w:r>
        <w:rPr>
          <w:rFonts w:ascii="宋体" w:hAnsi="宋体" w:cs="宋体" w:hint="eastAsia"/>
          <w:b/>
          <w:bCs/>
          <w:kern w:val="0"/>
          <w:szCs w:val="21"/>
        </w:rPr>
        <w:t>9、理疗室、档案室、文体中心、多功能厅等公共场所服务内容</w:t>
      </w:r>
    </w:p>
    <w:p>
      <w:pPr>
        <w:widowControl/>
        <w:spacing w:line="420" w:lineRule="exact"/>
        <w:jc w:val="left"/>
        <w:rPr>
          <w:rFonts w:ascii="宋体" w:hAnsi="宋体" w:cs="宋体"/>
          <w:bCs/>
          <w:kern w:val="0"/>
          <w:szCs w:val="21"/>
        </w:rPr>
      </w:pPr>
      <w:r>
        <w:rPr>
          <w:rFonts w:ascii="宋体" w:hAnsi="宋体" w:cs="宋体" w:hint="eastAsia"/>
          <w:kern w:val="0"/>
          <w:szCs w:val="21"/>
        </w:rPr>
        <w:t xml:space="preserve"> 9.</w:t>
      </w:r>
      <w:r>
        <w:rPr>
          <w:rFonts w:ascii="宋体" w:hAnsi="宋体" w:cs="宋体" w:hint="eastAsia"/>
          <w:bCs/>
          <w:kern w:val="0"/>
          <w:szCs w:val="21"/>
        </w:rPr>
        <w:t>1 公共场所服务范围：按照甲方要求开放时间保证各项需求服务的提供。</w:t>
      </w:r>
    </w:p>
    <w:p>
      <w:pPr>
        <w:widowControl/>
        <w:spacing w:line="420" w:lineRule="exact"/>
        <w:jc w:val="left"/>
        <w:rPr>
          <w:rFonts w:ascii="宋体" w:hAnsi="宋体" w:cs="宋体"/>
          <w:kern w:val="0"/>
          <w:szCs w:val="21"/>
        </w:rPr>
      </w:pPr>
      <w:r>
        <w:rPr>
          <w:rFonts w:ascii="宋体" w:hAnsi="宋体" w:cs="宋体" w:hint="eastAsia"/>
          <w:bCs/>
          <w:kern w:val="0"/>
          <w:szCs w:val="21"/>
        </w:rPr>
        <w:t xml:space="preserve"> </w:t>
      </w:r>
      <w:r>
        <w:rPr>
          <w:rFonts w:ascii="宋体" w:hAnsi="宋体" w:cs="宋体" w:hint="eastAsia"/>
          <w:kern w:val="0"/>
          <w:szCs w:val="21"/>
        </w:rPr>
        <w:t>9.</w:t>
      </w:r>
      <w:r>
        <w:rPr>
          <w:rFonts w:ascii="宋体" w:hAnsi="宋体" w:cs="宋体" w:hint="eastAsia"/>
          <w:bCs/>
          <w:kern w:val="0"/>
          <w:szCs w:val="21"/>
        </w:rPr>
        <w:t>2 公共场所服务</w:t>
      </w:r>
      <w:r>
        <w:rPr>
          <w:rFonts w:ascii="宋体" w:hAnsi="宋体" w:cs="宋体" w:hint="eastAsia"/>
          <w:kern w:val="0"/>
          <w:szCs w:val="21"/>
        </w:rPr>
        <w:t>内容与要求：按照公关场所活动的具体内容和甲方要求，做好公关场所使用前准备、使用中提供相关服务、使用结束后整理好各项服务设备，确保公共场所环境安全、舒适。</w:t>
      </w:r>
    </w:p>
    <w:p>
      <w:pPr>
        <w:widowControl/>
        <w:spacing w:line="420" w:lineRule="exact"/>
        <w:jc w:val="left"/>
        <w:rPr>
          <w:rFonts w:ascii="宋体" w:hAnsi="宋体" w:cs="宋体"/>
          <w:kern w:val="0"/>
          <w:szCs w:val="21"/>
        </w:rPr>
      </w:pPr>
      <w:r>
        <w:rPr>
          <w:rFonts w:ascii="宋体" w:hAnsi="宋体" w:cs="宋体" w:hint="eastAsia"/>
          <w:kern w:val="0"/>
          <w:szCs w:val="21"/>
        </w:rPr>
        <w:t>9.3  严格遵守甲方相关规章制度。</w:t>
      </w:r>
    </w:p>
    <w:p>
      <w:pPr>
        <w:widowControl/>
        <w:snapToGrid w:val="0"/>
        <w:spacing w:line="420" w:lineRule="exact"/>
        <w:jc w:val="left"/>
        <w:outlineLvl w:val="0"/>
        <w:rPr>
          <w:rFonts w:ascii="宋体" w:hAnsi="宋体" w:cs="宋体"/>
          <w:color w:val="0D0D0D"/>
          <w:kern w:val="0"/>
          <w:szCs w:val="21"/>
        </w:rPr>
      </w:pPr>
      <w:r>
        <w:rPr>
          <w:rFonts w:ascii="宋体" w:hAnsi="宋体" w:cs="宋体" w:hint="eastAsia"/>
          <w:b/>
          <w:bCs/>
          <w:color w:val="0D0D0D"/>
          <w:kern w:val="0"/>
          <w:szCs w:val="21"/>
        </w:rPr>
        <w:t xml:space="preserve">10、其它服务事项 </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 xml:space="preserve">10.1 重大活动无偿提供协助及服务； </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 xml:space="preserve">10.2 邮件、报刊的收发； </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 xml:space="preserve">10.3 无偿提供搬运小型家具、办公用品等其它零星搬运工作； </w:t>
      </w:r>
    </w:p>
    <w:p>
      <w:pPr>
        <w:widowControl/>
        <w:spacing w:line="420" w:lineRule="exact"/>
        <w:ind w:left="420" w:hanging="315" w:leftChars="50" w:hangingChars="150"/>
        <w:jc w:val="left"/>
        <w:rPr>
          <w:rFonts w:ascii="宋体" w:hAnsi="宋体" w:cs="宋体"/>
          <w:kern w:val="0"/>
          <w:szCs w:val="21"/>
        </w:rPr>
      </w:pPr>
      <w:r>
        <w:rPr>
          <w:rFonts w:ascii="宋体" w:hAnsi="宋体" w:cs="宋体" w:hint="eastAsia"/>
          <w:kern w:val="0"/>
          <w:szCs w:val="21"/>
        </w:rPr>
        <w:t>10.4 采购单位无偿提供物业管理公司30平方办公场所。</w:t>
      </w:r>
    </w:p>
    <w:p>
      <w:pPr>
        <w:rPr>
          <w:b/>
          <w:sz w:val="24"/>
        </w:rPr>
      </w:pPr>
    </w:p>
    <w:p>
      <w:pPr>
        <w:rPr>
          <w:b/>
          <w:sz w:val="24"/>
        </w:rPr>
      </w:pPr>
    </w:p>
    <w:p>
      <w:pPr>
        <w:rPr>
          <w:b/>
          <w:sz w:val="24"/>
        </w:rPr>
      </w:pPr>
    </w:p>
    <w:p>
      <w:pPr>
        <w:pStyle w:val="Heading2"/>
        <w:spacing w:before="120" w:beforeLines="50" w:after="120" w:afterLines="50"/>
      </w:pPr>
      <w:r>
        <w:rPr>
          <w:rFonts w:hint="eastAsia"/>
          <w:szCs w:val="24"/>
        </w:rPr>
        <w:t>六、商务要求</w:t>
      </w:r>
    </w:p>
    <w:p>
      <w:pPr>
        <w:widowControl/>
        <w:jc w:val="left"/>
        <w:rPr>
          <w:rFonts w:ascii="宋体" w:hAnsi="宋体" w:eastAsiaTheme="majorEastAsia" w:cs="宋体"/>
          <w:kern w:val="0"/>
          <w:szCs w:val="21"/>
        </w:rPr>
      </w:pPr>
      <w:r>
        <w:rPr>
          <w:rFonts w:hint="eastAsia"/>
        </w:rPr>
        <w:t>1、</w:t>
      </w:r>
      <w:r>
        <w:rPr>
          <w:rFonts w:ascii="宋体" w:hAnsi="宋体" w:cs="宋体" w:hint="eastAsia"/>
          <w:kern w:val="0"/>
          <w:szCs w:val="21"/>
        </w:rPr>
        <w:t>履约时间：</w:t>
      </w:r>
      <w:r>
        <w:rPr>
          <w:rFonts w:asciiTheme="majorEastAsia" w:eastAsiaTheme="majorEastAsia" w:hAnsiTheme="majorEastAsia" w:cstheme="majorEastAsia" w:hint="eastAsia"/>
        </w:rPr>
        <w:t>本项目合同期限为一年，具体以合同签订日期为准。</w:t>
      </w:r>
    </w:p>
    <w:p>
      <w:pPr>
        <w:widowControl/>
        <w:spacing w:line="420" w:lineRule="exact"/>
        <w:jc w:val="left"/>
        <w:rPr>
          <w:rFonts w:ascii="宋体" w:hAnsi="宋体" w:cs="宋体"/>
          <w:kern w:val="0"/>
          <w:szCs w:val="21"/>
        </w:rPr>
      </w:pPr>
      <w:r>
        <w:rPr>
          <w:rFonts w:ascii="宋体" w:hAnsi="宋体" w:cs="宋体" w:hint="eastAsia"/>
          <w:kern w:val="0"/>
          <w:szCs w:val="21"/>
        </w:rPr>
        <w:t>2、服务地点：深圳市福田区梅林路2号深圳市残疾人综合服务大楼</w:t>
      </w:r>
    </w:p>
    <w:p>
      <w:pPr>
        <w:widowControl/>
        <w:spacing w:line="420" w:lineRule="exact"/>
        <w:jc w:val="left"/>
        <w:rPr>
          <w:rFonts w:ascii="宋体" w:hAnsi="宋体" w:cs="宋体"/>
          <w:kern w:val="0"/>
          <w:szCs w:val="21"/>
        </w:rPr>
      </w:pPr>
      <w:r>
        <w:rPr>
          <w:rFonts w:ascii="宋体" w:hAnsi="宋体" w:cs="宋体" w:hint="eastAsia"/>
          <w:kern w:val="0"/>
          <w:szCs w:val="21"/>
        </w:rPr>
        <w:t>3、合同方式：本项目按一年总价计签订合同。按月包干单价不做调整；</w:t>
      </w:r>
      <w:r>
        <w:rPr>
          <w:rStyle w:val="CommentReference"/>
          <w:rFonts w:ascii="宋体" w:hint="eastAsia"/>
          <w:kern w:val="0"/>
        </w:rPr>
        <w:t>该项目为长期服务项目，合同期满可以续签，但合同履行期限最长不超过三十六个月，如甲方对履约情况不满意，甲方不再续约。</w:t>
      </w:r>
    </w:p>
    <w:p>
      <w:pPr>
        <w:widowControl/>
        <w:spacing w:line="420" w:lineRule="exact"/>
        <w:jc w:val="left"/>
        <w:rPr>
          <w:rFonts w:ascii="宋体" w:hAnsi="宋体" w:cs="宋体"/>
          <w:kern w:val="0"/>
          <w:szCs w:val="21"/>
        </w:rPr>
      </w:pPr>
      <w:r>
        <w:rPr>
          <w:rFonts w:ascii="宋体" w:hAnsi="宋体" w:cs="宋体" w:hint="eastAsia"/>
          <w:kern w:val="0"/>
          <w:szCs w:val="21"/>
        </w:rPr>
        <w:t>4、付款方式：按月结算每月15日为上月管理服务费结算日，凭承包方完税发票，由甲方签署付款凭证,办理付款手续。</w:t>
      </w:r>
    </w:p>
    <w:p>
      <w:pPr>
        <w:pStyle w:val="TOC2"/>
        <w:ind w:left="0"/>
      </w:pPr>
      <w:r>
        <w:rPr>
          <w:rFonts w:ascii="宋体" w:hAnsi="宋体" w:cs="宋体" w:hint="eastAsia"/>
          <w:kern w:val="0"/>
          <w:szCs w:val="21"/>
        </w:rPr>
        <w:t>5、验收方式：按照采购方招标文件要求进行验收。</w:t>
      </w:r>
    </w:p>
    <w:p>
      <w:pPr>
        <w:widowControl/>
        <w:spacing w:line="420" w:lineRule="exact"/>
        <w:jc w:val="left"/>
        <w:rPr>
          <w:rFonts w:ascii="宋体" w:hAnsi="宋体" w:cs="宋体"/>
          <w:kern w:val="0"/>
          <w:szCs w:val="21"/>
        </w:rPr>
      </w:pPr>
      <w:r>
        <w:rPr>
          <w:rFonts w:ascii="宋体" w:hAnsi="宋体" w:cs="宋体" w:hint="eastAsia"/>
          <w:kern w:val="0"/>
          <w:szCs w:val="21"/>
        </w:rPr>
        <w:t>6、违约责任：</w:t>
      </w:r>
    </w:p>
    <w:p>
      <w:pPr>
        <w:widowControl/>
        <w:spacing w:line="420" w:lineRule="exact"/>
        <w:jc w:val="left"/>
        <w:rPr>
          <w:rFonts w:ascii="宋体" w:hAnsi="宋体" w:cs="宋体"/>
          <w:kern w:val="0"/>
          <w:szCs w:val="21"/>
        </w:rPr>
      </w:pPr>
      <w:r>
        <w:rPr>
          <w:rFonts w:ascii="宋体" w:hAnsi="宋体" w:cs="宋体" w:hint="eastAsia"/>
          <w:kern w:val="0"/>
          <w:szCs w:val="21"/>
        </w:rPr>
        <w:t>（1）、如因甲方原因，造成乙方未完成规定管理目标的，甲方不得追究乙方该部分责任，若因此造成乙方经济损失的，甲方应给予乙方中标价10%相应补偿。</w:t>
      </w:r>
    </w:p>
    <w:p>
      <w:pPr>
        <w:widowControl/>
        <w:spacing w:line="420" w:lineRule="exact"/>
        <w:rPr>
          <w:rFonts w:ascii="宋体" w:hAnsi="宋体" w:cs="宋体"/>
          <w:kern w:val="0"/>
          <w:szCs w:val="21"/>
        </w:rPr>
      </w:pPr>
      <w:r>
        <w:rPr>
          <w:rFonts w:ascii="宋体" w:hAnsi="宋体" w:cs="宋体" w:hint="eastAsia"/>
          <w:kern w:val="0"/>
          <w:szCs w:val="21"/>
        </w:rPr>
        <w:t>（2）、如因乙方原因，造成不能完成管理目标或直接造成甲方经济损失的，乙方应给予甲方中标价10%相应补偿。</w:t>
      </w:r>
    </w:p>
    <w:p>
      <w:pPr>
        <w:widowControl/>
        <w:spacing w:line="420" w:lineRule="exact"/>
        <w:jc w:val="left"/>
        <w:rPr>
          <w:rFonts w:ascii="宋体" w:hAnsi="宋体" w:cs="宋体"/>
          <w:kern w:val="0"/>
          <w:szCs w:val="21"/>
        </w:rPr>
      </w:pPr>
      <w:r>
        <w:rPr>
          <w:rFonts w:ascii="宋体" w:hAnsi="宋体" w:cs="宋体" w:hint="eastAsia"/>
          <w:kern w:val="0"/>
          <w:szCs w:val="21"/>
        </w:rPr>
        <w:t>7、争议解决方法：本合同在履行中如发生争议，双方应协商解决，协商不成时，提请物业管理主管部门调解，调解不成的，双方均有权向深圳市福田区人民法院提起诉讼。</w:t>
      </w:r>
    </w:p>
    <w:p>
      <w:pPr>
        <w:ind w:firstLine="420" w:firstLineChars="200"/>
        <w:rPr>
          <w:rFonts w:asciiTheme="minorEastAsia" w:eastAsiaTheme="minorEastAsia" w:hAnsiTheme="minorEastAsia" w:cs="仿宋_GB2312"/>
          <w:szCs w:val="21"/>
        </w:rPr>
      </w:pPr>
      <w:bookmarkStart w:id="34" w:name="_Hlk72167863"/>
    </w:p>
    <w:p>
      <w:bookmarkEnd w:id="34"/>
    </w:p>
    <w:p>
      <w:pPr>
        <w:pStyle w:val="Heading2"/>
        <w:spacing w:before="120" w:beforeLines="50" w:after="120" w:afterLines="50"/>
        <w:rPr>
          <w:szCs w:val="24"/>
        </w:rPr>
      </w:pPr>
      <w:r>
        <w:rPr>
          <w:rFonts w:hint="eastAsia"/>
          <w:szCs w:val="24"/>
        </w:rPr>
        <w:t>七、其他重要条款</w:t>
      </w:r>
    </w:p>
    <w:p>
      <w:pPr>
        <w:ind w:firstLine="420" w:firstLineChars="200"/>
        <w:rPr>
          <w:bCs/>
          <w:szCs w:val="21"/>
        </w:rPr>
      </w:pPr>
      <w:bookmarkStart w:id="35" w:name="_Hlk72257111"/>
      <w:r>
        <w:rPr>
          <w:rFonts w:hint="eastAsia"/>
          <w:bCs/>
          <w:szCs w:val="21"/>
        </w:rPr>
        <w:t>1、本项目投标报价采用包干制，应包括成本、法定税费和相应的利润，应涵盖本项目招标范围和招标文件所列的各项内容中所述的全部。由投标人根据招标需求自行测算投标报价；一经中标，投标报价即作为中标单位与采购人签订的合同金额。</w:t>
      </w:r>
    </w:p>
    <w:p>
      <w:pPr>
        <w:pStyle w:val="NormalIndent"/>
        <w:spacing w:before="60" w:beforeLines="25" w:after="60" w:afterLines="25"/>
        <w:ind w:firstLine="393" w:firstLineChars="187"/>
        <w:rPr>
          <w:rFonts w:ascii="宋体" w:hAnsi="宋体"/>
          <w:szCs w:val="21"/>
        </w:rPr>
      </w:pPr>
      <w:r>
        <w:rPr>
          <w:bCs/>
          <w:szCs w:val="21"/>
        </w:rPr>
        <w:t>2</w:t>
      </w:r>
      <w:r>
        <w:rPr>
          <w:rFonts w:hint="eastAsia"/>
          <w:bCs/>
          <w:szCs w:val="21"/>
        </w:rPr>
        <w:t>、投标人应充分了解项目的位置、情况、道路及任何其它足以影响投标报价的情况，任何因忽视或误解项目情况而导致的索赔或服务期限延长申请将不获批准。</w:t>
      </w:r>
    </w:p>
    <w:p>
      <w:pPr>
        <w:ind w:firstLine="420" w:firstLineChars="200"/>
        <w:rPr>
          <w:bCs/>
          <w:szCs w:val="21"/>
        </w:rPr>
      </w:pPr>
      <w:r>
        <w:rPr>
          <w:bCs/>
          <w:szCs w:val="21"/>
        </w:rPr>
        <w:t>3</w:t>
      </w:r>
      <w:r>
        <w:rPr>
          <w:rFonts w:hint="eastAsia"/>
          <w:bCs/>
          <w:szCs w:val="21"/>
        </w:rPr>
        <w:t>、投标人不得期望通过索赔等方式获取补偿，否则，除可能遭到拒绝外，还可能将被作为不良行为记录在案，并可能影响其以后参加政府采购的项目投标。各投标人在投标报价时，应充分考虑投标报价的风险。</w:t>
      </w:r>
    </w:p>
    <w:p>
      <w:pPr>
        <w:ind w:firstLine="420" w:firstLineChars="200"/>
        <w:rPr>
          <w:bCs/>
          <w:szCs w:val="21"/>
        </w:rPr>
      </w:pPr>
      <w:r>
        <w:rPr>
          <w:bCs/>
          <w:szCs w:val="21"/>
        </w:rPr>
        <w:t>4</w:t>
      </w:r>
      <w:r>
        <w:rPr>
          <w:rFonts w:hint="eastAsia"/>
          <w:bCs/>
          <w:szCs w:val="21"/>
        </w:rPr>
        <w:t>、鼓励采购人积极运用公共信用信息，明确对信用记录良好的供应商（特别是中小微企业）免收履约保证金，确需收取履约保证金的，列明通过保函等非现金方式收取。在采购合同中明确对上述企业加大首付款或预付款比例，具体由采购人根据项目实际情况确定。</w:t>
      </w:r>
    </w:p>
    <w:p>
      <w:pPr>
        <w:widowControl/>
        <w:ind w:firstLine="420" w:firstLineChars="200"/>
        <w:jc w:val="left"/>
        <w:rPr>
          <w:rFonts w:ascii="宋体" w:hAnsi="宋体"/>
          <w:b/>
          <w:bCs/>
          <w:sz w:val="24"/>
          <w:szCs w:val="20"/>
        </w:rPr>
      </w:pPr>
      <w:r>
        <w:rPr>
          <w:bCs/>
          <w:szCs w:val="21"/>
        </w:rPr>
        <w:t>5</w:t>
      </w:r>
      <w:r>
        <w:rPr>
          <w:rFonts w:hint="eastAsia"/>
          <w:bCs/>
          <w:szCs w:val="21"/>
        </w:rPr>
        <w:t>、除政府采购合同继续履行将损害国家利益和社会公共利益外，双方当事人不得擅自变更、中止或者终止合同。</w:t>
      </w:r>
      <w:bookmarkEnd w:id="35"/>
      <w:r>
        <w:br w:type="page"/>
      </w:r>
    </w:p>
    <w:p>
      <w:pPr>
        <w:pStyle w:val="Heading2"/>
        <w:rPr>
          <w:kern w:val="2"/>
        </w:rPr>
      </w:pPr>
      <w:r>
        <w:rPr>
          <w:rFonts w:hint="eastAsia"/>
          <w:kern w:val="2"/>
        </w:rPr>
        <w:t>第四章 投标文件组成要求及格式</w:t>
      </w:r>
    </w:p>
    <w:p>
      <w:pPr>
        <w:rPr>
          <w:rStyle w:val="3Char"/>
          <w:sz w:val="24"/>
        </w:rPr>
      </w:pPr>
      <w:r>
        <w:rPr>
          <w:rStyle w:val="3Char"/>
          <w:rFonts w:hint="eastAsia"/>
          <w:sz w:val="24"/>
        </w:rPr>
        <w:t>特别提醒：</w:t>
      </w:r>
    </w:p>
    <w:p>
      <w:pPr>
        <w:ind w:firstLine="420" w:firstLineChars="200"/>
        <w:rPr>
          <w:rFonts w:ascii="仿宋_GB2312" w:eastAsia="仿宋_GB2312"/>
          <w:sz w:val="24"/>
        </w:rPr>
      </w:pPr>
      <w:r>
        <w:rPr>
          <w:rFonts w:ascii="仿宋_GB2312" w:eastAsia="仿宋_GB2312" w:hint="eastAsia"/>
          <w:sz w:val="24"/>
        </w:rPr>
        <w:t>投标文件正文将对外公开，投标文件附件不公开。投标人在编辑投标文件时，在投标文件目录中属于本节点内容的必须在本节点中填写，填写到其他节点或附件的将可能导致投标无效，一切后果由供应商自行承担。</w:t>
      </w:r>
    </w:p>
    <w:p>
      <w:pPr>
        <w:rPr>
          <w:rFonts w:ascii="仿宋_GB2312" w:eastAsia="仿宋_GB2312"/>
          <w:sz w:val="24"/>
        </w:rPr>
      </w:pPr>
      <w:r>
        <w:rPr>
          <w:rFonts w:ascii="仿宋_GB2312" w:eastAsia="仿宋_GB2312" w:hint="eastAsia"/>
          <w:sz w:val="24"/>
        </w:rPr>
        <w:t xml:space="preserve">    投标文件正文（信息公开部分）必须编制于“投标书目录”部分，投标文件附件（非信息公开部分）必须编制于“投标书附件”部分，如下图所示。</w:t>
      </w:r>
    </w:p>
    <w:p>
      <w:pPr>
        <w:widowControl/>
        <w:jc w:val="left"/>
        <w:rPr>
          <w:rFonts w:ascii="宋体" w:hAnsi="宋体" w:cs="宋体"/>
          <w:kern w:val="0"/>
          <w:sz w:val="24"/>
        </w:rPr>
      </w:pPr>
      <w:r>
        <w:rPr>
          <w:rFonts w:ascii="仿宋_GB2312" w:eastAsia="仿宋_GB2312"/>
          <w:sz w:val="24"/>
        </w:rPr>
        <w:drawing>
          <wp:inline distT="0" distB="0" distL="0" distR="0">
            <wp:extent cx="5278755" cy="4126230"/>
            <wp:effectExtent l="0" t="0" r="0" b="0"/>
            <wp:docPr id="6" name="图片 6"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形用户界面, 应用程序&#10;&#10;描述已自动生成"/>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5278755" cy="4126230"/>
                    </a:xfrm>
                    <a:prstGeom prst="rect">
                      <a:avLst/>
                    </a:prstGeom>
                    <a:noFill/>
                    <a:ln>
                      <a:noFill/>
                    </a:ln>
                  </pic:spPr>
                </pic:pic>
              </a:graphicData>
            </a:graphic>
          </wp:inline>
        </w:drawing>
      </w:r>
    </w:p>
    <w:p>
      <w:pPr>
        <w:rPr>
          <w:rFonts w:ascii="仿宋_GB2312" w:eastAsia="仿宋_GB2312"/>
          <w:sz w:val="24"/>
        </w:rPr>
      </w:pPr>
    </w:p>
    <w:p>
      <w:pPr>
        <w:jc w:val="center"/>
        <w:rPr>
          <w:rFonts w:ascii="仿宋_GB2312" w:eastAsia="仿宋_GB2312"/>
          <w:sz w:val="24"/>
        </w:rPr>
      </w:pPr>
    </w:p>
    <w:p>
      <w:pPr>
        <w:ind w:firstLine="420" w:firstLineChars="200"/>
        <w:rPr>
          <w:rFonts w:ascii="仿宋_GB2312" w:eastAsia="仿宋_GB2312"/>
          <w:sz w:val="24"/>
        </w:rPr>
      </w:pPr>
      <w:bookmarkStart w:id="36" w:name="_Hlk72257167"/>
      <w:r>
        <w:rPr>
          <w:rFonts w:ascii="仿宋_GB2312" w:eastAsia="仿宋_GB2312" w:hint="eastAsia"/>
          <w:sz w:val="24"/>
        </w:rPr>
        <w:t>政府集中采购机构公布投标文件正文（信息公开部分）时为计算机截取信息自动公布，</w:t>
      </w:r>
      <w:r>
        <w:rPr>
          <w:rFonts w:ascii="仿宋_GB2312" w:eastAsia="仿宋_GB2312" w:hint="eastAsia"/>
          <w:b/>
          <w:bCs/>
          <w:sz w:val="24"/>
        </w:rPr>
        <w:t>如投标人误将涉及个人隐私的信息放入投标文件正文，相关后果由投标人自负；</w:t>
      </w:r>
      <w:r>
        <w:rPr>
          <w:rFonts w:ascii="仿宋_GB2312" w:eastAsia="仿宋_GB2312" w:hint="eastAsia"/>
          <w:sz w:val="24"/>
        </w:rPr>
        <w:t>如投标人将必须放于投标文件正文（信息公开部分）的内容放入投标文件附件（非信息公开部分），将作投标无效处理。</w:t>
      </w:r>
    </w:p>
    <w:p>
      <w:pPr>
        <w:ind w:firstLine="420" w:firstLineChars="200"/>
        <w:rPr>
          <w:rFonts w:ascii="仿宋_GB2312" w:eastAsia="仿宋_GB2312"/>
          <w:sz w:val="24"/>
        </w:rPr>
      </w:pPr>
      <w:bookmarkEnd w:id="36"/>
    </w:p>
    <w:p>
      <w:pPr>
        <w:ind w:firstLine="420" w:firstLineChars="200"/>
        <w:rPr>
          <w:rFonts w:ascii="宋体" w:hAnsi="宋体"/>
          <w:b/>
          <w:sz w:val="24"/>
        </w:rPr>
      </w:pPr>
    </w:p>
    <w:p>
      <w:pPr>
        <w:widowControl/>
        <w:jc w:val="left"/>
        <w:rPr>
          <w:rFonts w:ascii="宋体" w:hAnsi="宋体"/>
          <w:sz w:val="24"/>
        </w:rPr>
      </w:pPr>
      <w:r>
        <w:rPr>
          <w:rFonts w:ascii="宋体" w:hAnsi="宋体"/>
          <w:sz w:val="24"/>
        </w:rPr>
        <w:br w:type="page"/>
      </w:r>
    </w:p>
    <w:p>
      <w:pPr>
        <w:rPr>
          <w:rFonts w:ascii="宋体" w:hAnsi="宋体"/>
          <w:sz w:val="24"/>
        </w:rPr>
      </w:pPr>
      <w:r>
        <w:rPr>
          <w:rFonts w:ascii="宋体" w:hAnsi="宋体" w:hint="eastAsia"/>
          <w:sz w:val="24"/>
        </w:rPr>
        <w:t>投标文件组成：</w:t>
      </w:r>
    </w:p>
    <w:p>
      <w:pPr>
        <w:ind w:firstLine="1050" w:firstLineChars="500"/>
        <w:outlineLvl w:val="0"/>
        <w:rPr>
          <w:rFonts w:ascii="宋体" w:hAnsi="宋体"/>
          <w:sz w:val="24"/>
        </w:rPr>
      </w:pPr>
      <w:r>
        <w:rPr>
          <w:rFonts w:ascii="宋体" w:hAnsi="宋体" w:hint="eastAsia"/>
          <w:sz w:val="24"/>
        </w:rPr>
        <w:t>1.投标文件正文</w:t>
      </w:r>
      <w:r>
        <w:rPr>
          <w:rFonts w:ascii="宋体" w:hAnsi="宋体" w:hint="eastAsia"/>
          <w:b/>
          <w:color w:val="FF0000"/>
          <w:sz w:val="24"/>
        </w:rPr>
        <w:t>（信息公开部分）</w:t>
      </w:r>
      <w:r>
        <w:rPr>
          <w:rFonts w:ascii="宋体" w:hAnsi="宋体" w:hint="eastAsia"/>
          <w:sz w:val="24"/>
        </w:rPr>
        <w:t>，主要包括以下内容：</w:t>
      </w:r>
    </w:p>
    <w:p>
      <w:pPr>
        <w:ind w:left="718" w:firstLine="699" w:leftChars="342" w:firstLineChars="333"/>
        <w:rPr>
          <w:szCs w:val="21"/>
        </w:rPr>
      </w:pPr>
      <w:r>
        <w:rPr>
          <w:rFonts w:hint="eastAsia"/>
          <w:szCs w:val="21"/>
        </w:rPr>
        <w:t>（1）</w:t>
      </w:r>
      <w:bookmarkStart w:id="37" w:name="_Hlk72070784"/>
      <w:r>
        <w:rPr>
          <w:rFonts w:hint="eastAsia"/>
          <w:szCs w:val="21"/>
        </w:rPr>
        <w:t>投标函</w:t>
      </w:r>
      <w:bookmarkEnd w:id="37"/>
    </w:p>
    <w:p>
      <w:pPr>
        <w:ind w:left="718" w:firstLine="699" w:leftChars="342" w:firstLineChars="333"/>
        <w:rPr>
          <w:szCs w:val="21"/>
        </w:rPr>
      </w:pPr>
      <w:r>
        <w:rPr>
          <w:rFonts w:hint="eastAsia"/>
          <w:szCs w:val="21"/>
        </w:rPr>
        <w:t>（2）</w:t>
      </w:r>
      <w:bookmarkStart w:id="38" w:name="_Hlk72062521"/>
      <w:r>
        <w:rPr>
          <w:rFonts w:hint="eastAsia"/>
          <w:szCs w:val="21"/>
        </w:rPr>
        <w:t>政府采购投标及履约承诺函</w:t>
      </w:r>
      <w:bookmarkEnd w:id="38"/>
    </w:p>
    <w:p>
      <w:pPr>
        <w:ind w:left="718" w:firstLine="699" w:leftChars="342" w:firstLineChars="333"/>
        <w:rPr>
          <w:szCs w:val="21"/>
        </w:rPr>
      </w:pPr>
      <w:r>
        <w:rPr>
          <w:rFonts w:hint="eastAsia"/>
          <w:szCs w:val="21"/>
        </w:rPr>
        <w:t>（</w:t>
      </w:r>
      <w:r>
        <w:rPr>
          <w:szCs w:val="21"/>
        </w:rPr>
        <w:t>3</w:t>
      </w:r>
      <w:r>
        <w:rPr>
          <w:rFonts w:hint="eastAsia"/>
          <w:szCs w:val="21"/>
        </w:rPr>
        <w:t>）投标人情况及资格证明文件</w:t>
      </w:r>
    </w:p>
    <w:p>
      <w:pPr>
        <w:ind w:left="718" w:firstLine="699" w:leftChars="342" w:firstLineChars="333"/>
        <w:rPr>
          <w:szCs w:val="21"/>
        </w:rPr>
      </w:pPr>
      <w:bookmarkStart w:id="39" w:name="_Hlk72257201"/>
      <w:r>
        <w:rPr>
          <w:rFonts w:hint="eastAsia"/>
          <w:szCs w:val="21"/>
        </w:rPr>
        <w:t>（</w:t>
      </w:r>
      <w:r>
        <w:rPr>
          <w:szCs w:val="21"/>
        </w:rPr>
        <w:t>4</w:t>
      </w:r>
      <w:r>
        <w:rPr>
          <w:rFonts w:hint="eastAsia"/>
          <w:szCs w:val="21"/>
        </w:rPr>
        <w:t>）项目详细报价</w:t>
      </w:r>
    </w:p>
    <w:p>
      <w:pPr>
        <w:ind w:firstLine="1418" w:firstLineChars="675"/>
        <w:rPr>
          <w:szCs w:val="21"/>
        </w:rPr>
      </w:pPr>
      <w:r>
        <w:rPr>
          <w:rFonts w:ascii="宋体" w:hAnsi="宋体" w:cs="宋体" w:hint="eastAsia"/>
          <w:szCs w:val="21"/>
        </w:rPr>
        <w:t>（5）供应商认证情况</w:t>
      </w:r>
      <w:r>
        <w:rPr>
          <w:rFonts w:ascii="宋体" w:hAnsi="宋体" w:hint="eastAsia"/>
          <w:szCs w:val="21"/>
        </w:rPr>
        <w:t>（格式自定）</w:t>
      </w:r>
    </w:p>
    <w:p>
      <w:pPr>
        <w:ind w:firstLine="1418" w:firstLineChars="675"/>
        <w:rPr>
          <w:szCs w:val="21"/>
        </w:rPr>
      </w:pPr>
      <w:r>
        <w:rPr>
          <w:rFonts w:ascii="宋体" w:hAnsi="宋体" w:cs="宋体" w:hint="eastAsia"/>
          <w:szCs w:val="21"/>
        </w:rPr>
        <w:t>（6）</w:t>
      </w:r>
      <w:r>
        <w:rPr>
          <w:rFonts w:ascii="宋体" w:hAnsi="宋体" w:hint="eastAsia"/>
          <w:szCs w:val="21"/>
        </w:rPr>
        <w:t>供应商同类项目业绩情况（格式自定）</w:t>
      </w:r>
    </w:p>
    <w:p>
      <w:pPr>
        <w:ind w:firstLine="1418" w:firstLineChars="675"/>
        <w:rPr>
          <w:szCs w:val="21"/>
        </w:rPr>
      </w:pPr>
      <w:r>
        <w:rPr>
          <w:rFonts w:ascii="宋体" w:hAnsi="宋体" w:hint="eastAsia"/>
          <w:szCs w:val="21"/>
        </w:rPr>
        <w:t>（7）供应商获奖情况（格式自定）</w:t>
      </w:r>
    </w:p>
    <w:p>
      <w:pPr>
        <w:ind w:firstLine="1418" w:firstLineChars="675"/>
        <w:rPr>
          <w:szCs w:val="21"/>
        </w:rPr>
      </w:pPr>
      <w:r>
        <w:rPr>
          <w:rFonts w:ascii="宋体" w:hAnsi="宋体" w:hint="eastAsia"/>
          <w:szCs w:val="21"/>
        </w:rPr>
        <w:t>（8）供应商自主知识产权产品（创新、设计）情况（格式自定）</w:t>
      </w:r>
    </w:p>
    <w:p>
      <w:pPr>
        <w:ind w:firstLine="1418" w:firstLineChars="675"/>
        <w:rPr>
          <w:rFonts w:ascii="宋体" w:hAnsi="宋体"/>
          <w:szCs w:val="21"/>
        </w:rPr>
      </w:pPr>
      <w:r>
        <w:rPr>
          <w:rFonts w:ascii="宋体" w:hAnsi="宋体" w:hint="eastAsia"/>
          <w:szCs w:val="21"/>
        </w:rPr>
        <w:t>（9）服务网点</w:t>
      </w:r>
    </w:p>
    <w:p>
      <w:pPr>
        <w:ind w:left="718" w:firstLine="1418" w:leftChars="342" w:firstLineChars="675"/>
        <w:rPr>
          <w:szCs w:val="21"/>
        </w:rPr>
      </w:pPr>
    </w:p>
    <w:p>
      <w:pPr>
        <w:ind w:firstLine="1050" w:firstLineChars="500"/>
        <w:outlineLvl w:val="0"/>
        <w:rPr>
          <w:rFonts w:ascii="宋体" w:hAnsi="宋体"/>
          <w:sz w:val="24"/>
        </w:rPr>
      </w:pPr>
      <w:bookmarkEnd w:id="39"/>
      <w:r>
        <w:rPr>
          <w:rFonts w:ascii="宋体" w:hAnsi="宋体" w:hint="eastAsia"/>
          <w:sz w:val="24"/>
        </w:rPr>
        <w:t>2.投标文件附件</w:t>
      </w:r>
      <w:r>
        <w:rPr>
          <w:rFonts w:ascii="宋体" w:hAnsi="宋体" w:hint="eastAsia"/>
          <w:b/>
          <w:color w:val="FF0000"/>
          <w:sz w:val="24"/>
        </w:rPr>
        <w:t>（信息不公开部分）</w:t>
      </w:r>
      <w:r>
        <w:rPr>
          <w:rFonts w:ascii="宋体" w:hAnsi="宋体" w:hint="eastAsia"/>
          <w:sz w:val="24"/>
        </w:rPr>
        <w:t>：主要包括以下内容：</w:t>
      </w:r>
    </w:p>
    <w:p>
      <w:pPr>
        <w:ind w:firstLine="1418" w:firstLineChars="675"/>
        <w:rPr>
          <w:szCs w:val="21"/>
        </w:rPr>
      </w:pPr>
      <w:r>
        <w:rPr>
          <w:rFonts w:hint="eastAsia"/>
          <w:szCs w:val="21"/>
        </w:rPr>
        <w:t>（1）法定代表人（负责人）证明书</w:t>
      </w:r>
    </w:p>
    <w:p>
      <w:pPr>
        <w:ind w:firstLine="1418" w:firstLineChars="675"/>
        <w:rPr>
          <w:szCs w:val="21"/>
        </w:rPr>
      </w:pPr>
      <w:r>
        <w:rPr>
          <w:rFonts w:hint="eastAsia"/>
          <w:szCs w:val="21"/>
        </w:rPr>
        <w:t>（2）投标文件签署授权委托书</w:t>
      </w:r>
    </w:p>
    <w:p>
      <w:pPr>
        <w:ind w:firstLine="1418" w:firstLineChars="675"/>
        <w:rPr>
          <w:szCs w:val="21"/>
        </w:rPr>
      </w:pPr>
      <w:r>
        <w:rPr>
          <w:rFonts w:hint="eastAsia"/>
          <w:szCs w:val="21"/>
        </w:rPr>
        <w:t>（3）</w:t>
      </w:r>
      <w:r>
        <w:rPr>
          <w:szCs w:val="21"/>
        </w:rPr>
        <w:t>实质性条款响应情况表</w:t>
      </w:r>
    </w:p>
    <w:p>
      <w:pPr>
        <w:ind w:firstLine="1418" w:firstLineChars="675"/>
        <w:rPr>
          <w:szCs w:val="21"/>
        </w:rPr>
      </w:pPr>
      <w:r>
        <w:rPr>
          <w:rFonts w:hint="eastAsia"/>
          <w:szCs w:val="21"/>
        </w:rPr>
        <w:t>（4）</w:t>
      </w:r>
      <w:r>
        <w:rPr>
          <w:rFonts w:ascii="宋体" w:hAnsi="宋体" w:hint="eastAsia"/>
          <w:szCs w:val="21"/>
        </w:rPr>
        <w:t>实施方案（格式自定）</w:t>
      </w:r>
    </w:p>
    <w:p>
      <w:pPr>
        <w:pStyle w:val="NormalIndent"/>
        <w:ind w:left="210" w:firstLine="1208" w:leftChars="100" w:firstLineChars="575"/>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）项目重点难点分析、应对措施及相关的合理化建议（格式自定）</w:t>
      </w:r>
    </w:p>
    <w:p>
      <w:pPr>
        <w:pStyle w:val="NormalIndent"/>
        <w:ind w:left="210" w:firstLine="1208" w:leftChars="100" w:firstLineChars="575"/>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）质量（完成时间、安全、环保）保障措施及方案（格式自定）</w:t>
      </w:r>
    </w:p>
    <w:p>
      <w:pPr>
        <w:pStyle w:val="NormalIndent"/>
        <w:ind w:left="210" w:firstLine="1208" w:leftChars="100" w:firstLineChars="575"/>
        <w:rPr>
          <w:rFonts w:ascii="宋体" w:hAnsi="宋体"/>
          <w:szCs w:val="21"/>
        </w:rPr>
      </w:pPr>
      <w:r>
        <w:rPr>
          <w:rFonts w:ascii="宋体" w:hAnsi="宋体" w:hint="eastAsia"/>
          <w:szCs w:val="21"/>
        </w:rPr>
        <w:t>（</w:t>
      </w:r>
      <w:r>
        <w:rPr>
          <w:rFonts w:ascii="宋体" w:hAnsi="宋体"/>
          <w:szCs w:val="21"/>
        </w:rPr>
        <w:t>7</w:t>
      </w:r>
      <w:r>
        <w:rPr>
          <w:rFonts w:ascii="宋体" w:hAnsi="宋体" w:hint="eastAsia"/>
          <w:szCs w:val="21"/>
        </w:rPr>
        <w:t>）项目完成（服务期满）后的服务承诺（格式自定）</w:t>
      </w:r>
    </w:p>
    <w:p>
      <w:pPr>
        <w:pStyle w:val="NormalIndent"/>
        <w:ind w:left="210" w:firstLine="1208" w:leftChars="100" w:firstLineChars="575"/>
        <w:rPr>
          <w:rFonts w:ascii="宋体" w:hAnsi="宋体"/>
          <w:szCs w:val="21"/>
        </w:rPr>
      </w:pPr>
      <w:r>
        <w:rPr>
          <w:rFonts w:ascii="宋体" w:hAnsi="宋体" w:hint="eastAsia"/>
          <w:szCs w:val="21"/>
        </w:rPr>
        <w:t>（</w:t>
      </w:r>
      <w:r>
        <w:rPr>
          <w:rFonts w:ascii="宋体" w:hAnsi="宋体"/>
          <w:szCs w:val="21"/>
        </w:rPr>
        <w:t>8</w:t>
      </w:r>
      <w:r>
        <w:rPr>
          <w:rFonts w:ascii="宋体" w:hAnsi="宋体" w:hint="eastAsia"/>
          <w:szCs w:val="21"/>
        </w:rPr>
        <w:t>）违约承诺（格式自定）</w:t>
      </w:r>
    </w:p>
    <w:p>
      <w:pPr>
        <w:pStyle w:val="NormalIndent"/>
        <w:spacing w:before="60" w:beforeLines="25" w:after="60" w:afterLines="25"/>
        <w:ind w:firstLine="1418" w:firstLineChars="675"/>
        <w:rPr>
          <w:rFonts w:ascii="宋体" w:hAnsi="宋体"/>
          <w:szCs w:val="21"/>
        </w:rPr>
      </w:pPr>
      <w:r>
        <w:rPr>
          <w:rFonts w:ascii="宋体" w:hAnsi="宋体" w:hint="eastAsia"/>
          <w:szCs w:val="21"/>
        </w:rPr>
        <w:t>（</w:t>
      </w:r>
      <w:r>
        <w:rPr>
          <w:rFonts w:ascii="宋体" w:hAnsi="宋体"/>
          <w:szCs w:val="21"/>
        </w:rPr>
        <w:t>9</w:t>
      </w:r>
      <w:r>
        <w:rPr>
          <w:rFonts w:ascii="宋体" w:hAnsi="宋体" w:hint="eastAsia"/>
          <w:szCs w:val="21"/>
        </w:rPr>
        <w:t>）拟安排的项目负责人情况（仅限一人）（格式自定）</w:t>
      </w:r>
    </w:p>
    <w:p>
      <w:pPr>
        <w:pStyle w:val="NormalIndent"/>
        <w:spacing w:before="60" w:beforeLines="25" w:after="60" w:afterLines="25"/>
        <w:ind w:left="1522" w:hanging="52" w:leftChars="700" w:hangingChars="25"/>
        <w:rPr>
          <w:rFonts w:ascii="宋体" w:hAnsi="宋体"/>
          <w:szCs w:val="21"/>
        </w:rPr>
      </w:pPr>
      <w:r>
        <w:rPr>
          <w:rFonts w:ascii="宋体" w:hAnsi="宋体" w:hint="eastAsia"/>
          <w:szCs w:val="21"/>
        </w:rPr>
        <w:t>（</w:t>
      </w:r>
      <w:r>
        <w:rPr>
          <w:rFonts w:ascii="宋体" w:hAnsi="宋体"/>
          <w:szCs w:val="21"/>
        </w:rPr>
        <w:t>10</w:t>
      </w:r>
      <w:r>
        <w:rPr>
          <w:rFonts w:ascii="宋体" w:hAnsi="宋体" w:hint="eastAsia"/>
          <w:szCs w:val="21"/>
        </w:rPr>
        <w:t>）拟安排的项目主要团队成员（主要技术人员）情况（项目负责人除外）（格式自定）</w:t>
      </w:r>
    </w:p>
    <w:p>
      <w:pPr>
        <w:pStyle w:val="NormalIndent"/>
        <w:spacing w:before="60" w:beforeLines="25" w:after="60" w:afterLines="25"/>
        <w:ind w:firstLine="1418" w:firstLineChars="675"/>
        <w:rPr>
          <w:rFonts w:ascii="宋体" w:hAnsi="宋体"/>
          <w:szCs w:val="21"/>
        </w:rPr>
      </w:pPr>
      <w:r>
        <w:rPr>
          <w:rFonts w:ascii="宋体" w:hAnsi="宋体" w:hint="eastAsia"/>
          <w:szCs w:val="21"/>
        </w:rPr>
        <w:t>（</w:t>
      </w:r>
      <w:r>
        <w:rPr>
          <w:rFonts w:ascii="宋体" w:hAnsi="宋体"/>
          <w:szCs w:val="21"/>
        </w:rPr>
        <w:t>11</w:t>
      </w:r>
      <w:r>
        <w:rPr>
          <w:rFonts w:ascii="宋体" w:hAnsi="宋体" w:hint="eastAsia"/>
          <w:szCs w:val="21"/>
        </w:rPr>
        <w:t>）拟投入的服务资源（车辆、场地、工具、机器等）情况（格式自定）</w:t>
      </w:r>
    </w:p>
    <w:p>
      <w:pPr>
        <w:pStyle w:val="NormalIndent"/>
        <w:spacing w:before="60" w:beforeLines="25" w:after="60" w:afterLines="25"/>
        <w:ind w:firstLine="1418" w:firstLineChars="675"/>
        <w:rPr>
          <w:rFonts w:ascii="宋体" w:hAnsi="宋体"/>
          <w:szCs w:val="21"/>
        </w:rPr>
      </w:pPr>
      <w:r>
        <w:rPr>
          <w:rFonts w:ascii="宋体" w:hAnsi="宋体" w:hint="eastAsia"/>
          <w:szCs w:val="21"/>
        </w:rPr>
        <w:t>（</w:t>
      </w:r>
      <w:r>
        <w:rPr>
          <w:rFonts w:ascii="宋体" w:hAnsi="宋体"/>
          <w:szCs w:val="21"/>
        </w:rPr>
        <w:t>12</w:t>
      </w:r>
      <w:r>
        <w:rPr>
          <w:rFonts w:ascii="宋体" w:hAnsi="宋体" w:hint="eastAsia"/>
          <w:szCs w:val="21"/>
        </w:rPr>
        <w:t>）</w:t>
      </w:r>
      <w:r>
        <w:rPr>
          <w:rFonts w:hint="eastAsia"/>
          <w:szCs w:val="21"/>
        </w:rPr>
        <w:t>投标人认为需要加以说明的其他内容（格式自定）</w:t>
      </w:r>
    </w:p>
    <w:p>
      <w:pPr>
        <w:rPr>
          <w:rFonts w:ascii="仿宋_GB2312" w:eastAsia="仿宋_GB2312"/>
          <w:sz w:val="24"/>
        </w:rPr>
      </w:pPr>
    </w:p>
    <w:p>
      <w:pPr>
        <w:ind w:firstLine="424" w:firstLineChars="202"/>
        <w:rPr>
          <w:rFonts w:ascii="宋体" w:hAnsi="宋体"/>
          <w:b/>
          <w:szCs w:val="21"/>
        </w:rPr>
      </w:pPr>
      <w:r>
        <w:rPr>
          <w:rFonts w:ascii="宋体" w:hAnsi="宋体" w:hint="eastAsia"/>
          <w:b/>
          <w:szCs w:val="21"/>
        </w:rPr>
        <w:t>备注：</w:t>
      </w:r>
    </w:p>
    <w:p>
      <w:pPr>
        <w:ind w:firstLine="424" w:firstLineChars="202"/>
        <w:rPr>
          <w:rFonts w:ascii="宋体" w:hAnsi="宋体"/>
          <w:b/>
          <w:szCs w:val="21"/>
        </w:rPr>
      </w:pPr>
      <w:r>
        <w:rPr>
          <w:rFonts w:ascii="宋体" w:hAnsi="宋体" w:hint="eastAsia"/>
          <w:b/>
          <w:szCs w:val="21"/>
        </w:rPr>
        <w:t>1.本项目为网上电子投标项目，投标文件不需法人或授权委托人另行签字，无需加盖单位公章，招标文件专用条款另有规定的除外。</w:t>
      </w:r>
    </w:p>
    <w:p>
      <w:pPr>
        <w:ind w:firstLine="424" w:firstLineChars="202"/>
        <w:rPr>
          <w:rFonts w:ascii="宋体" w:hAnsi="宋体"/>
          <w:b/>
          <w:szCs w:val="21"/>
        </w:rPr>
      </w:pPr>
      <w:r>
        <w:rPr>
          <w:rFonts w:ascii="宋体" w:hAnsi="宋体" w:hint="eastAsia"/>
          <w:b/>
          <w:szCs w:val="21"/>
        </w:rPr>
        <w:t>2.关于填写“开标一览表”的说明：“开标一览表”中除“投标报价”外，其他信息不作评审依据。</w:t>
      </w:r>
    </w:p>
    <w:p>
      <w:pPr>
        <w:jc w:val="left"/>
        <w:rPr>
          <w:rFonts w:ascii="宋体" w:hAnsi="宋体"/>
          <w:b/>
          <w:color w:val="FF0000"/>
          <w:sz w:val="36"/>
          <w:szCs w:val="36"/>
        </w:rPr>
      </w:pPr>
      <w:r>
        <w:rPr>
          <w:rFonts w:ascii="宋体" w:hAnsi="宋体" w:hint="eastAsia"/>
          <w:b/>
          <w:color w:val="FF0000"/>
          <w:sz w:val="36"/>
          <w:szCs w:val="36"/>
        </w:rPr>
        <w:br w:type="page"/>
      </w:r>
    </w:p>
    <w:p>
      <w:pPr>
        <w:outlineLvl w:val="1"/>
        <w:rPr>
          <w:rFonts w:ascii="宋体" w:hAnsi="宋体"/>
          <w:b/>
          <w:color w:val="FF0000"/>
          <w:sz w:val="28"/>
          <w:szCs w:val="28"/>
        </w:rPr>
      </w:pPr>
      <w:r>
        <w:rPr>
          <w:rFonts w:ascii="宋体" w:hAnsi="宋体" w:hint="eastAsia"/>
          <w:b/>
          <w:color w:val="FF0000"/>
          <w:sz w:val="28"/>
          <w:szCs w:val="28"/>
        </w:rPr>
        <w:t>投标文件正文（信息公开部分）</w:t>
      </w:r>
    </w:p>
    <w:p>
      <w:pPr>
        <w:pStyle w:val="Heading3"/>
        <w:jc w:val="center"/>
        <w:rPr>
          <w:rFonts w:ascii="黑体" w:eastAsia="黑体"/>
          <w:b w:val="0"/>
          <w:kern w:val="0"/>
          <w:sz w:val="24"/>
        </w:rPr>
      </w:pPr>
      <w:r>
        <w:rPr>
          <w:rFonts w:ascii="黑体" w:eastAsia="黑体" w:hint="eastAsia"/>
          <w:b w:val="0"/>
          <w:kern w:val="0"/>
          <w:sz w:val="24"/>
        </w:rPr>
        <w:t>一、投标函</w:t>
      </w:r>
    </w:p>
    <w:p>
      <w:pPr>
        <w:spacing w:line="360" w:lineRule="auto"/>
        <w:rPr>
          <w:rFonts w:ascii="宋体" w:hAnsi="宋体"/>
          <w:color w:val="000000" w:themeColor="text1"/>
          <w:szCs w:val="21"/>
          <w14:textFill>
            <w14:solidFill>
              <w14:schemeClr w14:val="tx1"/>
            </w14:solidFill>
          </w14:textFill>
        </w:rPr>
      </w:pPr>
      <w:r>
        <w:rPr>
          <w:rFonts w:ascii="宋体" w:hAnsi="宋体" w:hint="eastAsia"/>
          <w:szCs w:val="21"/>
        </w:rPr>
        <w:t>致：</w:t>
      </w:r>
      <w:r>
        <w:rPr>
          <w:rFonts w:ascii="宋体" w:hAnsi="宋体" w:hint="eastAsia"/>
          <w:szCs w:val="21"/>
          <w:u w:val="single"/>
        </w:rPr>
        <w:t xml:space="preserve"> </w:t>
      </w:r>
      <w:r>
        <w:rPr>
          <w:rFonts w:ascii="宋体" w:hAnsi="宋体" w:hint="eastAsia"/>
          <w:color w:val="000000" w:themeColor="text1"/>
          <w:szCs w:val="21"/>
          <w:u w:val="single"/>
          <w14:textFill>
            <w14:solidFill>
              <w14:schemeClr w14:val="tx1"/>
            </w14:solidFill>
          </w14:textFill>
        </w:rPr>
        <w:t xml:space="preserve"> 深圳公共资源交易中心  </w:t>
      </w:r>
    </w:p>
    <w:p>
      <w:pPr>
        <w:ind w:firstLine="420" w:firstLineChars="200"/>
        <w:rPr>
          <w:rFonts w:ascii="宋体" w:hAnsi="宋体"/>
          <w:szCs w:val="21"/>
        </w:rPr>
      </w:pPr>
      <w:bookmarkStart w:id="40" w:name="_Hlk73818812"/>
      <w:r>
        <w:rPr>
          <w:rFonts w:hint="eastAsia"/>
          <w:szCs w:val="21"/>
        </w:rPr>
        <w:t>1、根据已收到贵单位的项目编号为</w:t>
      </w:r>
      <w:r>
        <w:rPr>
          <w:szCs w:val="21"/>
          <w:u w:val="single"/>
        </w:rPr>
        <w:t xml:space="preserve">   </w:t>
      </w:r>
      <w:r>
        <w:rPr>
          <w:rFonts w:hint="eastAsia"/>
          <w:szCs w:val="21"/>
          <w:u w:val="single"/>
        </w:rPr>
        <w:t xml:space="preserve">     </w:t>
      </w:r>
      <w:r>
        <w:rPr>
          <w:rFonts w:hint="eastAsia"/>
          <w:szCs w:val="21"/>
        </w:rPr>
        <w:t>的</w:t>
      </w:r>
      <w:r>
        <w:rPr>
          <w:rFonts w:hint="eastAsia"/>
          <w:szCs w:val="21"/>
          <w:u w:val="single"/>
        </w:rPr>
        <w:t xml:space="preserve">               </w:t>
      </w:r>
      <w:r>
        <w:rPr>
          <w:rFonts w:hint="eastAsia"/>
          <w:szCs w:val="21"/>
        </w:rPr>
        <w:t>项目的招标文件，遵照《深圳经济特区政府采购条例》和《深圳网上政府采购管理暂行办法》等有关规定，我单位经研究上述招标文件的专用条款及通用条款后，</w:t>
      </w:r>
      <w:bookmarkStart w:id="41" w:name="_Hlk72263588"/>
      <w:r>
        <w:rPr>
          <w:rFonts w:hint="eastAsia"/>
          <w:szCs w:val="21"/>
        </w:rPr>
        <w:t>愿意按照招标文件要求承包上述项目并修补其任何缺陷。</w:t>
      </w:r>
      <w:bookmarkEnd w:id="41"/>
    </w:p>
    <w:p>
      <w:pPr>
        <w:ind w:firstLine="420" w:firstLineChars="200"/>
        <w:rPr>
          <w:rFonts w:ascii="宋体" w:hAnsi="宋体"/>
          <w:szCs w:val="21"/>
        </w:rPr>
      </w:pPr>
      <w:r>
        <w:rPr>
          <w:rFonts w:ascii="宋体" w:hAnsi="宋体"/>
          <w:szCs w:val="21"/>
        </w:rPr>
        <w:t>2</w:t>
      </w:r>
      <w:r>
        <w:rPr>
          <w:rFonts w:ascii="宋体" w:hAnsi="宋体" w:hint="eastAsia"/>
          <w:szCs w:val="21"/>
        </w:rPr>
        <w:t>、投标价格见</w:t>
      </w:r>
      <w:r>
        <w:rPr>
          <w:rFonts w:hint="eastAsia"/>
          <w:szCs w:val="21"/>
        </w:rPr>
        <w:t>投标书编制软件中《开标一览表》中填写的投标报价。</w:t>
      </w:r>
    </w:p>
    <w:p>
      <w:pPr>
        <w:ind w:firstLine="420" w:firstLineChars="200"/>
        <w:rPr>
          <w:rFonts w:ascii="宋体" w:hAnsi="宋体"/>
          <w:szCs w:val="21"/>
        </w:rPr>
      </w:pPr>
      <w:r>
        <w:rPr>
          <w:rFonts w:ascii="宋体" w:hAnsi="宋体" w:hint="eastAsia"/>
          <w:szCs w:val="21"/>
        </w:rPr>
        <w:t>3、如果我单位中标，我单位将按照招标文件的要求提交履约担保。</w:t>
      </w:r>
    </w:p>
    <w:p>
      <w:pPr>
        <w:ind w:firstLine="420" w:firstLineChars="200"/>
        <w:rPr>
          <w:rFonts w:ascii="宋体" w:hAnsi="宋体"/>
          <w:szCs w:val="21"/>
        </w:rPr>
      </w:pPr>
      <w:r>
        <w:rPr>
          <w:rFonts w:ascii="宋体" w:hAnsi="宋体" w:hint="eastAsia"/>
          <w:szCs w:val="21"/>
        </w:rPr>
        <w:t>4、我单位同意所递交的投标文件在“对通用条款的补充内容”中明确的投标有效期内有效，在此期间内我单位的投标有可能中标，我方将受此约束。</w:t>
      </w:r>
    </w:p>
    <w:p>
      <w:pPr>
        <w:ind w:firstLine="420" w:firstLineChars="200"/>
        <w:rPr>
          <w:rFonts w:ascii="宋体" w:hAnsi="宋体"/>
          <w:szCs w:val="21"/>
        </w:rPr>
      </w:pPr>
      <w:r>
        <w:rPr>
          <w:rFonts w:ascii="宋体" w:hAnsi="宋体" w:hint="eastAsia"/>
          <w:szCs w:val="21"/>
        </w:rPr>
        <w:t>5、除非另外达成协议并生效，贵单位的中标通知书和本投标文件将构成合同的重要内容。</w:t>
      </w:r>
    </w:p>
    <w:p>
      <w:pPr>
        <w:ind w:left="525" w:hanging="105" w:leftChars="200" w:hangingChars="50"/>
        <w:rPr>
          <w:rFonts w:ascii="宋体" w:hAnsi="宋体"/>
          <w:szCs w:val="21"/>
        </w:rPr>
      </w:pPr>
      <w:r>
        <w:rPr>
          <w:rFonts w:ascii="宋体" w:hAnsi="宋体" w:hint="eastAsia"/>
          <w:szCs w:val="21"/>
        </w:rPr>
        <w:t>6、我单位理解贵单位将不受必须接受所收到的最低报价或其它任何投标文件的约束。</w:t>
      </w:r>
      <w:bookmarkEnd w:id="40"/>
    </w:p>
    <w:p>
      <w:pPr>
        <w:ind w:firstLine="420" w:firstLineChars="200"/>
        <w:rPr>
          <w:rFonts w:ascii="宋体" w:hAnsi="宋体"/>
          <w:szCs w:val="21"/>
        </w:rPr>
      </w:pPr>
      <w:r>
        <w:rPr>
          <w:rFonts w:ascii="宋体" w:hAnsi="宋体" w:hint="eastAsia"/>
          <w:szCs w:val="21"/>
        </w:rPr>
        <w:t>7、如我单位按项目要求提供样品，且未在规定时间内取回样品的，视同放弃取回，同意深圳公共资源交易中心对样品进行清理。</w:t>
      </w:r>
    </w:p>
    <w:p>
      <w:pPr>
        <w:ind w:left="540" w:leftChars="257"/>
        <w:rPr>
          <w:szCs w:val="21"/>
          <w:u w:val="single"/>
        </w:rPr>
      </w:pPr>
      <w:r>
        <w:rPr>
          <w:rFonts w:hint="eastAsia"/>
          <w:szCs w:val="21"/>
        </w:rPr>
        <w:t>投标人：</w:t>
      </w:r>
      <w:r>
        <w:rPr>
          <w:rFonts w:hint="eastAsia"/>
          <w:szCs w:val="21"/>
          <w:u w:val="single"/>
        </w:rPr>
        <w:t xml:space="preserve">                   </w:t>
      </w:r>
      <w:r>
        <w:rPr>
          <w:rFonts w:hint="eastAsia"/>
          <w:szCs w:val="21"/>
        </w:rPr>
        <w:t xml:space="preserve">    单位地址：</w:t>
      </w:r>
      <w:r>
        <w:rPr>
          <w:rFonts w:hint="eastAsia"/>
          <w:szCs w:val="21"/>
          <w:u w:val="single"/>
        </w:rPr>
        <w:t xml:space="preserve">               </w:t>
      </w:r>
    </w:p>
    <w:p>
      <w:pPr>
        <w:ind w:left="540" w:leftChars="257"/>
        <w:rPr>
          <w:szCs w:val="21"/>
          <w:u w:val="single"/>
        </w:rPr>
      </w:pPr>
      <w:r>
        <w:rPr>
          <w:rFonts w:hint="eastAsia"/>
          <w:szCs w:val="21"/>
        </w:rPr>
        <w:t>法定代表人（负责人）或其委托代理人：</w:t>
      </w:r>
      <w:r>
        <w:rPr>
          <w:rFonts w:hint="eastAsia"/>
          <w:szCs w:val="21"/>
          <w:u w:val="single"/>
        </w:rPr>
        <w:t xml:space="preserve">                   </w:t>
      </w:r>
    </w:p>
    <w:p>
      <w:pPr>
        <w:ind w:left="540" w:leftChars="257"/>
        <w:rPr>
          <w:szCs w:val="21"/>
          <w:u w:val="single"/>
        </w:rPr>
      </w:pPr>
      <w:r>
        <w:rPr>
          <w:rFonts w:hint="eastAsia"/>
          <w:szCs w:val="21"/>
        </w:rPr>
        <w:t>邮政编码：</w:t>
      </w:r>
      <w:r>
        <w:rPr>
          <w:rFonts w:hint="eastAsia"/>
          <w:szCs w:val="21"/>
          <w:u w:val="single"/>
        </w:rPr>
        <w:t xml:space="preserve">          </w:t>
      </w:r>
      <w:r>
        <w:rPr>
          <w:rFonts w:hint="eastAsia"/>
          <w:szCs w:val="21"/>
        </w:rPr>
        <w:t xml:space="preserve">  电话：</w:t>
      </w:r>
      <w:r>
        <w:rPr>
          <w:rFonts w:hint="eastAsia"/>
          <w:szCs w:val="21"/>
          <w:u w:val="single"/>
        </w:rPr>
        <w:t xml:space="preserve">          </w:t>
      </w:r>
      <w:r>
        <w:rPr>
          <w:rFonts w:hint="eastAsia"/>
          <w:szCs w:val="21"/>
        </w:rPr>
        <w:t xml:space="preserve">  邮箱：</w:t>
      </w:r>
      <w:r>
        <w:rPr>
          <w:rFonts w:hint="eastAsia"/>
          <w:szCs w:val="21"/>
          <w:u w:val="single"/>
        </w:rPr>
        <w:t xml:space="preserve">            </w:t>
      </w:r>
    </w:p>
    <w:p>
      <w:pPr>
        <w:ind w:left="540" w:leftChars="257"/>
        <w:rPr>
          <w:szCs w:val="21"/>
        </w:rPr>
      </w:pPr>
      <w:r>
        <w:rPr>
          <w:rFonts w:hint="eastAsia"/>
          <w:szCs w:val="21"/>
        </w:rPr>
        <w:t>开户银行名称：</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开户银行账号：</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left="540" w:leftChars="257"/>
        <w:rPr>
          <w:szCs w:val="21"/>
        </w:rPr>
      </w:pPr>
      <w:r>
        <w:rPr>
          <w:rFonts w:hint="eastAsia"/>
          <w:szCs w:val="21"/>
        </w:rPr>
        <w:t>开户银行地址：</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r>
        <w:rPr>
          <w:rFonts w:hint="eastAsia"/>
          <w:szCs w:val="21"/>
        </w:rPr>
        <w:tab/>
      </w:r>
      <w:r>
        <w:rPr>
          <w:rFonts w:hint="eastAsia"/>
          <w:szCs w:val="21"/>
        </w:rPr>
        <w:t>开户银行电话：</w:t>
      </w:r>
      <w:r>
        <w:rPr>
          <w:rFonts w:hint="eastAsia"/>
          <w:szCs w:val="21"/>
          <w:u w:val="single"/>
        </w:rPr>
        <w:tab/>
      </w:r>
      <w:r>
        <w:rPr>
          <w:rFonts w:hint="eastAsia"/>
          <w:szCs w:val="21"/>
          <w:u w:val="single"/>
        </w:rPr>
        <w:tab/>
      </w:r>
      <w:r>
        <w:rPr>
          <w:rFonts w:hint="eastAsia"/>
          <w:szCs w:val="21"/>
          <w:u w:val="single"/>
        </w:rPr>
        <w:tab/>
      </w:r>
      <w:r>
        <w:rPr>
          <w:rFonts w:hint="eastAsia"/>
          <w:szCs w:val="21"/>
          <w:u w:val="single"/>
        </w:rPr>
        <w:tab/>
      </w:r>
    </w:p>
    <w:p>
      <w:pPr>
        <w:ind w:firstLine="540" w:firstLineChars="257"/>
        <w:rPr>
          <w:sz w:val="24"/>
        </w:rPr>
      </w:pPr>
      <w:r>
        <w:rPr>
          <w:rFonts w:ascii="宋体" w:hAnsi="宋体" w:hint="eastAsia"/>
          <w:szCs w:val="21"/>
        </w:rPr>
        <w:t>日期：</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w:t>
      </w:r>
      <w:r>
        <w:rPr>
          <w:rFonts w:hint="eastAsia"/>
          <w:sz w:val="24"/>
        </w:rPr>
        <w:t xml:space="preserve">                                </w:t>
      </w:r>
    </w:p>
    <w:p>
      <w:pPr>
        <w:rPr>
          <w:rFonts w:ascii="黑体" w:eastAsia="黑体" w:hAnsi="宋体"/>
        </w:rPr>
      </w:pPr>
    </w:p>
    <w:p>
      <w:pPr>
        <w:rPr>
          <w:rFonts w:ascii="黑体" w:eastAsia="黑体" w:hAnsi="宋体"/>
        </w:rPr>
      </w:pPr>
    </w:p>
    <w:p>
      <w:pPr>
        <w:pStyle w:val="Heading3"/>
        <w:jc w:val="center"/>
        <w:rPr>
          <w:rFonts w:ascii="黑体" w:eastAsia="黑体"/>
          <w:b w:val="0"/>
          <w:kern w:val="0"/>
          <w:sz w:val="24"/>
        </w:rPr>
      </w:pPr>
      <w:r>
        <w:rPr>
          <w:rFonts w:ascii="黑体" w:eastAsia="黑体" w:hint="eastAsia"/>
          <w:b w:val="0"/>
          <w:kern w:val="0"/>
          <w:sz w:val="24"/>
        </w:rPr>
        <w:t>二、政府采购投标及履约承诺函</w:t>
      </w:r>
    </w:p>
    <w:p>
      <w:pPr>
        <w:rPr>
          <w:rFonts w:ascii="宋体" w:hAnsi="宋体"/>
          <w:sz w:val="24"/>
        </w:rPr>
      </w:pPr>
    </w:p>
    <w:p>
      <w:pPr>
        <w:rPr>
          <w:rFonts w:ascii="宋体" w:hAnsi="宋体"/>
          <w:color w:val="000000" w:themeColor="text1"/>
          <w:szCs w:val="21"/>
          <w14:textFill>
            <w14:solidFill>
              <w14:schemeClr w14:val="tx1"/>
            </w14:solidFill>
          </w14:textFill>
        </w:rPr>
      </w:pPr>
      <w:r>
        <w:rPr>
          <w:rFonts w:ascii="宋体" w:hAnsi="宋体" w:hint="eastAsia"/>
          <w:color w:val="000000" w:themeColor="text1"/>
          <w:szCs w:val="21"/>
          <w14:textFill>
            <w14:solidFill>
              <w14:schemeClr w14:val="tx1"/>
            </w14:solidFill>
          </w14:textFill>
        </w:rPr>
        <w:t>致：</w:t>
      </w:r>
      <w:r>
        <w:rPr>
          <w:rFonts w:ascii="宋体" w:hAnsi="宋体" w:hint="eastAsia"/>
          <w:color w:val="000000" w:themeColor="text1"/>
          <w:szCs w:val="21"/>
          <w:u w:val="single"/>
          <w14:textFill>
            <w14:solidFill>
              <w14:schemeClr w14:val="tx1"/>
            </w14:solidFill>
          </w14:textFill>
        </w:rPr>
        <w:t>深圳公共资源交易中心</w:t>
      </w:r>
    </w:p>
    <w:p>
      <w:pPr>
        <w:ind w:right="-815" w:firstLine="420" w:firstLineChars="200"/>
        <w:rPr>
          <w:rFonts w:ascii="宋体" w:hAnsi="宋体"/>
          <w:szCs w:val="21"/>
        </w:rPr>
      </w:pPr>
      <w:r>
        <w:rPr>
          <w:rFonts w:ascii="宋体" w:hAnsi="宋体" w:hint="eastAsia"/>
          <w:szCs w:val="21"/>
        </w:rPr>
        <w:t>我单位承诺：</w:t>
      </w:r>
    </w:p>
    <w:p>
      <w:pPr>
        <w:ind w:firstLine="420" w:firstLineChars="200"/>
        <w:rPr>
          <w:rFonts w:ascii="宋体" w:hAnsi="宋体"/>
          <w:szCs w:val="21"/>
        </w:rPr>
      </w:pPr>
      <w:r>
        <w:rPr>
          <w:rFonts w:ascii="宋体" w:hAnsi="宋体" w:hint="eastAsia"/>
          <w:szCs w:val="21"/>
        </w:rPr>
        <w:t>1.我单位参与本项目所投标（响应）的货物、工程或服务，不存在侵犯知识产权的情况；已知悉并同意中标（成交）结果信息公示（公开）的内容。</w:t>
      </w:r>
    </w:p>
    <w:p>
      <w:pPr>
        <w:ind w:firstLine="420" w:firstLineChars="200"/>
        <w:rPr>
          <w:rFonts w:ascii="宋体" w:hAnsi="宋体"/>
          <w:szCs w:val="21"/>
        </w:rPr>
      </w:pPr>
      <w:r>
        <w:rPr>
          <w:rFonts w:ascii="宋体" w:hAnsi="宋体" w:hint="eastAsia"/>
          <w:szCs w:val="21"/>
        </w:rPr>
        <w:t>2.我单位参与该项目投标，符合招标文件关于联合体及进口产品的相关资格要求。</w:t>
      </w:r>
    </w:p>
    <w:p>
      <w:pPr>
        <w:ind w:firstLine="420" w:firstLineChars="200"/>
        <w:rPr>
          <w:rFonts w:ascii="宋体" w:hAnsi="宋体"/>
          <w:szCs w:val="21"/>
        </w:rPr>
      </w:pPr>
      <w:r>
        <w:rPr>
          <w:rFonts w:ascii="宋体" w:hAnsi="宋体" w:hint="eastAsia"/>
          <w:szCs w:val="21"/>
        </w:rPr>
        <w:t>3.我单位参与本项目</w:t>
      </w:r>
      <w:r>
        <w:rPr>
          <w:rFonts w:hint="eastAsia"/>
        </w:rPr>
        <w:t>政府采购活动时不存在被有关部门禁止参与政府采购活动且在有效期内的情况。</w:t>
      </w:r>
    </w:p>
    <w:p>
      <w:pPr>
        <w:ind w:firstLine="420" w:firstLineChars="200"/>
        <w:rPr>
          <w:rFonts w:ascii="宋体" w:hAnsi="宋体"/>
          <w:szCs w:val="21"/>
        </w:rPr>
      </w:pPr>
      <w:r>
        <w:rPr>
          <w:rFonts w:ascii="宋体" w:hAnsi="宋体" w:hint="eastAsia"/>
          <w:szCs w:val="21"/>
        </w:rPr>
        <w:t>4.我单位具备《中华人民共和国政府采购法》第二十二条的条件。</w:t>
      </w:r>
    </w:p>
    <w:p>
      <w:pPr>
        <w:ind w:firstLine="420" w:firstLineChars="200"/>
        <w:rPr>
          <w:rFonts w:ascii="宋体" w:hAnsi="宋体"/>
          <w:szCs w:val="21"/>
        </w:rPr>
      </w:pPr>
      <w:r>
        <w:rPr>
          <w:rFonts w:ascii="宋体" w:hAnsi="宋体" w:hint="eastAsia"/>
          <w:szCs w:val="21"/>
        </w:rPr>
        <w:t>5.我单位</w:t>
      </w:r>
      <w:r>
        <w:rPr>
          <w:rFonts w:hint="eastAsia"/>
        </w:rPr>
        <w:t>未被列入失信被执行人、重大税收违法案件当事人名单（重大税收违法失信主体）、政府采购严重违法失信行为记录名单</w:t>
      </w:r>
    </w:p>
    <w:p>
      <w:pPr>
        <w:ind w:firstLine="420" w:firstLineChars="200"/>
        <w:rPr>
          <w:rFonts w:ascii="宋体" w:hAnsi="宋体"/>
          <w:szCs w:val="21"/>
        </w:rPr>
      </w:pPr>
      <w:r>
        <w:rPr>
          <w:rFonts w:ascii="宋体" w:hAnsi="宋体" w:hint="eastAsia"/>
          <w:szCs w:val="21"/>
        </w:rPr>
        <w:t>6.我单位参与该项目投标，严格遵守政府采购相关法律，不造假，不围标、串标、陪标。我单位已清楚，如违反上述要求，投标将作无效处理，被列入不良记录名单并在网上曝光，同时将被提请政府采购主管部门给予一定年限内禁止参与政府采购活动或其他处罚。</w:t>
      </w:r>
    </w:p>
    <w:p>
      <w:pPr>
        <w:ind w:firstLine="420" w:firstLineChars="200"/>
        <w:rPr>
          <w:rFonts w:ascii="宋体" w:hAnsi="宋体"/>
          <w:szCs w:val="21"/>
        </w:rPr>
      </w:pPr>
      <w:r>
        <w:rPr>
          <w:rFonts w:ascii="宋体" w:hAnsi="宋体" w:hint="eastAsia"/>
          <w:szCs w:val="21"/>
        </w:rPr>
        <w:t>7.我单位如果中标，做到守信，不偷工减料，依照本项目招标文件需求内容、签署的采购合同及本单位在投标中所作的一切承诺履约。我单位对本项目的报价负责，中标后将严格按照本项目招标文件需求、签署的采购合同及我单位在投标中所作的全部承诺履行。</w:t>
      </w:r>
    </w:p>
    <w:p>
      <w:pPr>
        <w:ind w:firstLine="420" w:firstLineChars="200"/>
        <w:rPr>
          <w:rFonts w:ascii="宋体" w:hAnsi="宋体"/>
          <w:szCs w:val="21"/>
        </w:rPr>
      </w:pPr>
      <w:r>
        <w:rPr>
          <w:rFonts w:ascii="宋体" w:hAnsi="宋体" w:hint="eastAsia"/>
          <w:szCs w:val="21"/>
        </w:rPr>
        <w:t>我单位清楚，若以“报价太低而无法履约”为理由放弃本项目中标资格时，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ind w:firstLine="420" w:firstLineChars="200"/>
        <w:rPr>
          <w:rFonts w:ascii="宋体" w:hAnsi="宋体"/>
          <w:szCs w:val="21"/>
        </w:rPr>
      </w:pPr>
      <w:r>
        <w:rPr>
          <w:rFonts w:ascii="宋体" w:hAnsi="宋体"/>
          <w:szCs w:val="21"/>
        </w:rPr>
        <w:t>8</w:t>
      </w:r>
      <w:r>
        <w:rPr>
          <w:rFonts w:ascii="宋体" w:hAnsi="宋体" w:hint="eastAsia"/>
          <w:szCs w:val="21"/>
        </w:rPr>
        <w:t>.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ind w:firstLine="420" w:firstLineChars="200"/>
        <w:rPr>
          <w:rFonts w:ascii="宋体" w:hAnsi="宋体"/>
          <w:szCs w:val="21"/>
        </w:rPr>
      </w:pPr>
      <w:r>
        <w:rPr>
          <w:rFonts w:ascii="宋体" w:hAnsi="宋体"/>
          <w:szCs w:val="21"/>
        </w:rPr>
        <w:t>9</w:t>
      </w:r>
      <w:r>
        <w:rPr>
          <w:rFonts w:ascii="宋体" w:hAnsi="宋体" w:hint="eastAsia"/>
          <w:szCs w:val="21"/>
        </w:rPr>
        <w:t>.我单位承诺中标后项目不转包，未经采购人同意不进行分包。</w:t>
      </w:r>
    </w:p>
    <w:p>
      <w:pPr>
        <w:ind w:firstLine="420" w:firstLineChars="200"/>
        <w:rPr>
          <w:rFonts w:ascii="宋体" w:hAnsi="宋体"/>
        </w:rPr>
      </w:pPr>
      <w:r>
        <w:rPr>
          <w:rFonts w:ascii="宋体" w:hAnsi="宋体" w:hint="eastAsia"/>
          <w:szCs w:val="21"/>
        </w:rPr>
        <w:t>1</w:t>
      </w:r>
      <w:r>
        <w:rPr>
          <w:rFonts w:ascii="宋体" w:hAnsi="宋体"/>
          <w:szCs w:val="21"/>
        </w:rPr>
        <w:t>0.</w:t>
      </w:r>
      <w:r>
        <w:rPr>
          <w:rFonts w:ascii="宋体" w:hAnsi="宋体" w:hint="eastAsia"/>
        </w:rPr>
        <w:t>我单位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我单位承担全部责任。</w:t>
      </w:r>
    </w:p>
    <w:p>
      <w:pPr>
        <w:ind w:firstLine="420" w:firstLineChars="200"/>
        <w:rPr>
          <w:rFonts w:ascii="宋体" w:hAnsi="宋体"/>
        </w:rPr>
      </w:pPr>
      <w:r>
        <w:rPr>
          <w:rFonts w:ascii="宋体" w:hAnsi="宋体"/>
        </w:rPr>
        <w:t>11.</w:t>
      </w:r>
      <w:r>
        <w:rPr>
          <w:rFonts w:ascii="宋体" w:hAnsi="宋体" w:hint="eastAsia"/>
        </w:rPr>
        <w:t>我单位保证，若所投货物涉及</w:t>
      </w:r>
      <w:r>
        <w:rPr>
          <w:rFonts w:ascii="宋体" w:hAnsi="宋体"/>
        </w:rPr>
        <w:t>《</w:t>
      </w:r>
      <w:r>
        <w:rPr>
          <w:rFonts w:ascii="宋体" w:hAnsi="宋体" w:hint="eastAsia"/>
        </w:rPr>
        <w:t>财政部生态环境部关于印发节能产品政府采购品目清单的通知》（财库〔20</w:t>
      </w:r>
      <w:r>
        <w:rPr>
          <w:rFonts w:ascii="宋体" w:hAnsi="宋体"/>
        </w:rPr>
        <w:t>19</w:t>
      </w:r>
      <w:r>
        <w:rPr>
          <w:rFonts w:ascii="宋体" w:hAnsi="宋体" w:hint="eastAsia"/>
        </w:rPr>
        <w:t>〕</w:t>
      </w:r>
      <w:r>
        <w:rPr>
          <w:rFonts w:ascii="宋体" w:hAnsi="宋体"/>
        </w:rPr>
        <w:t>19</w:t>
      </w:r>
      <w:r>
        <w:rPr>
          <w:rFonts w:ascii="宋体" w:hAnsi="宋体" w:hint="eastAsia"/>
        </w:rPr>
        <w:t>号）列明的政府采购强制产品，则所投该产品符合节能产品的认证要求。</w:t>
      </w:r>
    </w:p>
    <w:p>
      <w:pPr>
        <w:ind w:firstLine="420" w:firstLineChars="200"/>
        <w:rPr>
          <w:rFonts w:ascii="宋体" w:hAnsi="宋体"/>
        </w:rPr>
      </w:pPr>
      <w:r>
        <w:rPr>
          <w:rFonts w:ascii="宋体" w:hAnsi="宋体" w:hint="eastAsia"/>
        </w:rPr>
        <w:t>1</w:t>
      </w:r>
      <w:r>
        <w:rPr>
          <w:rFonts w:ascii="宋体" w:hAnsi="宋体"/>
        </w:rPr>
        <w:t>2.</w:t>
      </w:r>
      <w:r>
        <w:rPr>
          <w:rFonts w:ascii="宋体" w:hAnsi="宋体" w:hint="eastAsia"/>
        </w:rPr>
        <w:t>我单位保证，不存在“单位负责人为同一人或者存在直接控股、管理关系的不同供应商，不得参加同一合同项下的政府采购活动；为采购项目提供整体设计、规范编制或者项目管理、监理、检测等服务的供应商，不得再参加该采购项目的其他采购活动”的情形。</w:t>
      </w:r>
    </w:p>
    <w:p>
      <w:pPr>
        <w:numPr>
          <w:ilvl w:val="255"/>
          <w:numId w:val="0"/>
        </w:numPr>
        <w:ind w:firstLine="420" w:firstLineChars="200"/>
        <w:rPr>
          <w:rFonts w:ascii="宋体" w:hAnsi="宋体"/>
        </w:rPr>
      </w:pPr>
      <w:r>
        <w:rPr>
          <w:rFonts w:ascii="宋体" w:hAnsi="宋体" w:hint="eastAsia"/>
        </w:rPr>
        <w:t>13.我单位保证，若所投产品列入强制性产品认证目录的，则所投该产品须获得强制性产品认证证书（即CCC认证）；其中适用自我声明评价方式的产品，则所投该产品须具有“强制性认证产品符合性自我声明”；若所投产品列入工业产品生产许可证管理的产品目录的，则所投该产品生产者（制造商）须获得《全国工业产品生产许可证》。</w:t>
      </w:r>
    </w:p>
    <w:p>
      <w:pPr>
        <w:ind w:firstLine="420" w:firstLineChars="200"/>
        <w:rPr>
          <w:rFonts w:ascii="宋体" w:hAnsi="宋体"/>
        </w:rPr>
      </w:pPr>
    </w:p>
    <w:p>
      <w:pPr>
        <w:ind w:firstLine="420" w:firstLineChars="200"/>
        <w:rPr>
          <w:rFonts w:ascii="宋体" w:hAnsi="宋体"/>
          <w:szCs w:val="21"/>
        </w:rPr>
      </w:pPr>
      <w:r>
        <w:rPr>
          <w:rFonts w:ascii="宋体" w:hAnsi="宋体" w:hint="eastAsia"/>
          <w:szCs w:val="21"/>
        </w:rPr>
        <w:t>以上承诺，如有违反，愿依照国家相关法律法规处理，并承担由此给采购人带来的损失。</w:t>
      </w:r>
    </w:p>
    <w:p>
      <w:pPr>
        <w:spacing w:before="60" w:beforeLines="25" w:after="60" w:afterLines="25"/>
        <w:ind w:firstLine="5460" w:firstLineChars="2600"/>
        <w:rPr>
          <w:rFonts w:ascii="宋体" w:hAnsi="宋体"/>
          <w:szCs w:val="21"/>
        </w:rPr>
      </w:pPr>
      <w:r>
        <w:rPr>
          <w:rFonts w:ascii="宋体" w:hAnsi="宋体" w:hint="eastAsia"/>
          <w:szCs w:val="21"/>
        </w:rPr>
        <w:t xml:space="preserve">                                    </w:t>
      </w:r>
    </w:p>
    <w:p>
      <w:pPr>
        <w:spacing w:before="60" w:beforeLines="25" w:after="60" w:afterLines="25"/>
        <w:ind w:firstLine="5460" w:firstLineChars="2600"/>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投标人：</w:t>
      </w:r>
      <w:r>
        <w:rPr>
          <w:rFonts w:hint="eastAsia"/>
          <w:color w:val="000000" w:themeColor="text1"/>
          <w:szCs w:val="21"/>
          <w:u w:val="single"/>
          <w14:textFill>
            <w14:solidFill>
              <w14:schemeClr w14:val="tx1"/>
            </w14:solidFill>
          </w14:textFill>
        </w:rPr>
        <w:t xml:space="preserve">              </w:t>
      </w:r>
    </w:p>
    <w:p>
      <w:pPr>
        <w:ind w:firstLine="645"/>
        <w:rPr>
          <w:rFonts w:ascii="宋体" w:hAnsi="宋体"/>
          <w:color w:val="000000" w:themeColor="text1"/>
          <w:szCs w:val="21"/>
          <w14:textFill>
            <w14:solidFill>
              <w14:schemeClr w14:val="tx1"/>
            </w14:solidFill>
          </w14:textFill>
        </w:rPr>
      </w:pPr>
      <w:r>
        <w:rPr>
          <w:rFonts w:ascii="宋体" w:hAnsi="宋体" w:hint="eastAsia"/>
          <w:color w:val="000000" w:themeColor="text1"/>
          <w:szCs w:val="21"/>
          <w14:textFill>
            <w14:solidFill>
              <w14:schemeClr w14:val="tx1"/>
            </w14:solidFill>
          </w14:textFill>
        </w:rPr>
        <w:t xml:space="preserve">                                              日期：</w:t>
      </w:r>
      <w:r>
        <w:rPr>
          <w:rFonts w:ascii="宋体" w:hAnsi="宋体" w:hint="eastAsia"/>
          <w:color w:val="000000" w:themeColor="text1"/>
          <w:szCs w:val="21"/>
          <w:u w:val="single"/>
          <w14:textFill>
            <w14:solidFill>
              <w14:schemeClr w14:val="tx1"/>
            </w14:solidFill>
          </w14:textFill>
        </w:rPr>
        <w:t xml:space="preserve">    </w:t>
      </w:r>
      <w:r>
        <w:rPr>
          <w:rFonts w:ascii="宋体" w:hAnsi="宋体" w:hint="eastAsia"/>
          <w:color w:val="000000" w:themeColor="text1"/>
          <w:szCs w:val="21"/>
          <w14:textFill>
            <w14:solidFill>
              <w14:schemeClr w14:val="tx1"/>
            </w14:solidFill>
          </w14:textFill>
        </w:rPr>
        <w:t>年</w:t>
      </w:r>
      <w:r>
        <w:rPr>
          <w:rFonts w:ascii="宋体" w:hAnsi="宋体" w:hint="eastAsia"/>
          <w:color w:val="000000" w:themeColor="text1"/>
          <w:szCs w:val="21"/>
          <w:u w:val="single"/>
          <w14:textFill>
            <w14:solidFill>
              <w14:schemeClr w14:val="tx1"/>
            </w14:solidFill>
          </w14:textFill>
        </w:rPr>
        <w:t xml:space="preserve">   </w:t>
      </w:r>
      <w:r>
        <w:rPr>
          <w:rFonts w:ascii="宋体" w:hAnsi="宋体" w:hint="eastAsia"/>
          <w:color w:val="000000" w:themeColor="text1"/>
          <w:szCs w:val="21"/>
          <w14:textFill>
            <w14:solidFill>
              <w14:schemeClr w14:val="tx1"/>
            </w14:solidFill>
          </w14:textFill>
        </w:rPr>
        <w:t>月</w:t>
      </w:r>
      <w:r>
        <w:rPr>
          <w:rFonts w:ascii="宋体" w:hAnsi="宋体" w:hint="eastAsia"/>
          <w:color w:val="000000" w:themeColor="text1"/>
          <w:szCs w:val="21"/>
          <w:u w:val="single"/>
          <w14:textFill>
            <w14:solidFill>
              <w14:schemeClr w14:val="tx1"/>
            </w14:solidFill>
          </w14:textFill>
        </w:rPr>
        <w:t xml:space="preserve">   </w:t>
      </w:r>
      <w:r>
        <w:rPr>
          <w:rFonts w:ascii="宋体" w:hAnsi="宋体" w:hint="eastAsia"/>
          <w:color w:val="000000" w:themeColor="text1"/>
          <w:szCs w:val="21"/>
          <w14:textFill>
            <w14:solidFill>
              <w14:schemeClr w14:val="tx1"/>
            </w14:solidFill>
          </w14:textFill>
        </w:rPr>
        <w:t>日</w:t>
      </w:r>
    </w:p>
    <w:p/>
    <w:p/>
    <w:p>
      <w:pPr>
        <w:pStyle w:val="Heading3"/>
        <w:spacing w:before="120" w:after="120"/>
        <w:jc w:val="center"/>
        <w:rPr>
          <w:rFonts w:ascii="黑体" w:eastAsia="黑体"/>
          <w:b w:val="0"/>
          <w:kern w:val="0"/>
          <w:sz w:val="24"/>
        </w:rPr>
      </w:pPr>
      <w:r>
        <w:rPr>
          <w:rFonts w:ascii="黑体" w:eastAsia="黑体" w:hint="eastAsia"/>
          <w:b w:val="0"/>
          <w:kern w:val="0"/>
          <w:sz w:val="24"/>
        </w:rPr>
        <w:t>三、投标人情况及资格证明文件</w:t>
      </w:r>
    </w:p>
    <w:p>
      <w:pPr>
        <w:outlineLvl w:val="3"/>
        <w:rPr>
          <w:rFonts w:ascii="黑体" w:eastAsia="黑体" w:hAnsi="宋体"/>
          <w:bCs/>
          <w:kern w:val="0"/>
          <w:sz w:val="24"/>
          <w:szCs w:val="32"/>
        </w:rPr>
      </w:pPr>
      <w:r>
        <w:rPr>
          <w:rFonts w:ascii="黑体" w:eastAsia="黑体" w:hAnsi="宋体" w:hint="eastAsia"/>
          <w:bCs/>
          <w:kern w:val="0"/>
          <w:sz w:val="24"/>
          <w:szCs w:val="32"/>
        </w:rPr>
        <w:t>（一）投标人资格证明文件</w:t>
      </w:r>
    </w:p>
    <w:p>
      <w:pPr>
        <w:spacing w:before="120" w:beforeLines="50"/>
        <w:ind w:firstLine="420" w:firstLineChars="200"/>
        <w:rPr>
          <w:b/>
          <w:bCs/>
          <w:color w:val="FF0000"/>
        </w:rPr>
      </w:pPr>
      <w:r>
        <w:rPr>
          <w:rFonts w:hint="eastAsia"/>
          <w:b/>
          <w:bCs/>
          <w:color w:val="FF0000"/>
        </w:rPr>
        <w:t>（特别提示：投标人须按本招标文件第一册第一章招标公告 “申请人的资格要求”（即投标人资格要求）提供相关的资格证明资料，未提供或提供不完整、不符合要求的，将作投标无效处理。）</w:t>
      </w:r>
    </w:p>
    <w:p>
      <w:pPr>
        <w:ind w:firstLine="420" w:firstLineChars="200"/>
        <w:outlineLvl w:val="3"/>
        <w:rPr>
          <w:rFonts w:ascii="黑体" w:eastAsia="黑体" w:hAnsi="宋体"/>
          <w:bCs/>
          <w:kern w:val="0"/>
          <w:sz w:val="24"/>
          <w:szCs w:val="32"/>
        </w:rPr>
      </w:pPr>
    </w:p>
    <w:p>
      <w:pPr>
        <w:outlineLvl w:val="3"/>
        <w:rPr>
          <w:rFonts w:ascii="黑体" w:eastAsia="黑体" w:hAnsi="宋体"/>
          <w:bCs/>
          <w:kern w:val="0"/>
          <w:sz w:val="24"/>
          <w:szCs w:val="32"/>
        </w:rPr>
      </w:pPr>
      <w:r>
        <w:rPr>
          <w:rFonts w:ascii="黑体" w:eastAsia="黑体" w:hAnsi="宋体" w:hint="eastAsia"/>
          <w:bCs/>
          <w:kern w:val="0"/>
          <w:sz w:val="24"/>
          <w:szCs w:val="32"/>
        </w:rPr>
        <w:t>（二）中小企业声明函、残疾人福利性单位声明函及监狱企业声明函</w:t>
      </w:r>
    </w:p>
    <w:p>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填写指引：</w:t>
      </w:r>
    </w:p>
    <w:p>
      <w:pPr>
        <w:ind w:firstLine="420" w:firstLineChars="200"/>
        <w:outlineLvl w:val="3"/>
        <w:rPr>
          <w:rFonts w:ascii="黑体" w:eastAsia="黑体" w:hAnsi="黑体"/>
          <w:color w:val="FF0000"/>
          <w:szCs w:val="21"/>
        </w:rPr>
      </w:pPr>
      <w:r>
        <w:rPr>
          <w:rFonts w:ascii="黑体" w:eastAsia="黑体" w:hAnsi="宋体" w:hint="eastAsia"/>
          <w:bCs/>
          <w:color w:val="FF0000"/>
          <w:kern w:val="0"/>
          <w:szCs w:val="21"/>
        </w:rPr>
        <w:t>1、该部分内容由投标人根据自身实际情况填写，不符合要求的投标人可以不填写或直接删除相应的声明函。</w:t>
      </w:r>
      <w:r>
        <w:rPr>
          <w:rFonts w:ascii="黑体" w:eastAsia="黑体" w:hAnsi="黑体" w:hint="eastAsia"/>
          <w:color w:val="FF0000"/>
          <w:szCs w:val="21"/>
        </w:rPr>
        <w:t>投标人提供的声明函不属实的，属于提供虚假资料谋取中标，依照《中华人民共和国政府采购法》等国家有关规定追究相应责任。</w:t>
      </w:r>
    </w:p>
    <w:p>
      <w:pPr>
        <w:ind w:firstLine="420" w:firstLineChars="200"/>
        <w:outlineLvl w:val="3"/>
        <w:rPr>
          <w:rFonts w:ascii="黑体" w:eastAsia="黑体" w:hAnsi="黑体"/>
          <w:color w:val="FF0000"/>
          <w:szCs w:val="21"/>
        </w:rPr>
      </w:pPr>
      <w:r>
        <w:rPr>
          <w:rFonts w:ascii="黑体" w:eastAsia="黑体" w:hAnsi="黑体" w:hint="eastAsia"/>
          <w:color w:val="FF0000"/>
          <w:szCs w:val="21"/>
        </w:rPr>
        <w:t>2、该部分内容填写需要参考的相关文件：(</w:t>
      </w:r>
      <w:r>
        <w:rPr>
          <w:rFonts w:ascii="黑体" w:eastAsia="黑体" w:hAnsi="黑体"/>
          <w:color w:val="FF0000"/>
          <w:szCs w:val="21"/>
        </w:rPr>
        <w:t>1</w:t>
      </w:r>
      <w:r>
        <w:rPr>
          <w:rFonts w:ascii="黑体" w:eastAsia="黑体" w:hAnsi="黑体" w:hint="eastAsia"/>
          <w:color w:val="FF0000"/>
          <w:szCs w:val="21"/>
        </w:rPr>
        <w:t>)财政部《政府采购促进中小企业发展管理办法》（财库〔2020〕46号）；(</w:t>
      </w:r>
      <w:r>
        <w:rPr>
          <w:rFonts w:ascii="黑体" w:eastAsia="黑体" w:hAnsi="黑体"/>
          <w:color w:val="FF0000"/>
          <w:szCs w:val="21"/>
        </w:rPr>
        <w:t>2</w:t>
      </w:r>
      <w:r>
        <w:rPr>
          <w:rFonts w:ascii="黑体" w:eastAsia="黑体" w:hAnsi="黑体" w:hint="eastAsia"/>
          <w:color w:val="FF0000"/>
          <w:szCs w:val="21"/>
        </w:rPr>
        <w:t>)《工业和信息化部、国家统计局、国家发展和改革委员会、财政部关于印发中小企业划型标准规定的通知》（工信部联企业〔2011〕300 号，以下简称3</w:t>
      </w:r>
      <w:r>
        <w:rPr>
          <w:rFonts w:ascii="黑体" w:eastAsia="黑体" w:hAnsi="黑体"/>
          <w:color w:val="FF0000"/>
          <w:szCs w:val="21"/>
        </w:rPr>
        <w:t>00</w:t>
      </w:r>
      <w:r>
        <w:rPr>
          <w:rFonts w:ascii="黑体" w:eastAsia="黑体" w:hAnsi="黑体" w:hint="eastAsia"/>
          <w:color w:val="FF0000"/>
          <w:szCs w:val="21"/>
        </w:rPr>
        <w:t>号文）。</w:t>
      </w:r>
    </w:p>
    <w:p>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3、请依照提供的格式和内容填写声明函，不要随意变更格式；声明函不需要盖章或签字</w:t>
      </w:r>
      <w:r>
        <w:rPr>
          <w:rFonts w:ascii="黑体" w:eastAsia="黑体" w:hAnsi="黑体" w:hint="eastAsia"/>
          <w:color w:val="FF0000"/>
          <w:szCs w:val="21"/>
        </w:rPr>
        <w:t>。</w:t>
      </w:r>
    </w:p>
    <w:p>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4、声明函具体填写要求：</w:t>
      </w:r>
    </w:p>
    <w:p>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（1）声明是中小企业须填写《中小企业声明函》的以下内容：</w:t>
      </w:r>
    </w:p>
    <w:p>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第一处，在“单位名称”下划线处如实填写采购人名称（深圳公共资源交易中心不是本项目的采购人，而是组织实施机构）；</w:t>
      </w:r>
    </w:p>
    <w:p>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第二处，在“项目名称”下划线处如实填写采购项目名称；</w:t>
      </w:r>
    </w:p>
    <w:p>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第三处，在“标的名称”下划线处填写所采购服务（标的）的具体名称（以招标文件第一册第三章用户需求书“服务需求明细”的“服务需求名称”一栏为准）；如果涉及多个服务需求（标的）由同一企业承接，“标的名称”下划线处可以如实填写多个服务需求（标的）；</w:t>
      </w:r>
    </w:p>
    <w:p>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第四处，在“招标文件中明确的所属行业”下划线处填写采购标的对应的中小企业划分标准所属行业（所属行业可在招标文件第一册第二章“对通用条款的补充内容及其他关键信息”章节查看）；</w:t>
      </w:r>
    </w:p>
    <w:p>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第五处，在“企业名称”下划线处如实填写承接企业名称；在“从业人员”、“营业收入”、“资产总额”下划线处如实填写从业人员、营业收入、资产总额；在“中型企业、小型企业、微型企业”下划线处如实依照300号文填写相应的企业类型；从业人员、营业收入、资产总额填报上一年度数据，无上一年度数据的新成立企业可以不填报。</w:t>
      </w:r>
    </w:p>
    <w:p>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（2）声明是残疾人福利性单位须填写《残疾人福利性单位声明函》的相关内容（填写位置的字体已加粗），具体参照以上《中小企业声明函》填写要求执行。</w:t>
      </w:r>
    </w:p>
    <w:p>
      <w:pPr>
        <w:ind w:firstLine="420" w:firstLineChars="200"/>
        <w:outlineLvl w:val="3"/>
        <w:rPr>
          <w:rFonts w:ascii="黑体" w:eastAsia="黑体" w:hAnsi="宋体"/>
          <w:bCs/>
          <w:color w:val="FF0000"/>
          <w:kern w:val="0"/>
          <w:szCs w:val="21"/>
        </w:rPr>
      </w:pPr>
      <w:r>
        <w:rPr>
          <w:rFonts w:ascii="黑体" w:eastAsia="黑体" w:hAnsi="宋体" w:hint="eastAsia"/>
          <w:bCs/>
          <w:color w:val="FF0000"/>
          <w:kern w:val="0"/>
          <w:szCs w:val="21"/>
        </w:rPr>
        <w:t>（3）声明是监狱企业须填写《监狱企业声明函》的相关内容（填写位置的字体已加粗），具体参照以上《中小企业声明函》填写要求执行。</w:t>
      </w:r>
    </w:p>
    <w:p>
      <w:pPr>
        <w:ind w:firstLine="420" w:firstLineChars="200"/>
        <w:outlineLvl w:val="3"/>
        <w:rPr>
          <w:rFonts w:ascii="宋体" w:hAnsi="宋体"/>
          <w:szCs w:val="21"/>
        </w:rPr>
      </w:pPr>
      <w:r>
        <w:rPr>
          <w:rFonts w:ascii="黑体" w:eastAsia="黑体" w:hAnsi="宋体" w:hint="eastAsia"/>
          <w:bCs/>
          <w:color w:val="FF0000"/>
          <w:kern w:val="0"/>
          <w:szCs w:val="21"/>
        </w:rPr>
        <w:t>5、本项目属于专门面向中小微企业采购，要求提供声明函作为依据，未提供声明函或声明内容不满足要求的，做资格审查不通过处理。</w:t>
      </w:r>
    </w:p>
    <w:p>
      <w:pPr>
        <w:ind w:firstLine="420" w:firstLineChars="200"/>
      </w:pPr>
    </w:p>
    <w:p>
      <w:pPr>
        <w:jc w:val="center"/>
        <w:outlineLvl w:val="3"/>
        <w:rPr>
          <w:b/>
          <w:sz w:val="24"/>
        </w:rPr>
      </w:pPr>
      <w:r>
        <w:rPr>
          <w:rFonts w:hint="eastAsia"/>
          <w:b/>
          <w:sz w:val="24"/>
        </w:rPr>
        <w:t>1、</w:t>
      </w:r>
      <w:r>
        <w:rPr>
          <w:b/>
          <w:sz w:val="24"/>
        </w:rPr>
        <w:t>中小企业声明函（</w:t>
      </w:r>
      <w:r>
        <w:rPr>
          <w:rFonts w:hint="eastAsia"/>
          <w:b/>
          <w:sz w:val="24"/>
        </w:rPr>
        <w:t>服务</w:t>
      </w:r>
      <w:r>
        <w:rPr>
          <w:b/>
          <w:sz w:val="24"/>
        </w:rPr>
        <w:t xml:space="preserve">） </w:t>
      </w:r>
    </w:p>
    <w:p>
      <w:pPr>
        <w:ind w:firstLine="420" w:firstLineChars="200"/>
        <w:outlineLvl w:val="3"/>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cstheme="minorBidi"/>
          <w:szCs w:val="21"/>
        </w:rPr>
        <w:t>郑重声明，根据《政府采购促进中小企业发展管理办法》（财库</w:t>
      </w:r>
      <w:r>
        <w:rPr>
          <w:rFonts w:ascii="宋体" w:hAnsi="宋体" w:cs="微软雅黑" w:hint="eastAsia"/>
          <w:szCs w:val="21"/>
        </w:rPr>
        <w:t>﹝</w:t>
      </w:r>
      <w:r>
        <w:rPr>
          <w:rFonts w:ascii="宋体" w:hAnsi="宋体" w:cstheme="minorBidi"/>
          <w:szCs w:val="21"/>
        </w:rPr>
        <w:t>2020</w:t>
      </w:r>
      <w:r>
        <w:rPr>
          <w:rFonts w:ascii="宋体" w:hAnsi="宋体" w:cs="微软雅黑" w:hint="eastAsia"/>
          <w:szCs w:val="21"/>
        </w:rPr>
        <w:t>﹞</w:t>
      </w:r>
      <w:r>
        <w:rPr>
          <w:rFonts w:ascii="宋体" w:hAnsi="宋体" w:cstheme="minorBidi"/>
          <w:szCs w:val="21"/>
        </w:rPr>
        <w:t>46 号）的规定，本</w:t>
      </w:r>
      <w:r>
        <w:rPr>
          <w:rFonts w:ascii="宋体" w:hAnsi="宋体" w:cstheme="minorBidi" w:hint="eastAsia"/>
          <w:szCs w:val="21"/>
        </w:rPr>
        <w:t>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全部由符合政策要求的中小企业</w:t>
      </w:r>
      <w:r>
        <w:rPr>
          <w:rFonts w:ascii="宋体" w:hAnsi="宋体" w:hint="eastAsia"/>
          <w:szCs w:val="21"/>
        </w:rPr>
        <w:t>承接</w:t>
      </w:r>
      <w:r>
        <w:rPr>
          <w:rFonts w:ascii="宋体" w:hAnsi="宋体"/>
          <w:szCs w:val="21"/>
        </w:rPr>
        <w:t>。相关企业的具体情况如下：</w:t>
      </w:r>
    </w:p>
    <w:p>
      <w:pPr>
        <w:ind w:firstLine="420" w:firstLineChars="200"/>
        <w:outlineLvl w:val="3"/>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w:t>
      </w:r>
      <w:r>
        <w:rPr>
          <w:rFonts w:ascii="宋体" w:hAnsi="宋体" w:hint="eastAsia"/>
          <w:szCs w:val="21"/>
        </w:rPr>
        <w:t>承接企业</w:t>
      </w:r>
      <w:r>
        <w:rPr>
          <w:rFonts w:ascii="宋体" w:hAnsi="宋体"/>
          <w:szCs w:val="21"/>
        </w:rPr>
        <w:t>为</w:t>
      </w:r>
      <w:r>
        <w:rPr>
          <w:rFonts w:ascii="宋体" w:hAnsi="宋体"/>
          <w:b/>
          <w:bCs/>
          <w:szCs w:val="21"/>
          <w:u w:val="single"/>
        </w:rPr>
        <w:t>（企业名称）</w:t>
      </w:r>
      <w:r>
        <w:rPr>
          <w:rFonts w:ascii="宋体" w:hAnsi="宋体"/>
          <w:szCs w:val="21"/>
        </w:rPr>
        <w:t>，从业人员</w:t>
      </w:r>
      <w:r>
        <w:rPr>
          <w:rFonts w:ascii="宋体" w:hAnsi="宋体"/>
          <w:b/>
          <w:bCs/>
          <w:szCs w:val="21"/>
          <w:u w:val="single"/>
        </w:rPr>
        <w:t xml:space="preserve">  </w:t>
      </w:r>
      <w:r>
        <w:rPr>
          <w:rFonts w:ascii="宋体" w:hAnsi="宋体"/>
          <w:szCs w:val="21"/>
        </w:rPr>
        <w:t>人，营业收入为</w:t>
      </w:r>
      <w:r>
        <w:rPr>
          <w:rFonts w:ascii="宋体" w:hAnsi="宋体"/>
          <w:b/>
          <w:bCs/>
          <w:szCs w:val="21"/>
          <w:u w:val="single"/>
        </w:rPr>
        <w:t xml:space="preserve">  </w:t>
      </w:r>
      <w:r>
        <w:rPr>
          <w:rFonts w:ascii="宋体" w:hAnsi="宋体"/>
          <w:szCs w:val="21"/>
        </w:rPr>
        <w:t>万元，资产总额为</w:t>
      </w:r>
      <w:r>
        <w:rPr>
          <w:rFonts w:ascii="宋体" w:hAnsi="宋体" w:hint="eastAsia"/>
          <w:b/>
          <w:bCs/>
          <w:szCs w:val="21"/>
          <w:u w:val="single"/>
        </w:rPr>
        <w:t xml:space="preserve"> </w:t>
      </w:r>
      <w:r>
        <w:rPr>
          <w:rFonts w:ascii="宋体" w:hAnsi="宋体"/>
          <w:b/>
          <w:bCs/>
          <w:szCs w:val="21"/>
          <w:u w:val="single"/>
        </w:rPr>
        <w:t xml:space="preserve"> </w:t>
      </w:r>
      <w:r>
        <w:rPr>
          <w:rFonts w:ascii="宋体" w:hAnsi="宋体"/>
          <w:szCs w:val="21"/>
        </w:rPr>
        <w:t>万元 ，属于</w:t>
      </w:r>
      <w:r>
        <w:rPr>
          <w:rFonts w:ascii="宋体" w:hAnsi="宋体"/>
          <w:b/>
          <w:bCs/>
          <w:szCs w:val="21"/>
          <w:u w:val="single"/>
        </w:rPr>
        <w:t>（中型企业、小型企业、微型企业）</w:t>
      </w:r>
      <w:r>
        <w:rPr>
          <w:rFonts w:ascii="宋体" w:hAnsi="宋体"/>
          <w:szCs w:val="21"/>
        </w:rPr>
        <w:t xml:space="preserve">； </w:t>
      </w:r>
    </w:p>
    <w:p>
      <w:pPr>
        <w:ind w:firstLine="420" w:firstLineChars="200"/>
        <w:outlineLvl w:val="3"/>
        <w:rPr>
          <w:rFonts w:ascii="宋体" w:hAnsi="宋体"/>
          <w:szCs w:val="21"/>
          <w:u w:val="single"/>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，属于</w:t>
      </w:r>
      <w:r>
        <w:rPr>
          <w:rFonts w:ascii="宋体" w:hAnsi="宋体"/>
          <w:b/>
          <w:bCs/>
          <w:szCs w:val="21"/>
          <w:u w:val="single"/>
        </w:rPr>
        <w:t>（</w:t>
      </w:r>
      <w:r>
        <w:rPr>
          <w:rFonts w:ascii="宋体" w:hAnsi="宋体" w:hint="eastAsia"/>
          <w:b/>
          <w:bCs/>
          <w:szCs w:val="21"/>
          <w:u w:val="single"/>
        </w:rPr>
        <w:t>招标</w:t>
      </w:r>
      <w:r>
        <w:rPr>
          <w:rFonts w:ascii="宋体" w:hAnsi="宋体"/>
          <w:b/>
          <w:bCs/>
          <w:szCs w:val="21"/>
          <w:u w:val="single"/>
        </w:rPr>
        <w:t xml:space="preserve">文件中明确的所属行业） </w:t>
      </w:r>
      <w:r>
        <w:rPr>
          <w:rFonts w:ascii="宋体" w:hAnsi="宋体"/>
          <w:szCs w:val="21"/>
        </w:rPr>
        <w:t>行业；</w:t>
      </w:r>
      <w:r>
        <w:rPr>
          <w:rFonts w:ascii="宋体" w:hAnsi="宋体" w:hint="eastAsia"/>
          <w:szCs w:val="21"/>
        </w:rPr>
        <w:t>承接企业</w:t>
      </w:r>
      <w:r>
        <w:rPr>
          <w:rFonts w:ascii="宋体" w:hAnsi="宋体"/>
          <w:szCs w:val="21"/>
        </w:rPr>
        <w:t>为</w:t>
      </w:r>
      <w:r>
        <w:rPr>
          <w:rFonts w:ascii="宋体" w:hAnsi="宋体"/>
          <w:b/>
          <w:bCs/>
          <w:szCs w:val="21"/>
          <w:u w:val="single"/>
        </w:rPr>
        <w:t>（企业名称）</w:t>
      </w:r>
      <w:r>
        <w:rPr>
          <w:rFonts w:ascii="宋体" w:hAnsi="宋体"/>
          <w:szCs w:val="21"/>
        </w:rPr>
        <w:t>，从业人员</w:t>
      </w:r>
      <w:r>
        <w:rPr>
          <w:rFonts w:ascii="宋体" w:hAnsi="宋体"/>
          <w:b/>
          <w:bCs/>
          <w:szCs w:val="21"/>
          <w:u w:val="single"/>
        </w:rPr>
        <w:t xml:space="preserve">  </w:t>
      </w:r>
      <w:r>
        <w:rPr>
          <w:rFonts w:ascii="宋体" w:hAnsi="宋体"/>
          <w:szCs w:val="21"/>
        </w:rPr>
        <w:t>人，营业收入为</w:t>
      </w:r>
      <w:r>
        <w:rPr>
          <w:rFonts w:ascii="宋体" w:hAnsi="宋体"/>
          <w:b/>
          <w:bCs/>
          <w:szCs w:val="21"/>
          <w:u w:val="single"/>
        </w:rPr>
        <w:t xml:space="preserve">  </w:t>
      </w:r>
      <w:r>
        <w:rPr>
          <w:rFonts w:ascii="宋体" w:hAnsi="宋体"/>
          <w:szCs w:val="21"/>
        </w:rPr>
        <w:t>万元，资产总额为</w:t>
      </w:r>
      <w:r>
        <w:rPr>
          <w:rFonts w:ascii="宋体" w:hAnsi="宋体" w:hint="eastAsia"/>
          <w:b/>
          <w:bCs/>
          <w:szCs w:val="21"/>
          <w:u w:val="single"/>
        </w:rPr>
        <w:t xml:space="preserve"> </w:t>
      </w:r>
      <w:r>
        <w:rPr>
          <w:rFonts w:ascii="宋体" w:hAnsi="宋体"/>
          <w:b/>
          <w:bCs/>
          <w:szCs w:val="21"/>
          <w:u w:val="single"/>
        </w:rPr>
        <w:t xml:space="preserve"> </w:t>
      </w:r>
      <w:r>
        <w:rPr>
          <w:rFonts w:ascii="宋体" w:hAnsi="宋体"/>
          <w:szCs w:val="21"/>
        </w:rPr>
        <w:t>万元 ，属于</w:t>
      </w:r>
      <w:r>
        <w:rPr>
          <w:rFonts w:ascii="宋体" w:hAnsi="宋体"/>
          <w:b/>
          <w:bCs/>
          <w:szCs w:val="21"/>
          <w:u w:val="single"/>
        </w:rPr>
        <w:t>（中型企业、小型企业、微型企业）</w:t>
      </w:r>
      <w:r>
        <w:rPr>
          <w:rFonts w:ascii="宋体" w:hAnsi="宋体" w:hint="eastAsia"/>
          <w:szCs w:val="21"/>
        </w:rPr>
        <w:t>；</w:t>
      </w:r>
    </w:p>
    <w:p>
      <w:pPr>
        <w:ind w:firstLine="420" w:firstLineChars="200"/>
        <w:outlineLvl w:val="3"/>
        <w:rPr>
          <w:rFonts w:ascii="宋体" w:hAnsi="宋体"/>
          <w:szCs w:val="21"/>
        </w:rPr>
      </w:pPr>
      <w:r>
        <w:rPr>
          <w:rFonts w:ascii="宋体" w:hAnsi="宋体"/>
          <w:szCs w:val="21"/>
        </w:rPr>
        <w:t xml:space="preserve">…… </w:t>
      </w:r>
    </w:p>
    <w:p>
      <w:pPr>
        <w:ind w:firstLine="420" w:firstLineChars="200"/>
        <w:outlineLvl w:val="3"/>
        <w:rPr>
          <w:rFonts w:ascii="宋体" w:hAnsi="宋体"/>
          <w:szCs w:val="21"/>
        </w:rPr>
      </w:pPr>
      <w:r>
        <w:rPr>
          <w:rFonts w:ascii="宋体" w:hAnsi="宋体"/>
          <w:szCs w:val="21"/>
        </w:rPr>
        <w:t>以上企业，不属于大企业的分支机构，不存在控股股东为大企业的情形，也不存在与大企业的负责人为同一人的情形。</w:t>
      </w:r>
    </w:p>
    <w:p>
      <w:pPr>
        <w:ind w:firstLine="420" w:firstLineChars="200"/>
        <w:outlineLvl w:val="3"/>
        <w:rPr>
          <w:rFonts w:ascii="宋体" w:hAnsi="宋体"/>
          <w:bCs/>
          <w:color w:val="FF0000"/>
          <w:kern w:val="0"/>
          <w:szCs w:val="21"/>
        </w:rPr>
      </w:pPr>
      <w:bookmarkStart w:id="42" w:name="_Hlk73562275"/>
      <w:r>
        <w:rPr>
          <w:rFonts w:hint="eastAsia"/>
        </w:rPr>
        <w:t>本</w:t>
      </w:r>
      <w:r>
        <w:t>投标人已知悉《政府采购促进中小企业发展管理办法》（财库〔2020〕 46 号）、《中小企业划型标准规定》（工信部联企〔2011〕 300 号）、《统计上大中小微型企业划分办法（2017）》等规定，承诺提供的声明函内容是真实的，并知悉根据《政府采购促进中小企业发展管理办法》（财库〔2020〕46 号）第二十条规定，</w:t>
      </w:r>
      <w:r>
        <w:rPr>
          <w:rFonts w:hint="eastAsia"/>
        </w:rPr>
        <w:t>投标人</w:t>
      </w:r>
      <w:r>
        <w:t>按照本办法规定提供声明函内容不实的，属于提供虚假材料谋取中标，依照《政府采购法》等政府采购有关法律法规规定追究相应责任</w:t>
      </w:r>
      <w:r>
        <w:rPr>
          <w:rFonts w:hint="eastAsia"/>
        </w:rPr>
        <w:t>。</w:t>
      </w:r>
      <w:bookmarkEnd w:id="42"/>
    </w:p>
    <w:p>
      <w:pPr>
        <w:ind w:firstLine="420" w:firstLineChars="200"/>
      </w:pPr>
    </w:p>
    <w:p>
      <w:pPr>
        <w:jc w:val="center"/>
        <w:outlineLvl w:val="3"/>
        <w:rPr>
          <w:b/>
          <w:sz w:val="24"/>
        </w:rPr>
      </w:pPr>
      <w:r>
        <w:rPr>
          <w:rFonts w:hint="eastAsia"/>
          <w:b/>
          <w:sz w:val="24"/>
        </w:rPr>
        <w:t>2、残疾人福利性单位声明函（服务类）</w:t>
      </w:r>
    </w:p>
    <w:p>
      <w:pPr>
        <w:rPr>
          <w:b/>
          <w:bCs/>
        </w:rPr>
      </w:pPr>
    </w:p>
    <w:p>
      <w:pPr>
        <w:ind w:firstLine="420" w:firstLineChars="20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hint="eastAsia"/>
          <w:szCs w:val="21"/>
        </w:rPr>
        <w:t>郑重声明，根据《财政部民政部中国残疾人联合会关于促进残疾人就业政府采购政策的通知》（财库〔</w:t>
      </w:r>
      <w:r>
        <w:rPr>
          <w:rFonts w:ascii="宋体" w:hAnsi="宋体"/>
          <w:szCs w:val="21"/>
        </w:rPr>
        <w:t>2017</w:t>
      </w:r>
      <w:r>
        <w:rPr>
          <w:rFonts w:ascii="宋体" w:hAnsi="宋体" w:hint="eastAsia"/>
          <w:szCs w:val="21"/>
        </w:rPr>
        <w:t>〕</w:t>
      </w:r>
      <w:r>
        <w:rPr>
          <w:rFonts w:ascii="宋体" w:hAnsi="宋体"/>
          <w:szCs w:val="21"/>
        </w:rPr>
        <w:t xml:space="preserve">141 </w:t>
      </w:r>
      <w:r>
        <w:rPr>
          <w:rFonts w:ascii="宋体" w:hAnsi="宋体" w:hint="eastAsia"/>
          <w:szCs w:val="21"/>
        </w:rPr>
        <w:t>号）的规定，本投标人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w:t>
      </w:r>
      <w:r>
        <w:rPr>
          <w:rFonts w:ascii="宋体" w:hAnsi="宋体" w:hint="eastAsia"/>
          <w:szCs w:val="21"/>
        </w:rPr>
        <w:t>残疾人福利性单位承接</w:t>
      </w:r>
      <w:r>
        <w:rPr>
          <w:rFonts w:ascii="宋体" w:hAnsi="宋体"/>
          <w:szCs w:val="21"/>
        </w:rPr>
        <w:t>。相关</w:t>
      </w:r>
      <w:r>
        <w:rPr>
          <w:rFonts w:ascii="宋体" w:hAnsi="宋体" w:hint="eastAsia"/>
          <w:szCs w:val="21"/>
        </w:rPr>
        <w:t>残疾人福利性单位</w:t>
      </w:r>
      <w:r>
        <w:rPr>
          <w:rFonts w:ascii="宋体" w:hAnsi="宋体"/>
          <w:szCs w:val="21"/>
        </w:rPr>
        <w:t>的具体情况如下：</w:t>
      </w:r>
    </w:p>
    <w:p>
      <w:pPr>
        <w:ind w:firstLine="42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w:t>
      </w:r>
      <w:r>
        <w:rPr>
          <w:rFonts w:ascii="宋体" w:hAnsi="宋体" w:hint="eastAsia"/>
          <w:szCs w:val="21"/>
        </w:rPr>
        <w:t>，承接企业</w:t>
      </w:r>
      <w:r>
        <w:rPr>
          <w:rFonts w:ascii="宋体" w:hAnsi="宋体"/>
          <w:szCs w:val="21"/>
        </w:rPr>
        <w:t>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szCs w:val="21"/>
        </w:rPr>
        <w:t>；</w:t>
      </w:r>
    </w:p>
    <w:p>
      <w:pPr>
        <w:ind w:firstLine="42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w:t>
      </w:r>
      <w:r>
        <w:rPr>
          <w:rFonts w:ascii="宋体" w:hAnsi="宋体" w:hint="eastAsia"/>
          <w:szCs w:val="21"/>
        </w:rPr>
        <w:t>，承接企业</w:t>
      </w:r>
      <w:r>
        <w:rPr>
          <w:rFonts w:ascii="宋体" w:hAnsi="宋体"/>
          <w:szCs w:val="21"/>
        </w:rPr>
        <w:t>为</w:t>
      </w:r>
      <w:r>
        <w:rPr>
          <w:rFonts w:ascii="宋体" w:hAnsi="宋体"/>
          <w:b/>
          <w:bCs/>
          <w:szCs w:val="21"/>
          <w:u w:val="single"/>
        </w:rPr>
        <w:t>（</w:t>
      </w:r>
      <w:r>
        <w:rPr>
          <w:rFonts w:ascii="宋体" w:hAnsi="宋体" w:hint="eastAsia"/>
          <w:b/>
          <w:bCs/>
          <w:szCs w:val="21"/>
          <w:u w:val="single"/>
        </w:rPr>
        <w:t>单位</w:t>
      </w:r>
      <w:r>
        <w:rPr>
          <w:rFonts w:ascii="宋体" w:hAnsi="宋体"/>
          <w:b/>
          <w:bCs/>
          <w:szCs w:val="21"/>
          <w:u w:val="single"/>
        </w:rPr>
        <w:t>名称）</w:t>
      </w:r>
      <w:r>
        <w:rPr>
          <w:rFonts w:ascii="宋体" w:hAnsi="宋体"/>
          <w:szCs w:val="21"/>
        </w:rPr>
        <w:t>，属于</w:t>
      </w:r>
      <w:r>
        <w:rPr>
          <w:rFonts w:ascii="宋体" w:hAnsi="宋体" w:hint="eastAsia"/>
          <w:b/>
          <w:bCs/>
          <w:szCs w:val="21"/>
          <w:u w:val="single"/>
        </w:rPr>
        <w:t>残疾人福利性单位</w:t>
      </w:r>
      <w:r>
        <w:rPr>
          <w:rFonts w:ascii="宋体" w:hAnsi="宋体" w:hint="eastAsia"/>
          <w:szCs w:val="21"/>
        </w:rPr>
        <w:t>。</w:t>
      </w:r>
    </w:p>
    <w:p>
      <w:pPr>
        <w:ind w:firstLine="420" w:firstLineChars="200"/>
        <w:outlineLvl w:val="3"/>
        <w:rPr>
          <w:rFonts w:ascii="宋体" w:hAnsi="宋体"/>
          <w:szCs w:val="21"/>
        </w:rPr>
      </w:pPr>
      <w:r>
        <w:rPr>
          <w:rFonts w:ascii="宋体" w:hAnsi="宋体"/>
          <w:szCs w:val="21"/>
        </w:rPr>
        <w:t xml:space="preserve">…… </w:t>
      </w:r>
    </w:p>
    <w:p>
      <w:pPr>
        <w:ind w:firstLine="420" w:firstLineChars="200"/>
        <w:rPr>
          <w:rFonts w:ascii="宋体" w:hAnsi="宋体"/>
          <w:szCs w:val="21"/>
        </w:rPr>
      </w:pPr>
      <w:r>
        <w:rPr>
          <w:rFonts w:hint="eastAsia"/>
        </w:rPr>
        <w:t>本</w:t>
      </w:r>
      <w:r>
        <w:t>投标人</w:t>
      </w:r>
      <w:r>
        <w:rPr>
          <w:rFonts w:hint="eastAsia"/>
        </w:rPr>
        <w:t>已</w:t>
      </w:r>
      <w:r>
        <w:t>知悉</w:t>
      </w:r>
      <w:r>
        <w:rPr>
          <w:rFonts w:hint="eastAsia"/>
        </w:rPr>
        <w:t>《财政部民政部中国残疾人联合会关于促进残疾人就业政府采购政策的通知》（财库〔2017〕141 号）</w:t>
      </w:r>
      <w:r>
        <w:t>的规定，承诺提供的声明函内容是真实的，如提供声明函内容不实，则依法追究相关法律责任</w:t>
      </w:r>
      <w:r>
        <w:rPr>
          <w:rFonts w:hint="eastAsia"/>
        </w:rPr>
        <w:t>。</w:t>
      </w:r>
    </w:p>
    <w:p>
      <w:pPr>
        <w:ind w:firstLine="420" w:firstLineChars="200"/>
        <w:rPr>
          <w:rFonts w:ascii="宋体" w:hAnsi="宋体"/>
          <w:szCs w:val="21"/>
        </w:rPr>
      </w:pPr>
    </w:p>
    <w:p>
      <w:pPr>
        <w:jc w:val="center"/>
        <w:outlineLvl w:val="3"/>
        <w:rPr>
          <w:b/>
          <w:sz w:val="24"/>
        </w:rPr>
      </w:pPr>
      <w:r>
        <w:rPr>
          <w:rFonts w:hint="eastAsia"/>
          <w:b/>
          <w:sz w:val="24"/>
        </w:rPr>
        <w:t>3、监狱企业声明函【服务类，监狱企业如需享受优惠政策，还须另行提供省级以上监狱管理局、戒毒管理局（含新疆生产建设兵团）出具的监狱企业证明文件】</w:t>
      </w:r>
    </w:p>
    <w:p>
      <w:pPr>
        <w:ind w:firstLine="420" w:firstLineChars="200"/>
        <w:rPr>
          <w:rFonts w:ascii="宋体" w:hAnsi="宋体"/>
          <w:szCs w:val="21"/>
        </w:rPr>
      </w:pPr>
      <w:r>
        <w:rPr>
          <w:rFonts w:ascii="宋体" w:hAnsi="宋体" w:hint="eastAsia"/>
          <w:szCs w:val="21"/>
        </w:rPr>
        <w:t>本投标人郑重声明，根据《财政部司法部关于政府采购支持监狱企业发展有关问题的通知》（财库〔</w:t>
      </w:r>
      <w:r>
        <w:rPr>
          <w:rFonts w:ascii="宋体" w:hAnsi="宋体"/>
          <w:szCs w:val="21"/>
        </w:rPr>
        <w:t>2014</w:t>
      </w:r>
      <w:r>
        <w:rPr>
          <w:rFonts w:ascii="宋体" w:hAnsi="宋体" w:hint="eastAsia"/>
          <w:szCs w:val="21"/>
        </w:rPr>
        <w:t>〕</w:t>
      </w:r>
      <w:r>
        <w:rPr>
          <w:rFonts w:ascii="宋体" w:hAnsi="宋体"/>
          <w:szCs w:val="21"/>
        </w:rPr>
        <w:t>68</w:t>
      </w:r>
      <w:r>
        <w:rPr>
          <w:rFonts w:ascii="宋体" w:hAnsi="宋体" w:hint="eastAsia"/>
          <w:szCs w:val="21"/>
        </w:rPr>
        <w:t>号）的规定，本投标人</w:t>
      </w:r>
      <w:r>
        <w:rPr>
          <w:rFonts w:ascii="宋体" w:hAnsi="宋体" w:cstheme="minorBidi"/>
          <w:szCs w:val="21"/>
        </w:rPr>
        <w:t>参加</w:t>
      </w:r>
      <w:r>
        <w:rPr>
          <w:rFonts w:ascii="宋体" w:hAnsi="宋体"/>
          <w:b/>
          <w:bCs/>
          <w:szCs w:val="21"/>
          <w:u w:val="single"/>
        </w:rPr>
        <w:t>（</w:t>
      </w:r>
      <w:r>
        <w:rPr>
          <w:rFonts w:ascii="宋体" w:hAnsi="宋体" w:hint="eastAsia"/>
          <w:b/>
          <w:bCs/>
          <w:szCs w:val="21"/>
          <w:u w:val="single"/>
        </w:rPr>
        <w:t>采购人</w:t>
      </w:r>
      <w:r>
        <w:rPr>
          <w:rFonts w:ascii="宋体" w:hAnsi="宋体"/>
          <w:b/>
          <w:bCs/>
          <w:szCs w:val="21"/>
          <w:u w:val="single"/>
        </w:rPr>
        <w:t>名称）</w:t>
      </w:r>
      <w:r>
        <w:rPr>
          <w:rFonts w:ascii="宋体" w:hAnsi="宋体"/>
          <w:szCs w:val="21"/>
        </w:rPr>
        <w:t>的</w:t>
      </w:r>
      <w:r>
        <w:rPr>
          <w:rFonts w:ascii="宋体" w:hAnsi="宋体"/>
          <w:b/>
          <w:bCs/>
          <w:szCs w:val="21"/>
          <w:u w:val="single"/>
        </w:rPr>
        <w:t>（项目名称）</w:t>
      </w:r>
      <w:r>
        <w:rPr>
          <w:rFonts w:ascii="宋体" w:hAnsi="宋体"/>
          <w:szCs w:val="21"/>
        </w:rPr>
        <w:t>采购活动，</w:t>
      </w:r>
      <w:r>
        <w:rPr>
          <w:rFonts w:ascii="宋体" w:hAnsi="宋体" w:hint="eastAsia"/>
          <w:szCs w:val="21"/>
        </w:rPr>
        <w:t>服务</w:t>
      </w:r>
      <w:r>
        <w:rPr>
          <w:rFonts w:ascii="宋体" w:hAnsi="宋体"/>
          <w:szCs w:val="21"/>
        </w:rPr>
        <w:t>全部由符合政策要求的</w:t>
      </w:r>
      <w:r>
        <w:rPr>
          <w:rFonts w:ascii="宋体" w:hAnsi="宋体" w:hint="eastAsia"/>
          <w:szCs w:val="21"/>
        </w:rPr>
        <w:t>监狱企业承接</w:t>
      </w:r>
      <w:r>
        <w:rPr>
          <w:rFonts w:ascii="宋体" w:hAnsi="宋体"/>
          <w:szCs w:val="21"/>
        </w:rPr>
        <w:t>。相关</w:t>
      </w:r>
      <w:r>
        <w:rPr>
          <w:rFonts w:ascii="宋体" w:hAnsi="宋体" w:hint="eastAsia"/>
          <w:szCs w:val="21"/>
        </w:rPr>
        <w:t>监狱企业</w:t>
      </w:r>
      <w:r>
        <w:rPr>
          <w:rFonts w:ascii="宋体" w:hAnsi="宋体"/>
          <w:szCs w:val="21"/>
        </w:rPr>
        <w:t>的具体情况如下：</w:t>
      </w:r>
    </w:p>
    <w:p>
      <w:pPr>
        <w:ind w:firstLine="420" w:firstLineChars="200"/>
        <w:rPr>
          <w:rFonts w:ascii="宋体" w:hAnsi="宋体"/>
          <w:szCs w:val="21"/>
        </w:rPr>
      </w:pPr>
      <w:r>
        <w:rPr>
          <w:rFonts w:ascii="宋体" w:hAnsi="宋体"/>
          <w:szCs w:val="21"/>
        </w:rPr>
        <w:t>1.</w:t>
      </w:r>
      <w:r>
        <w:rPr>
          <w:rFonts w:ascii="宋体" w:hAnsi="宋体"/>
          <w:b/>
          <w:bCs/>
          <w:szCs w:val="21"/>
          <w:u w:val="single"/>
        </w:rPr>
        <w:t xml:space="preserve"> （标的名称）</w:t>
      </w:r>
      <w:r>
        <w:rPr>
          <w:rFonts w:ascii="宋体" w:hAnsi="宋体"/>
          <w:szCs w:val="21"/>
        </w:rPr>
        <w:t xml:space="preserve"> </w:t>
      </w:r>
      <w:r>
        <w:rPr>
          <w:rFonts w:ascii="宋体" w:hAnsi="宋体" w:hint="eastAsia"/>
          <w:szCs w:val="21"/>
        </w:rPr>
        <w:t>，承接单位</w:t>
      </w:r>
      <w:r>
        <w:rPr>
          <w:rFonts w:ascii="宋体" w:hAnsi="宋体"/>
          <w:szCs w:val="21"/>
        </w:rPr>
        <w:t>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szCs w:val="21"/>
        </w:rPr>
        <w:t>；</w:t>
      </w:r>
    </w:p>
    <w:p>
      <w:pPr>
        <w:ind w:firstLine="420" w:firstLineChars="200"/>
        <w:rPr>
          <w:rFonts w:ascii="宋体" w:hAnsi="宋体"/>
          <w:szCs w:val="21"/>
        </w:rPr>
      </w:pPr>
      <w:r>
        <w:rPr>
          <w:rFonts w:ascii="宋体" w:hAnsi="宋体"/>
          <w:szCs w:val="21"/>
        </w:rPr>
        <w:t>2.</w:t>
      </w:r>
      <w:r>
        <w:rPr>
          <w:rFonts w:ascii="宋体" w:hAnsi="宋体"/>
          <w:b/>
          <w:bCs/>
          <w:szCs w:val="21"/>
          <w:u w:val="single"/>
        </w:rPr>
        <w:t xml:space="preserve"> （标的名称）</w:t>
      </w:r>
      <w:r>
        <w:rPr>
          <w:rFonts w:ascii="宋体" w:hAnsi="宋体"/>
          <w:szCs w:val="21"/>
        </w:rPr>
        <w:t xml:space="preserve"> </w:t>
      </w:r>
      <w:r>
        <w:rPr>
          <w:rFonts w:ascii="宋体" w:hAnsi="宋体" w:hint="eastAsia"/>
          <w:szCs w:val="21"/>
        </w:rPr>
        <w:t>，承接单位</w:t>
      </w:r>
      <w:r>
        <w:rPr>
          <w:rFonts w:ascii="宋体" w:hAnsi="宋体"/>
          <w:szCs w:val="21"/>
        </w:rPr>
        <w:t>为</w:t>
      </w:r>
      <w:r>
        <w:rPr>
          <w:rFonts w:ascii="宋体" w:hAnsi="宋体"/>
          <w:b/>
          <w:bCs/>
          <w:szCs w:val="21"/>
          <w:u w:val="single"/>
        </w:rPr>
        <w:t>（</w:t>
      </w:r>
      <w:r>
        <w:rPr>
          <w:rFonts w:ascii="宋体" w:hAnsi="宋体" w:hint="eastAsia"/>
          <w:b/>
          <w:bCs/>
          <w:szCs w:val="21"/>
          <w:u w:val="single"/>
        </w:rPr>
        <w:t>企业</w:t>
      </w:r>
      <w:r>
        <w:rPr>
          <w:rFonts w:ascii="宋体" w:hAnsi="宋体"/>
          <w:b/>
          <w:bCs/>
          <w:szCs w:val="21"/>
          <w:u w:val="single"/>
        </w:rPr>
        <w:t>名称）</w:t>
      </w:r>
      <w:r>
        <w:rPr>
          <w:rFonts w:ascii="宋体" w:hAnsi="宋体"/>
          <w:szCs w:val="21"/>
        </w:rPr>
        <w:t>，属于</w:t>
      </w:r>
      <w:r>
        <w:rPr>
          <w:rFonts w:ascii="宋体" w:hAnsi="宋体" w:hint="eastAsia"/>
          <w:b/>
          <w:bCs/>
          <w:szCs w:val="21"/>
          <w:u w:val="single"/>
        </w:rPr>
        <w:t>监狱企业</w:t>
      </w:r>
      <w:r>
        <w:rPr>
          <w:rFonts w:ascii="宋体" w:hAnsi="宋体" w:hint="eastAsia"/>
          <w:szCs w:val="21"/>
        </w:rPr>
        <w:t>。</w:t>
      </w:r>
    </w:p>
    <w:p>
      <w:pPr>
        <w:ind w:firstLine="420" w:firstLineChars="200"/>
        <w:outlineLvl w:val="3"/>
        <w:rPr>
          <w:rFonts w:ascii="宋体" w:hAnsi="宋体"/>
          <w:szCs w:val="21"/>
        </w:rPr>
      </w:pPr>
      <w:r>
        <w:rPr>
          <w:rFonts w:ascii="宋体" w:hAnsi="宋体"/>
          <w:szCs w:val="21"/>
        </w:rPr>
        <w:t xml:space="preserve">…… </w:t>
      </w:r>
    </w:p>
    <w:p>
      <w:pPr>
        <w:ind w:firstLine="420" w:firstLineChars="200"/>
        <w:rPr>
          <w:rFonts w:ascii="宋体" w:hAnsi="宋体"/>
          <w:szCs w:val="21"/>
        </w:rPr>
      </w:pPr>
      <w:r>
        <w:rPr>
          <w:rFonts w:ascii="宋体" w:hAnsi="宋体" w:cstheme="minorBidi"/>
          <w:szCs w:val="21"/>
        </w:rPr>
        <w:t>本</w:t>
      </w:r>
      <w:r>
        <w:rPr>
          <w:rFonts w:ascii="宋体" w:hAnsi="宋体" w:cstheme="minorBidi" w:hint="eastAsia"/>
          <w:szCs w:val="21"/>
        </w:rPr>
        <w:t>投标人</w:t>
      </w:r>
      <w:r>
        <w:rPr>
          <w:rFonts w:ascii="宋体" w:hAnsi="宋体"/>
          <w:szCs w:val="21"/>
        </w:rPr>
        <w:t>对上述声明内容的真实性负责。如有虚假，将依法承担相应责任。</w:t>
      </w:r>
    </w:p>
    <w:p>
      <w:pPr>
        <w:ind w:firstLine="420" w:firstLineChars="200"/>
        <w:rPr>
          <w:rFonts w:ascii="宋体" w:hAnsi="宋体"/>
          <w:szCs w:val="21"/>
        </w:rPr>
      </w:pPr>
      <w:r>
        <w:rPr>
          <w:rFonts w:ascii="宋体" w:hAnsi="宋体" w:hint="eastAsia"/>
          <w:szCs w:val="21"/>
        </w:rPr>
        <w:t>附：省级以上监狱管理局、戒毒管理局（含新疆生产建设兵团）出具的监狱企业证明文件。</w:t>
      </w:r>
    </w:p>
    <w:p>
      <w:pPr>
        <w:ind w:left="723" w:hanging="630" w:hangingChars="300"/>
        <w:rPr>
          <w:b/>
          <w:sz w:val="24"/>
        </w:rPr>
      </w:pPr>
    </w:p>
    <w:p>
      <w:pPr>
        <w:ind w:left="723" w:hanging="630" w:hangingChars="300"/>
        <w:rPr>
          <w:b/>
          <w:sz w:val="24"/>
        </w:rPr>
      </w:pPr>
    </w:p>
    <w:p>
      <w:pPr>
        <w:pStyle w:val="Heading3"/>
        <w:jc w:val="center"/>
        <w:rPr>
          <w:rFonts w:ascii="黑体" w:eastAsia="黑体"/>
          <w:b w:val="0"/>
          <w:sz w:val="24"/>
          <w:szCs w:val="24"/>
        </w:rPr>
      </w:pPr>
      <w:r>
        <w:rPr>
          <w:rFonts w:ascii="黑体" w:eastAsia="黑体" w:hint="eastAsia"/>
          <w:b w:val="0"/>
          <w:sz w:val="24"/>
          <w:szCs w:val="24"/>
        </w:rPr>
        <w:t>四、项目详细报价</w:t>
      </w:r>
    </w:p>
    <w:p>
      <w:pPr>
        <w:ind w:firstLine="420" w:firstLineChars="200"/>
        <w:rPr>
          <w:rFonts w:hAnsi="宋体"/>
          <w:b/>
          <w:bCs/>
          <w:sz w:val="24"/>
        </w:rPr>
      </w:pPr>
    </w:p>
    <w:p>
      <w:pPr>
        <w:pStyle w:val="BodyText2"/>
        <w:jc w:val="center"/>
      </w:pPr>
      <w:r>
        <w:rPr>
          <w:rFonts w:hint="eastAsia"/>
          <w:b/>
          <w:bCs/>
        </w:rPr>
        <w:t>（一）</w:t>
      </w:r>
      <w:r>
        <w:rPr>
          <w:rFonts w:hint="eastAsia"/>
          <w:b/>
        </w:rPr>
        <w:t>分项报价表</w:t>
      </w:r>
    </w:p>
    <w:tbl>
      <w:tblPr>
        <w:tblStyle w:val="TableNorm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0" w:type="dxa"/>
          <w:left w:w="108" w:type="dxa"/>
          <w:bottom w:w="0" w:type="dxa"/>
          <w:right w:w="108" w:type="dxa"/>
        </w:tblCellMar>
      </w:tblPr>
      <w:tblGrid>
        <w:gridCol w:w="3246"/>
        <w:gridCol w:w="2625"/>
        <w:gridCol w:w="2034"/>
      </w:tblGrid>
      <w:tr>
        <w:tblPrEx>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0" w:type="dxa"/>
            <w:left w:w="108" w:type="dxa"/>
            <w:bottom w:w="0" w:type="dxa"/>
            <w:right w:w="108" w:type="dxa"/>
          </w:tblCellMar>
        </w:tblPrEx>
        <w:trPr>
          <w:cantSplit/>
          <w:trHeight w:val="720"/>
          <w:jc w:val="center"/>
        </w:trPr>
        <w:tc>
          <w:tcPr>
            <w:tcW w:w="3246" w:type="dxa"/>
            <w:tcBorders>
              <w:top w:val="double" w:sz="4" w:space="0" w:color="auto"/>
              <w:bottom w:val="single" w:sz="4" w:space="0" w:color="auto"/>
            </w:tcBorders>
            <w:vAlign w:val="center"/>
          </w:tcPr>
          <w:p>
            <w:pPr>
              <w:widowControl/>
              <w:adjustRightInd w:val="0"/>
              <w:snapToGrid w:val="0"/>
              <w:spacing w:line="300" w:lineRule="auto"/>
              <w:jc w:val="center"/>
              <w:rPr>
                <w:rFonts w:ascii="宋体" w:hAnsi="宋体"/>
                <w:snapToGrid w:val="0"/>
                <w:kern w:val="0"/>
                <w:sz w:val="24"/>
                <w:szCs w:val="21"/>
              </w:rPr>
            </w:pPr>
            <w:r>
              <w:rPr>
                <w:rFonts w:ascii="宋体" w:hAnsi="宋体" w:hint="eastAsia"/>
                <w:snapToGrid w:val="0"/>
                <w:kern w:val="0"/>
                <w:sz w:val="24"/>
                <w:szCs w:val="21"/>
              </w:rPr>
              <w:t>项目名称</w:t>
            </w:r>
          </w:p>
        </w:tc>
        <w:tc>
          <w:tcPr>
            <w:tcW w:w="2625" w:type="dxa"/>
            <w:tcBorders>
              <w:top w:val="double" w:sz="4" w:space="0" w:color="auto"/>
              <w:bottom w:val="single" w:sz="4" w:space="0" w:color="auto"/>
            </w:tcBorders>
            <w:vAlign w:val="center"/>
          </w:tcPr>
          <w:p>
            <w:pPr>
              <w:widowControl/>
              <w:adjustRightInd w:val="0"/>
              <w:snapToGrid w:val="0"/>
              <w:spacing w:line="300" w:lineRule="auto"/>
              <w:jc w:val="center"/>
              <w:rPr>
                <w:rFonts w:ascii="宋体" w:hAnsi="宋体"/>
                <w:snapToGrid w:val="0"/>
                <w:kern w:val="0"/>
                <w:sz w:val="24"/>
                <w:szCs w:val="21"/>
              </w:rPr>
            </w:pPr>
            <w:r>
              <w:rPr>
                <w:rFonts w:ascii="宋体" w:hAnsi="宋体" w:hint="eastAsia"/>
                <w:snapToGrid w:val="0"/>
                <w:kern w:val="0"/>
                <w:sz w:val="24"/>
                <w:szCs w:val="21"/>
              </w:rPr>
              <w:t>投标报价（元）</w:t>
            </w:r>
          </w:p>
        </w:tc>
        <w:tc>
          <w:tcPr>
            <w:tcW w:w="2034" w:type="dxa"/>
            <w:tcBorders>
              <w:top w:val="double" w:sz="4" w:space="0" w:color="auto"/>
              <w:bottom w:val="single" w:sz="4" w:space="0" w:color="auto"/>
            </w:tcBorders>
            <w:vAlign w:val="center"/>
          </w:tcPr>
          <w:p>
            <w:pPr>
              <w:widowControl/>
              <w:adjustRightInd w:val="0"/>
              <w:snapToGrid w:val="0"/>
              <w:spacing w:line="300" w:lineRule="auto"/>
              <w:jc w:val="center"/>
              <w:rPr>
                <w:rFonts w:ascii="宋体" w:hAnsi="宋体"/>
                <w:snapToGrid w:val="0"/>
                <w:kern w:val="0"/>
                <w:sz w:val="24"/>
                <w:szCs w:val="21"/>
              </w:rPr>
            </w:pPr>
            <w:r>
              <w:rPr>
                <w:rFonts w:ascii="宋体" w:hAnsi="宋体" w:hint="eastAsia"/>
                <w:snapToGrid w:val="0"/>
                <w:kern w:val="0"/>
                <w:sz w:val="24"/>
                <w:szCs w:val="21"/>
              </w:rPr>
              <w:t>备注</w:t>
            </w:r>
          </w:p>
        </w:tc>
      </w:tr>
      <w:tr>
        <w:tblPrEx>
          <w:tblW w:w="0" w:type="auto"/>
          <w:jc w:val="center"/>
          <w:tblLayout w:type="fixed"/>
          <w:tblCellMar>
            <w:top w:w="0" w:type="dxa"/>
            <w:left w:w="108" w:type="dxa"/>
            <w:bottom w:w="0" w:type="dxa"/>
            <w:right w:w="108" w:type="dxa"/>
          </w:tblCellMar>
        </w:tblPrEx>
        <w:trPr>
          <w:cantSplit/>
          <w:trHeight w:val="738"/>
          <w:jc w:val="center"/>
        </w:trPr>
        <w:tc>
          <w:tcPr>
            <w:tcW w:w="3246" w:type="dxa"/>
            <w:tcBorders>
              <w:top w:val="single" w:sz="4" w:space="0" w:color="auto"/>
            </w:tcBorders>
            <w:vAlign w:val="center"/>
          </w:tcPr>
          <w:p>
            <w:pPr>
              <w:widowControl/>
              <w:adjustRightInd w:val="0"/>
              <w:snapToGrid w:val="0"/>
              <w:spacing w:line="300" w:lineRule="auto"/>
              <w:jc w:val="center"/>
              <w:rPr>
                <w:rFonts w:ascii="宋体" w:hAnsi="宋体"/>
                <w:snapToGrid w:val="0"/>
                <w:kern w:val="0"/>
                <w:sz w:val="24"/>
                <w:szCs w:val="21"/>
                <w:u w:val="single"/>
              </w:rPr>
            </w:pPr>
            <w:r>
              <w:rPr>
                <w:rFonts w:ascii="宋体" w:hAnsi="宋体" w:hint="eastAsia"/>
                <w:snapToGrid w:val="0"/>
                <w:kern w:val="0"/>
                <w:sz w:val="24"/>
                <w:szCs w:val="21"/>
                <w:u w:val="single"/>
              </w:rPr>
              <w:t xml:space="preserve">                 项目</w:t>
            </w:r>
          </w:p>
        </w:tc>
        <w:tc>
          <w:tcPr>
            <w:tcW w:w="2625" w:type="dxa"/>
            <w:tcBorders>
              <w:top w:val="single" w:sz="4" w:space="0" w:color="auto"/>
            </w:tcBorders>
            <w:vAlign w:val="center"/>
          </w:tcPr>
          <w:p>
            <w:pPr>
              <w:widowControl/>
              <w:adjustRightInd w:val="0"/>
              <w:snapToGrid w:val="0"/>
              <w:spacing w:line="300" w:lineRule="auto"/>
              <w:jc w:val="left"/>
              <w:rPr>
                <w:rFonts w:ascii="宋体" w:hAnsi="宋体"/>
                <w:snapToGrid w:val="0"/>
                <w:kern w:val="0"/>
                <w:sz w:val="24"/>
                <w:szCs w:val="21"/>
              </w:rPr>
            </w:pPr>
            <w:r>
              <w:rPr>
                <w:rFonts w:ascii="宋体" w:hAnsi="宋体" w:hint="eastAsia"/>
                <w:snapToGrid w:val="0"/>
                <w:kern w:val="0"/>
                <w:sz w:val="24"/>
                <w:szCs w:val="21"/>
              </w:rPr>
              <w:t>大写：</w:t>
            </w:r>
          </w:p>
          <w:p>
            <w:pPr>
              <w:widowControl/>
              <w:adjustRightInd w:val="0"/>
              <w:snapToGrid w:val="0"/>
              <w:spacing w:line="300" w:lineRule="auto"/>
              <w:jc w:val="left"/>
            </w:pPr>
            <w:r>
              <w:rPr>
                <w:rFonts w:ascii="宋体" w:hAnsi="宋体" w:hint="eastAsia"/>
                <w:snapToGrid w:val="0"/>
                <w:kern w:val="0"/>
                <w:sz w:val="24"/>
                <w:szCs w:val="21"/>
              </w:rPr>
              <w:t>小写：</w:t>
            </w:r>
          </w:p>
        </w:tc>
        <w:tc>
          <w:tcPr>
            <w:tcW w:w="2034" w:type="dxa"/>
            <w:tcBorders>
              <w:top w:val="single" w:sz="4" w:space="0" w:color="auto"/>
            </w:tcBorders>
            <w:vAlign w:val="center"/>
          </w:tcPr>
          <w:p>
            <w:pPr>
              <w:widowControl/>
              <w:adjustRightInd w:val="0"/>
              <w:snapToGrid w:val="0"/>
              <w:spacing w:line="300" w:lineRule="auto"/>
              <w:jc w:val="center"/>
              <w:rPr>
                <w:rFonts w:ascii="宋体" w:hAnsi="宋体"/>
                <w:snapToGrid w:val="0"/>
                <w:kern w:val="0"/>
                <w:sz w:val="24"/>
                <w:szCs w:val="21"/>
              </w:rPr>
            </w:pPr>
          </w:p>
        </w:tc>
      </w:tr>
    </w:tbl>
    <w:p>
      <w:pPr>
        <w:ind w:left="632" w:hanging="630" w:hangingChars="300"/>
        <w:rPr>
          <w:b/>
          <w:color w:val="0000FF"/>
          <w:szCs w:val="21"/>
        </w:rPr>
      </w:pPr>
      <w:r>
        <w:rPr>
          <w:rFonts w:hint="eastAsia"/>
          <w:b/>
          <w:color w:val="0000FF"/>
          <w:szCs w:val="21"/>
        </w:rPr>
        <w:t>注：</w:t>
      </w:r>
    </w:p>
    <w:p>
      <w:pPr>
        <w:widowControl/>
        <w:snapToGrid w:val="0"/>
        <w:ind w:firstLine="420" w:firstLineChars="200"/>
        <w:jc w:val="left"/>
        <w:rPr>
          <w:rFonts w:ascii="宋体" w:hAnsi="宋体"/>
          <w:color w:val="0000FF"/>
          <w:kern w:val="0"/>
          <w:szCs w:val="21"/>
        </w:rPr>
      </w:pPr>
      <w:r>
        <w:rPr>
          <w:rFonts w:ascii="宋体" w:hAnsi="宋体" w:hint="eastAsia"/>
          <w:color w:val="0000FF"/>
          <w:kern w:val="0"/>
          <w:szCs w:val="21"/>
        </w:rPr>
        <w:t>1、投标人的投标报价不得超过预算金额，否则将导致投标被否决。</w:t>
      </w:r>
    </w:p>
    <w:p>
      <w:pPr>
        <w:ind w:firstLine="420" w:firstLineChars="200"/>
        <w:rPr>
          <w:rFonts w:hAnsi="宋体"/>
          <w:b/>
          <w:bCs/>
          <w:sz w:val="24"/>
        </w:rPr>
      </w:pPr>
    </w:p>
    <w:p>
      <w:pPr>
        <w:ind w:firstLine="420" w:firstLineChars="200"/>
        <w:rPr>
          <w:rFonts w:hAnsi="宋体"/>
          <w:b/>
          <w:bCs/>
          <w:sz w:val="24"/>
        </w:rPr>
      </w:pPr>
    </w:p>
    <w:p>
      <w:pPr>
        <w:tabs>
          <w:tab w:val="left" w:pos="720"/>
        </w:tabs>
        <w:jc w:val="center"/>
        <w:rPr>
          <w:b/>
          <w:sz w:val="24"/>
        </w:rPr>
      </w:pPr>
      <w:r>
        <w:rPr>
          <w:rFonts w:hint="eastAsia"/>
          <w:b/>
          <w:sz w:val="24"/>
        </w:rPr>
        <w:t>（二）</w:t>
      </w:r>
      <w:bookmarkStart w:id="43" w:name="_Hlk72073235"/>
      <w:r>
        <w:rPr>
          <w:rFonts w:hint="eastAsia"/>
          <w:b/>
          <w:sz w:val="24"/>
        </w:rPr>
        <w:t>投标人认为需要涉及的其他内容报价清单</w:t>
      </w:r>
      <w:bookmarkEnd w:id="43"/>
    </w:p>
    <w:p>
      <w:pPr>
        <w:rPr>
          <w:b/>
          <w:bCs/>
        </w:rPr>
      </w:pPr>
    </w:p>
    <w:p/>
    <w:p>
      <w:pPr>
        <w:widowControl/>
        <w:numPr>
          <w:ilvl w:val="0"/>
          <w:numId w:val="10"/>
        </w:numPr>
        <w:tabs>
          <w:tab w:val="left" w:pos="720"/>
        </w:tabs>
        <w:spacing w:line="360" w:lineRule="auto"/>
        <w:jc w:val="left"/>
        <w:rPr>
          <w:rFonts w:ascii="黑体" w:eastAsia="黑体" w:hAnsi="宋体"/>
          <w:bCs/>
          <w:sz w:val="24"/>
        </w:rPr>
      </w:pPr>
      <w:r>
        <w:rPr>
          <w:rFonts w:ascii="黑体" w:eastAsia="黑体" w:hAnsi="宋体" w:hint="eastAsia"/>
          <w:bCs/>
          <w:sz w:val="24"/>
        </w:rPr>
        <w:t>供应商认证情况（格式自定）</w:t>
      </w:r>
    </w:p>
    <w:p>
      <w:pPr>
        <w:pStyle w:val="BodyText"/>
        <w:rPr>
          <w:b w:val="0"/>
          <w:bCs w:val="0"/>
        </w:rPr>
      </w:pPr>
      <w:r>
        <w:rPr>
          <w:rFonts w:hint="eastAsia"/>
          <w:b w:val="0"/>
          <w:bCs w:val="0"/>
        </w:rPr>
        <w:t>（特别提示：投标人须按本招标文件评标信息中“供应商认证情况”这一评审因素要求，提供证明资料）</w:t>
      </w:r>
    </w:p>
    <w:p>
      <w:pPr>
        <w:widowControl/>
        <w:numPr>
          <w:ilvl w:val="0"/>
          <w:numId w:val="10"/>
        </w:numPr>
        <w:tabs>
          <w:tab w:val="left" w:pos="720"/>
        </w:tabs>
        <w:spacing w:line="360" w:lineRule="auto"/>
        <w:jc w:val="left"/>
        <w:rPr>
          <w:rFonts w:ascii="黑体" w:eastAsia="黑体" w:hAnsi="宋体"/>
          <w:sz w:val="24"/>
          <w:szCs w:val="20"/>
        </w:rPr>
      </w:pPr>
      <w:r>
        <w:rPr>
          <w:rFonts w:ascii="黑体" w:eastAsia="黑体" w:hAnsi="宋体" w:hint="eastAsia"/>
          <w:bCs/>
          <w:sz w:val="24"/>
        </w:rPr>
        <w:t>供应商同类项目业绩情况</w:t>
      </w:r>
      <w:r>
        <w:rPr>
          <w:rFonts w:ascii="黑体" w:eastAsia="黑体" w:hAnsi="宋体" w:hint="eastAsia"/>
          <w:sz w:val="24"/>
          <w:szCs w:val="20"/>
        </w:rPr>
        <w:t>（格式自定）</w:t>
      </w:r>
    </w:p>
    <w:p>
      <w:pPr>
        <w:pStyle w:val="BodyText"/>
        <w:rPr>
          <w:b w:val="0"/>
          <w:bCs w:val="0"/>
        </w:rPr>
      </w:pPr>
      <w:r>
        <w:rPr>
          <w:rFonts w:hint="eastAsia"/>
          <w:b w:val="0"/>
          <w:bCs w:val="0"/>
        </w:rPr>
        <w:t>（特别提示：投标人须按本招标文件评标信息中“供应商同类项目业绩情况”这一评审因素要求，提供证明资料）</w:t>
      </w:r>
    </w:p>
    <w:p>
      <w:pPr>
        <w:widowControl/>
        <w:numPr>
          <w:ilvl w:val="0"/>
          <w:numId w:val="10"/>
        </w:numPr>
        <w:tabs>
          <w:tab w:val="left" w:pos="720"/>
        </w:tabs>
        <w:spacing w:line="360" w:lineRule="auto"/>
        <w:jc w:val="left"/>
        <w:rPr>
          <w:rFonts w:ascii="黑体" w:eastAsia="黑体" w:hAnsi="宋体"/>
          <w:sz w:val="24"/>
          <w:szCs w:val="20"/>
        </w:rPr>
      </w:pPr>
      <w:r>
        <w:rPr>
          <w:rFonts w:ascii="黑体" w:eastAsia="黑体" w:hAnsi="宋体" w:hint="eastAsia"/>
          <w:bCs/>
          <w:sz w:val="24"/>
        </w:rPr>
        <w:t>供应商获奖情况</w:t>
      </w:r>
      <w:r>
        <w:rPr>
          <w:rFonts w:ascii="黑体" w:eastAsia="黑体" w:hAnsi="宋体" w:hint="eastAsia"/>
          <w:sz w:val="24"/>
          <w:szCs w:val="20"/>
        </w:rPr>
        <w:t>（格式自定）</w:t>
      </w:r>
    </w:p>
    <w:p>
      <w:pPr>
        <w:pStyle w:val="BodyText"/>
        <w:rPr>
          <w:b w:val="0"/>
          <w:bCs w:val="0"/>
        </w:rPr>
      </w:pPr>
      <w:r>
        <w:rPr>
          <w:rFonts w:hint="eastAsia"/>
          <w:b w:val="0"/>
          <w:bCs w:val="0"/>
        </w:rPr>
        <w:t>（特别提示：投标人须按本招标文件评标信息中“供应商获奖情况”这一评审因素要求，提供证明资料）</w:t>
      </w:r>
    </w:p>
    <w:p>
      <w:pPr>
        <w:widowControl/>
        <w:numPr>
          <w:ilvl w:val="0"/>
          <w:numId w:val="10"/>
        </w:numPr>
        <w:tabs>
          <w:tab w:val="left" w:pos="720"/>
        </w:tabs>
        <w:spacing w:line="360" w:lineRule="auto"/>
        <w:jc w:val="left"/>
        <w:rPr>
          <w:rFonts w:ascii="黑体" w:eastAsia="黑体" w:hAnsi="宋体"/>
          <w:sz w:val="24"/>
          <w:szCs w:val="20"/>
        </w:rPr>
      </w:pPr>
      <w:r>
        <w:rPr>
          <w:rFonts w:ascii="黑体" w:eastAsia="黑体" w:hAnsi="宋体" w:hint="eastAsia"/>
          <w:bCs/>
          <w:sz w:val="24"/>
        </w:rPr>
        <w:t>供应商自主知识产权产品（创新、设计）情况</w:t>
      </w:r>
      <w:r>
        <w:rPr>
          <w:rFonts w:ascii="黑体" w:eastAsia="黑体" w:hAnsi="宋体" w:hint="eastAsia"/>
          <w:sz w:val="24"/>
          <w:szCs w:val="20"/>
        </w:rPr>
        <w:t>（格式自定）</w:t>
      </w:r>
    </w:p>
    <w:p>
      <w:pPr>
        <w:pStyle w:val="BodyText"/>
        <w:rPr>
          <w:b w:val="0"/>
          <w:bCs w:val="0"/>
        </w:rPr>
      </w:pPr>
      <w:r>
        <w:rPr>
          <w:rFonts w:hint="eastAsia"/>
          <w:b w:val="0"/>
          <w:bCs w:val="0"/>
        </w:rPr>
        <w:t>（特别提示：投标人须按本招标文件评标信息中“供应商自主知识产权产品（创新、设计）情况”这一评审因素要求，提供证明资料）</w:t>
      </w:r>
    </w:p>
    <w:p>
      <w:pPr>
        <w:widowControl/>
        <w:numPr>
          <w:ilvl w:val="0"/>
          <w:numId w:val="10"/>
        </w:numPr>
        <w:tabs>
          <w:tab w:val="left" w:pos="720"/>
        </w:tabs>
        <w:spacing w:line="360" w:lineRule="auto"/>
        <w:jc w:val="left"/>
        <w:rPr>
          <w:rFonts w:ascii="黑体" w:eastAsia="黑体" w:hAnsi="宋体"/>
          <w:bCs/>
          <w:sz w:val="24"/>
        </w:rPr>
      </w:pPr>
      <w:r>
        <w:rPr>
          <w:rFonts w:ascii="黑体" w:eastAsia="黑体" w:hAnsi="宋体" w:hint="eastAsia"/>
          <w:bCs/>
          <w:sz w:val="24"/>
        </w:rPr>
        <w:t>服务网点</w:t>
      </w:r>
    </w:p>
    <w:p>
      <w:pPr>
        <w:spacing w:line="360" w:lineRule="auto"/>
        <w:jc w:val="center"/>
        <w:rPr>
          <w:sz w:val="24"/>
        </w:rPr>
      </w:pPr>
      <w:r>
        <w:rPr>
          <w:rFonts w:hint="eastAsia"/>
          <w:sz w:val="24"/>
        </w:rPr>
        <w:t>承诺函</w:t>
      </w:r>
    </w:p>
    <w:p>
      <w:pPr>
        <w:spacing w:line="360" w:lineRule="auto"/>
        <w:rPr>
          <w:sz w:val="24"/>
        </w:rPr>
      </w:pPr>
      <w:r>
        <w:rPr>
          <w:rFonts w:hint="eastAsia"/>
          <w:sz w:val="24"/>
        </w:rPr>
        <w:t>致：深圳公共资源交易中心、采购人</w:t>
      </w:r>
    </w:p>
    <w:p>
      <w:pPr>
        <w:spacing w:line="360" w:lineRule="auto"/>
        <w:ind w:firstLine="420" w:firstLineChars="200"/>
        <w:rPr>
          <w:sz w:val="24"/>
        </w:rPr>
      </w:pPr>
      <w:r>
        <w:rPr>
          <w:rFonts w:hint="eastAsia"/>
          <w:sz w:val="24"/>
        </w:rPr>
        <w:t>我单位承诺，中标后为本项目提供本地经营（服务）网点，如不遵守相应承诺，愿按违约处理，并承担由此给采购人带来的损失。</w:t>
      </w:r>
    </w:p>
    <w:p>
      <w:pPr>
        <w:spacing w:line="360" w:lineRule="auto"/>
        <w:ind w:right="960" w:firstLine="4830" w:firstLineChars="2300"/>
        <w:rPr>
          <w:sz w:val="24"/>
        </w:rPr>
      </w:pPr>
      <w:r>
        <w:rPr>
          <w:rFonts w:hint="eastAsia"/>
          <w:sz w:val="24"/>
        </w:rPr>
        <w:t xml:space="preserve">投标人：              </w:t>
      </w:r>
    </w:p>
    <w:p>
      <w:pPr>
        <w:spacing w:line="360" w:lineRule="auto"/>
        <w:rPr>
          <w:sz w:val="24"/>
        </w:rPr>
      </w:pPr>
      <w:r>
        <w:rPr>
          <w:rFonts w:hint="eastAsia"/>
          <w:sz w:val="24"/>
        </w:rPr>
        <w:t xml:space="preserve">                                              日期：    年   月   日</w:t>
      </w:r>
    </w:p>
    <w:p>
      <w:pPr>
        <w:spacing w:line="360" w:lineRule="auto"/>
        <w:rPr>
          <w:sz w:val="24"/>
        </w:rPr>
      </w:pPr>
      <w:r>
        <w:rPr>
          <w:b/>
          <w:bCs/>
          <w:sz w:val="24"/>
        </w:rPr>
        <w:t>特别提示：投标人需按以上模板要求提供承诺函，否则将按不得分处理</w:t>
      </w:r>
      <w:r>
        <w:rPr>
          <w:rFonts w:hint="eastAsia"/>
          <w:b/>
          <w:bCs/>
          <w:sz w:val="24"/>
        </w:rPr>
        <w:t>。</w:t>
      </w:r>
    </w:p>
    <w:p>
      <w:pPr>
        <w:spacing w:line="360" w:lineRule="auto"/>
        <w:rPr>
          <w:sz w:val="24"/>
        </w:rPr>
      </w:pPr>
      <w:r>
        <w:rPr>
          <w:rFonts w:hint="eastAsia"/>
          <w:sz w:val="24"/>
        </w:rPr>
        <w:t>（特别提示：投标人须按本招标文件评标信息中“服务网点”这一评审因素要求，提供证明资料）</w:t>
      </w:r>
    </w:p>
    <w:p/>
    <w:p>
      <w:pPr>
        <w:rPr>
          <w:b/>
          <w:color w:val="FF0000"/>
          <w:sz w:val="24"/>
        </w:rPr>
      </w:pPr>
      <w:r>
        <w:rPr>
          <w:rFonts w:hint="eastAsia"/>
          <w:b/>
          <w:color w:val="FF0000"/>
          <w:sz w:val="24"/>
        </w:rPr>
        <w:t>（信息公开部分的内容到此为止！以下为信息不公开部分。）</w:t>
      </w:r>
    </w:p>
    <w:p>
      <w:pPr>
        <w:rPr>
          <w:b/>
          <w:sz w:val="32"/>
          <w:szCs w:val="32"/>
        </w:rPr>
      </w:pPr>
      <w:r>
        <w:rPr>
          <w:b/>
          <w:sz w:val="32"/>
          <w:szCs w:val="32"/>
        </w:rPr>
        <w:br w:type="page"/>
      </w:r>
    </w:p>
    <w:p>
      <w:pPr>
        <w:outlineLvl w:val="1"/>
        <w:rPr>
          <w:rFonts w:ascii="宋体" w:hAnsi="宋体"/>
          <w:b/>
          <w:color w:val="FF0000"/>
          <w:sz w:val="28"/>
          <w:szCs w:val="28"/>
        </w:rPr>
      </w:pPr>
      <w:r>
        <w:rPr>
          <w:rFonts w:ascii="宋体" w:hAnsi="宋体" w:hint="eastAsia"/>
          <w:b/>
          <w:color w:val="FF0000"/>
          <w:sz w:val="28"/>
          <w:szCs w:val="28"/>
        </w:rPr>
        <w:t>投标文件附件（信息不公开部分）</w:t>
      </w:r>
    </w:p>
    <w:p>
      <w:pPr>
        <w:pStyle w:val="Heading3"/>
        <w:jc w:val="center"/>
        <w:rPr>
          <w:rFonts w:ascii="黑体" w:eastAsia="黑体"/>
          <w:b w:val="0"/>
          <w:sz w:val="24"/>
        </w:rPr>
      </w:pPr>
      <w:r>
        <w:rPr>
          <w:rFonts w:ascii="黑体" w:eastAsia="黑体" w:hint="eastAsia"/>
          <w:b w:val="0"/>
          <w:sz w:val="24"/>
        </w:rPr>
        <w:t>一、</w:t>
      </w:r>
      <w:bookmarkStart w:id="44" w:name="_Hlk72092499"/>
      <w:r>
        <w:rPr>
          <w:rFonts w:ascii="黑体" w:eastAsia="黑体" w:hint="eastAsia"/>
          <w:b w:val="0"/>
          <w:sz w:val="24"/>
        </w:rPr>
        <w:t>法定代表人（负责人）证明书</w:t>
      </w:r>
      <w:bookmarkEnd w:id="44"/>
    </w:p>
    <w:p>
      <w:pPr>
        <w:rPr>
          <w:sz w:val="24"/>
        </w:rPr>
      </w:pPr>
    </w:p>
    <w:p>
      <w:pPr>
        <w:spacing w:line="360" w:lineRule="auto"/>
        <w:rPr>
          <w:szCs w:val="21"/>
        </w:rPr>
      </w:pPr>
      <w:r>
        <w:rPr>
          <w:rFonts w:hint="eastAsia"/>
          <w:szCs w:val="21"/>
        </w:rPr>
        <w:t xml:space="preserve">   </w:t>
      </w:r>
      <w:r>
        <w:rPr>
          <w:rFonts w:hint="eastAsia"/>
          <w:szCs w:val="21"/>
          <w:u w:val="single"/>
        </w:rPr>
        <w:t xml:space="preserve">         </w:t>
      </w:r>
      <w:r>
        <w:rPr>
          <w:rFonts w:hint="eastAsia"/>
          <w:szCs w:val="21"/>
        </w:rPr>
        <w:t>同志，身份证号码：</w:t>
      </w:r>
      <w:r>
        <w:rPr>
          <w:rFonts w:hint="eastAsia"/>
          <w:szCs w:val="21"/>
          <w:u w:val="single"/>
        </w:rPr>
        <w:t xml:space="preserve">               </w:t>
      </w:r>
      <w:r>
        <w:rPr>
          <w:rFonts w:hint="eastAsia"/>
          <w:szCs w:val="21"/>
        </w:rPr>
        <w:t>，现任我单位</w:t>
      </w:r>
      <w:r>
        <w:rPr>
          <w:rFonts w:hint="eastAsia"/>
          <w:szCs w:val="21"/>
          <w:u w:val="single"/>
        </w:rPr>
        <w:t xml:space="preserve">         </w:t>
      </w:r>
      <w:r>
        <w:rPr>
          <w:rFonts w:hint="eastAsia"/>
          <w:szCs w:val="21"/>
        </w:rPr>
        <w:t>职务，为法定代表人（负责人），特此证明。</w:t>
      </w:r>
    </w:p>
    <w:p>
      <w:pPr>
        <w:spacing w:line="360" w:lineRule="auto"/>
        <w:rPr>
          <w:szCs w:val="21"/>
        </w:rPr>
      </w:pPr>
      <w:r>
        <w:rPr>
          <w:rFonts w:hint="eastAsia"/>
          <w:szCs w:val="21"/>
        </w:rPr>
        <w:t xml:space="preserve">         </w:t>
      </w:r>
    </w:p>
    <w:p>
      <w:pPr>
        <w:spacing w:line="360" w:lineRule="auto"/>
        <w:rPr>
          <w:szCs w:val="21"/>
        </w:rPr>
      </w:pPr>
      <w:r>
        <w:rPr>
          <w:rFonts w:hint="eastAsia"/>
          <w:szCs w:val="21"/>
        </w:rPr>
        <w:t>说明：1、法定代表人为投标人（企业事业单位、国家机关、社会团体）的主要行政负责人。</w:t>
      </w:r>
    </w:p>
    <w:p>
      <w:pPr>
        <w:rPr>
          <w:szCs w:val="21"/>
        </w:rPr>
      </w:pPr>
      <w:r>
        <w:rPr>
          <w:rFonts w:hint="eastAsia"/>
          <w:szCs w:val="21"/>
        </w:rPr>
        <w:t xml:space="preserve">     </w:t>
      </w:r>
      <w:r>
        <w:rPr>
          <w:szCs w:val="21"/>
        </w:rPr>
        <w:t xml:space="preserve"> </w:t>
      </w:r>
      <w:r>
        <w:rPr>
          <w:rFonts w:hint="eastAsia"/>
          <w:szCs w:val="21"/>
        </w:rPr>
        <w:t>2、内容必须填写真实、清楚，涂改无效，不得转让、买卖。</w:t>
      </w:r>
    </w:p>
    <w:p>
      <w:pPr>
        <w:rPr>
          <w:sz w:val="24"/>
        </w:rPr>
      </w:pPr>
    </w:p>
    <w:p>
      <w:pPr>
        <w:rPr>
          <w:b/>
          <w:bCs/>
          <w:sz w:val="24"/>
        </w:rPr>
      </w:pPr>
    </w:p>
    <w:p>
      <w:pPr>
        <w:pStyle w:val="Heading3"/>
        <w:spacing w:before="120" w:after="120"/>
        <w:jc w:val="center"/>
        <w:rPr>
          <w:rFonts w:ascii="黑体" w:eastAsia="黑体"/>
          <w:b w:val="0"/>
          <w:sz w:val="24"/>
        </w:rPr>
      </w:pPr>
      <w:r>
        <w:rPr>
          <w:rFonts w:ascii="黑体" w:eastAsia="黑体" w:hint="eastAsia"/>
          <w:b w:val="0"/>
          <w:sz w:val="24"/>
        </w:rPr>
        <w:t>二、投标文件签署授权委托书</w:t>
      </w:r>
    </w:p>
    <w:p>
      <w:pPr>
        <w:spacing w:line="360" w:lineRule="auto"/>
        <w:ind w:firstLine="420" w:firstLineChars="200"/>
        <w:rPr>
          <w:szCs w:val="21"/>
        </w:rPr>
      </w:pPr>
      <w:r>
        <w:rPr>
          <w:rFonts w:hint="eastAsia"/>
          <w:szCs w:val="21"/>
        </w:rPr>
        <w:t>本授权委托书声明：我</w:t>
      </w:r>
      <w:r>
        <w:rPr>
          <w:rFonts w:hint="eastAsia"/>
          <w:szCs w:val="21"/>
          <w:u w:val="single"/>
        </w:rPr>
        <w:t xml:space="preserve">           </w:t>
      </w:r>
      <w:r>
        <w:rPr>
          <w:rFonts w:hint="eastAsia"/>
          <w:szCs w:val="21"/>
        </w:rPr>
        <w:t>（姓名）系</w:t>
      </w:r>
      <w:r>
        <w:rPr>
          <w:rFonts w:hint="eastAsia"/>
          <w:szCs w:val="21"/>
          <w:u w:val="single"/>
        </w:rPr>
        <w:t xml:space="preserve">             </w:t>
      </w:r>
      <w:r>
        <w:rPr>
          <w:rFonts w:hint="eastAsia"/>
          <w:szCs w:val="21"/>
        </w:rPr>
        <w:t>（投标人名称）的法定代表人（负责人），现授权委托</w:t>
      </w:r>
      <w:r>
        <w:rPr>
          <w:rFonts w:hint="eastAsia"/>
          <w:szCs w:val="21"/>
          <w:u w:val="single"/>
        </w:rPr>
        <w:t xml:space="preserve">            </w:t>
      </w:r>
      <w:r>
        <w:rPr>
          <w:rFonts w:hint="eastAsia"/>
          <w:szCs w:val="21"/>
        </w:rPr>
        <w:t>（姓名）为我单位签署本项目已递交的投标文件的法定代表人（负责人）的授权委托代理人，代理人全权代表我所签署的本项目已递交的投标文件内容我均承认。</w:t>
      </w:r>
    </w:p>
    <w:p>
      <w:pPr>
        <w:pStyle w:val="NormalIndent"/>
        <w:spacing w:line="360" w:lineRule="auto"/>
        <w:rPr>
          <w:szCs w:val="21"/>
        </w:rPr>
      </w:pPr>
      <w:r>
        <w:rPr>
          <w:rFonts w:hint="eastAsia"/>
          <w:szCs w:val="21"/>
        </w:rPr>
        <w:t>代理人无转委托权，特此委托。</w:t>
      </w:r>
    </w:p>
    <w:p>
      <w:pPr>
        <w:pStyle w:val="NormalIndent"/>
        <w:spacing w:line="360" w:lineRule="auto"/>
        <w:rPr>
          <w:szCs w:val="21"/>
        </w:rPr>
      </w:pPr>
    </w:p>
    <w:p>
      <w:pPr>
        <w:spacing w:line="360" w:lineRule="auto"/>
        <w:ind w:left="540" w:leftChars="257"/>
        <w:rPr>
          <w:szCs w:val="21"/>
          <w:u w:val="single"/>
        </w:rPr>
      </w:pPr>
      <w:r>
        <w:rPr>
          <w:rFonts w:hint="eastAsia"/>
          <w:szCs w:val="21"/>
        </w:rPr>
        <w:t>代理人：</w:t>
      </w:r>
      <w:r>
        <w:rPr>
          <w:rFonts w:hint="eastAsia"/>
          <w:szCs w:val="21"/>
          <w:u w:val="single"/>
        </w:rPr>
        <w:t xml:space="preserve">             </w:t>
      </w:r>
    </w:p>
    <w:p>
      <w:pPr>
        <w:spacing w:line="360" w:lineRule="auto"/>
        <w:ind w:left="540" w:leftChars="257"/>
        <w:rPr>
          <w:szCs w:val="21"/>
        </w:rPr>
      </w:pPr>
      <w:r>
        <w:rPr>
          <w:rFonts w:hint="eastAsia"/>
          <w:szCs w:val="21"/>
        </w:rPr>
        <w:t>联系电话：</w:t>
      </w:r>
      <w:r>
        <w:rPr>
          <w:rFonts w:hint="eastAsia"/>
          <w:szCs w:val="21"/>
          <w:u w:val="single"/>
        </w:rPr>
        <w:t xml:space="preserve">            </w:t>
      </w:r>
      <w:r>
        <w:rPr>
          <w:rFonts w:hint="eastAsia"/>
          <w:szCs w:val="21"/>
        </w:rPr>
        <w:t xml:space="preserve">  手机：</w:t>
      </w:r>
      <w:r>
        <w:rPr>
          <w:rFonts w:hint="eastAsia"/>
          <w:szCs w:val="21"/>
          <w:u w:val="single"/>
        </w:rPr>
        <w:t xml:space="preserve">                   </w:t>
      </w:r>
    </w:p>
    <w:p>
      <w:pPr>
        <w:spacing w:line="360" w:lineRule="auto"/>
        <w:ind w:left="540" w:leftChars="257"/>
        <w:rPr>
          <w:szCs w:val="21"/>
          <w:u w:val="single"/>
        </w:rPr>
      </w:pPr>
      <w:r>
        <w:rPr>
          <w:rFonts w:hint="eastAsia"/>
          <w:szCs w:val="21"/>
        </w:rPr>
        <w:t>身份证号码：</w:t>
      </w:r>
      <w:r>
        <w:rPr>
          <w:rFonts w:hint="eastAsia"/>
          <w:szCs w:val="21"/>
          <w:u w:val="single"/>
        </w:rPr>
        <w:t xml:space="preserve">                        </w:t>
      </w:r>
      <w:r>
        <w:rPr>
          <w:rFonts w:hint="eastAsia"/>
          <w:szCs w:val="21"/>
        </w:rPr>
        <w:t>职务：</w:t>
      </w:r>
      <w:r>
        <w:rPr>
          <w:rFonts w:hint="eastAsia"/>
          <w:szCs w:val="21"/>
          <w:u w:val="single"/>
        </w:rPr>
        <w:t xml:space="preserve">       </w:t>
      </w:r>
    </w:p>
    <w:p>
      <w:pPr>
        <w:spacing w:line="360" w:lineRule="auto"/>
        <w:ind w:left="540" w:leftChars="257"/>
        <w:rPr>
          <w:szCs w:val="21"/>
        </w:rPr>
      </w:pPr>
      <w:r>
        <w:rPr>
          <w:rFonts w:hint="eastAsia"/>
          <w:szCs w:val="21"/>
        </w:rPr>
        <w:t>授权委托日期：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 xml:space="preserve">月 </w:t>
      </w:r>
      <w:r>
        <w:rPr>
          <w:rFonts w:hint="eastAsia"/>
          <w:szCs w:val="21"/>
          <w:u w:val="single"/>
        </w:rPr>
        <w:t xml:space="preserve">      </w:t>
      </w:r>
      <w:r>
        <w:rPr>
          <w:rFonts w:hint="eastAsia"/>
          <w:szCs w:val="21"/>
        </w:rPr>
        <w:t>日</w:t>
      </w:r>
    </w:p>
    <w:p/>
    <w:p>
      <w:pPr>
        <w:spacing w:line="360" w:lineRule="auto"/>
        <w:ind w:firstLine="420" w:firstLineChars="200"/>
        <w:rPr>
          <w:b/>
          <w:color w:val="FF0000"/>
          <w:szCs w:val="21"/>
        </w:rPr>
      </w:pPr>
      <w:r>
        <w:rPr>
          <w:rFonts w:hint="eastAsia"/>
          <w:b/>
          <w:color w:val="FF0000"/>
          <w:szCs w:val="21"/>
        </w:rPr>
        <w:t>附： 请提供代理人身份证扫描件（正反两面）；非中国国籍管辖范围人员，可提供公安部门认可的身份证明材料扫描件。</w:t>
      </w:r>
    </w:p>
    <w:p>
      <w:pPr>
        <w:spacing w:line="360" w:lineRule="auto"/>
        <w:rPr>
          <w:b/>
          <w:szCs w:val="21"/>
        </w:rPr>
      </w:pPr>
    </w:p>
    <w:p>
      <w:pPr>
        <w:pStyle w:val="Heading3"/>
        <w:jc w:val="center"/>
        <w:rPr>
          <w:rFonts w:ascii="黑体" w:eastAsia="黑体"/>
          <w:b w:val="0"/>
          <w:kern w:val="0"/>
          <w:sz w:val="24"/>
          <w:szCs w:val="24"/>
        </w:rPr>
      </w:pPr>
      <w:r>
        <w:rPr>
          <w:rFonts w:ascii="黑体" w:eastAsia="黑体" w:hint="eastAsia"/>
          <w:b w:val="0"/>
          <w:kern w:val="0"/>
          <w:sz w:val="24"/>
          <w:szCs w:val="24"/>
        </w:rPr>
        <w:t>三、</w:t>
      </w:r>
      <w:bookmarkStart w:id="45" w:name="_Hlk72092634"/>
      <w:r>
        <w:rPr>
          <w:rFonts w:ascii="黑体" w:eastAsia="黑体" w:hint="eastAsia"/>
          <w:b w:val="0"/>
          <w:kern w:val="0"/>
          <w:sz w:val="24"/>
          <w:szCs w:val="24"/>
        </w:rPr>
        <w:t>实质性条款响应情况表</w:t>
      </w:r>
      <w:bookmarkEnd w:id="45"/>
    </w:p>
    <w:tbl>
      <w:tblPr>
        <w:tblStyle w:val="TableNormal"/>
        <w:tblW w:w="82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Grid>
        <w:gridCol w:w="705"/>
        <w:gridCol w:w="4039"/>
        <w:gridCol w:w="1034"/>
        <w:gridCol w:w="1276"/>
        <w:gridCol w:w="1163"/>
      </w:tblGrid>
      <w:tr>
        <w:tblPrEx>
          <w:tblW w:w="8217"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631"/>
        </w:trPr>
        <w:tc>
          <w:tcPr>
            <w:tcW w:w="705" w:type="dxa"/>
            <w:vAlign w:val="center"/>
          </w:tcPr>
          <w:p>
            <w:pPr>
              <w:adjustRightInd w:val="0"/>
              <w:snapToGrid w:val="0"/>
              <w:spacing w:line="360" w:lineRule="auto"/>
              <w:jc w:val="center"/>
              <w:rPr>
                <w:rFonts w:ascii="宋体" w:hAnsi="宋体"/>
                <w:kern w:val="0"/>
                <w:szCs w:val="21"/>
              </w:rPr>
            </w:pPr>
            <w:bookmarkStart w:id="46" w:name="_Hlk72092651"/>
            <w:r>
              <w:rPr>
                <w:rFonts w:ascii="宋体" w:hAnsi="宋体" w:hint="eastAsia"/>
                <w:kern w:val="0"/>
                <w:szCs w:val="21"/>
              </w:rPr>
              <w:t>序号</w:t>
            </w:r>
          </w:p>
        </w:tc>
        <w:tc>
          <w:tcPr>
            <w:tcW w:w="4039" w:type="dxa"/>
            <w:vAlign w:val="center"/>
          </w:tcPr>
          <w:p>
            <w:pPr>
              <w:adjustRightInd w:val="0"/>
              <w:snapToGrid w:val="0"/>
              <w:spacing w:line="360" w:lineRule="auto"/>
              <w:jc w:val="center"/>
              <w:rPr>
                <w:rFonts w:ascii="宋体" w:hAnsi="宋体"/>
                <w:kern w:val="0"/>
                <w:szCs w:val="21"/>
              </w:rPr>
            </w:pPr>
            <w:r>
              <w:rPr>
                <w:rFonts w:ascii="宋体" w:hAnsi="宋体" w:hint="eastAsia"/>
                <w:kern w:val="0"/>
                <w:szCs w:val="21"/>
              </w:rPr>
              <w:t>实质性条款具体内容</w:t>
            </w:r>
          </w:p>
        </w:tc>
        <w:tc>
          <w:tcPr>
            <w:tcW w:w="1034" w:type="dxa"/>
            <w:vAlign w:val="center"/>
          </w:tcPr>
          <w:p>
            <w:pPr>
              <w:adjustRightInd w:val="0"/>
              <w:snapToGrid w:val="0"/>
              <w:spacing w:line="360" w:lineRule="auto"/>
              <w:jc w:val="center"/>
              <w:rPr>
                <w:rFonts w:ascii="宋体" w:hAnsi="宋体"/>
                <w:kern w:val="0"/>
                <w:szCs w:val="21"/>
              </w:rPr>
            </w:pPr>
            <w:r>
              <w:rPr>
                <w:rFonts w:hint="eastAsia"/>
              </w:rPr>
              <w:t>投标响应</w:t>
            </w:r>
          </w:p>
        </w:tc>
        <w:tc>
          <w:tcPr>
            <w:tcW w:w="1276" w:type="dxa"/>
            <w:vAlign w:val="center"/>
          </w:tcPr>
          <w:p>
            <w:pPr>
              <w:adjustRightInd w:val="0"/>
              <w:snapToGrid w:val="0"/>
              <w:spacing w:line="360" w:lineRule="auto"/>
              <w:jc w:val="center"/>
              <w:rPr>
                <w:rFonts w:ascii="宋体" w:hAnsi="宋体"/>
                <w:kern w:val="0"/>
                <w:szCs w:val="21"/>
              </w:rPr>
            </w:pPr>
            <w:r>
              <w:rPr>
                <w:rFonts w:hint="eastAsia"/>
              </w:rPr>
              <w:t>偏离情况</w:t>
            </w:r>
          </w:p>
        </w:tc>
        <w:tc>
          <w:tcPr>
            <w:tcW w:w="1163" w:type="dxa"/>
            <w:vAlign w:val="center"/>
          </w:tcPr>
          <w:p>
            <w:pPr>
              <w:adjustRightInd w:val="0"/>
              <w:snapToGrid w:val="0"/>
              <w:spacing w:line="360" w:lineRule="auto"/>
              <w:jc w:val="center"/>
              <w:rPr>
                <w:rFonts w:ascii="宋体" w:hAnsi="宋体"/>
                <w:kern w:val="0"/>
                <w:szCs w:val="21"/>
              </w:rPr>
            </w:pPr>
            <w:r>
              <w:rPr>
                <w:rFonts w:hint="eastAsia"/>
              </w:rPr>
              <w:t>说明</w:t>
            </w:r>
          </w:p>
        </w:tc>
      </w:tr>
      <w:tr>
        <w:tblPrEx>
          <w:tblW w:w="8217" w:type="dxa"/>
          <w:tblInd w:w="0" w:type="dxa"/>
          <w:tblCellMar>
            <w:top w:w="0" w:type="dxa"/>
            <w:left w:w="108" w:type="dxa"/>
            <w:bottom w:w="0" w:type="dxa"/>
            <w:right w:w="108" w:type="dxa"/>
          </w:tblCellMar>
        </w:tblPrEx>
        <w:tc>
          <w:tcPr>
            <w:tcW w:w="705" w:type="dxa"/>
          </w:tcPr>
          <w:p>
            <w:pPr>
              <w:adjustRightInd w:val="0"/>
              <w:snapToGrid w:val="0"/>
              <w:spacing w:line="360" w:lineRule="auto"/>
              <w:jc w:val="center"/>
              <w:rPr>
                <w:rFonts w:ascii="宋体" w:hAnsi="宋体"/>
                <w:kern w:val="0"/>
                <w:szCs w:val="21"/>
              </w:rPr>
            </w:pPr>
            <w:bookmarkEnd w:id="46"/>
            <w:r>
              <w:rPr>
                <w:rFonts w:ascii="宋体" w:hAnsi="宋体" w:hint="eastAsia"/>
                <w:kern w:val="0"/>
                <w:szCs w:val="21"/>
              </w:rPr>
              <w:t>1</w:t>
            </w:r>
          </w:p>
        </w:tc>
        <w:tc>
          <w:tcPr>
            <w:tcW w:w="4039" w:type="dxa"/>
          </w:tcPr>
          <w:p>
            <w:pPr>
              <w:adjustRightInd w:val="0"/>
              <w:snapToGrid w:val="0"/>
              <w:spacing w:line="360" w:lineRule="auto"/>
              <w:jc w:val="left"/>
              <w:rPr>
                <w:rFonts w:hAnsi="宋体"/>
                <w:kern w:val="0"/>
                <w:szCs w:val="21"/>
              </w:rPr>
            </w:pPr>
            <w:r>
              <w:rPr>
                <w:rFonts w:hint="eastAsia"/>
              </w:rPr>
              <w:t>满足本项目标★的条款要求</w:t>
            </w:r>
          </w:p>
        </w:tc>
        <w:tc>
          <w:tcPr>
            <w:tcW w:w="1034" w:type="dxa"/>
          </w:tcPr>
          <w:p>
            <w:pPr>
              <w:adjustRightInd w:val="0"/>
              <w:snapToGrid w:val="0"/>
              <w:spacing w:line="360" w:lineRule="auto"/>
              <w:rPr>
                <w:rFonts w:ascii="宋体" w:hAnsi="宋体"/>
                <w:kern w:val="0"/>
                <w:szCs w:val="21"/>
              </w:rPr>
            </w:pPr>
          </w:p>
        </w:tc>
        <w:tc>
          <w:tcPr>
            <w:tcW w:w="1276" w:type="dxa"/>
          </w:tcPr>
          <w:p>
            <w:pPr>
              <w:adjustRightInd w:val="0"/>
              <w:snapToGrid w:val="0"/>
              <w:spacing w:line="360" w:lineRule="auto"/>
              <w:rPr>
                <w:rFonts w:ascii="宋体" w:hAnsi="宋体"/>
                <w:kern w:val="0"/>
                <w:szCs w:val="21"/>
              </w:rPr>
            </w:pPr>
          </w:p>
        </w:tc>
        <w:tc>
          <w:tcPr>
            <w:tcW w:w="1163" w:type="dxa"/>
          </w:tcPr>
          <w:p>
            <w:pPr>
              <w:adjustRightInd w:val="0"/>
              <w:snapToGrid w:val="0"/>
              <w:spacing w:line="360" w:lineRule="auto"/>
              <w:rPr>
                <w:rFonts w:ascii="宋体" w:hAnsi="宋体"/>
                <w:kern w:val="0"/>
                <w:szCs w:val="21"/>
              </w:rPr>
            </w:pPr>
          </w:p>
        </w:tc>
      </w:tr>
      <w:tr>
        <w:tblPrEx>
          <w:tblW w:w="8217" w:type="dxa"/>
          <w:tblInd w:w="0" w:type="dxa"/>
          <w:tblCellMar>
            <w:top w:w="0" w:type="dxa"/>
            <w:left w:w="108" w:type="dxa"/>
            <w:bottom w:w="0" w:type="dxa"/>
            <w:right w:w="108" w:type="dxa"/>
          </w:tblCellMar>
        </w:tblPrEx>
        <w:tc>
          <w:tcPr>
            <w:tcW w:w="705" w:type="dxa"/>
          </w:tcPr>
          <w:p>
            <w:pPr>
              <w:adjustRightInd w:val="0"/>
              <w:snapToGrid w:val="0"/>
              <w:spacing w:line="360" w:lineRule="auto"/>
              <w:jc w:val="center"/>
              <w:rPr>
                <w:rFonts w:ascii="宋体" w:eastAsia="宋体" w:hAnsi="宋体" w:hint="eastAsia"/>
                <w:kern w:val="0"/>
                <w:szCs w:val="21"/>
                <w:lang w:val="en-US" w:eastAsia="zh-CN"/>
              </w:rPr>
            </w:pPr>
            <w:r>
              <w:rPr>
                <w:rFonts w:ascii="宋体" w:hAnsi="宋体" w:hint="eastAsia"/>
                <w:kern w:val="0"/>
                <w:szCs w:val="21"/>
                <w:lang w:val="en-US" w:eastAsia="zh-CN"/>
              </w:rPr>
              <w:t>2</w:t>
            </w:r>
          </w:p>
        </w:tc>
        <w:tc>
          <w:tcPr>
            <w:tcW w:w="4039" w:type="dxa"/>
          </w:tcPr>
          <w:p>
            <w:pPr>
              <w:adjustRightInd w:val="0"/>
              <w:snapToGrid w:val="0"/>
              <w:spacing w:line="360" w:lineRule="auto"/>
              <w:jc w:val="left"/>
              <w:rPr>
                <w:rFonts w:hint="eastAsia"/>
              </w:rPr>
            </w:pPr>
            <w:r>
              <w:rPr>
                <w:rFonts w:ascii="宋体" w:hAnsi="宋体" w:cs="宋体" w:hint="eastAsia"/>
                <w:b/>
                <w:bCs/>
                <w:color w:val="FF0000"/>
                <w:kern w:val="0"/>
                <w:szCs w:val="21"/>
              </w:rPr>
              <w:t>投标人若为保安服务公司，需提供服务所在地公安机关核发的《保安服务许可证》【非服务所在地公安机关核发的，承诺“在开始提供保安服务之前30日内向服务所在地设区市的公安机关备案“，提供承诺函（格式自拟）】；若为自行招用保安员的单位，需提供服务所在地设区市的公安机关备案证明【未取得备案的，需承诺“自开始保安服务之日起30个工作日内向服务所在地设区市的公安机关备案”，提供承诺函（格式自拟）】。</w:t>
            </w:r>
          </w:p>
        </w:tc>
        <w:tc>
          <w:tcPr>
            <w:tcW w:w="1034" w:type="dxa"/>
          </w:tcPr>
          <w:p>
            <w:pPr>
              <w:adjustRightInd w:val="0"/>
              <w:snapToGrid w:val="0"/>
              <w:spacing w:line="360" w:lineRule="auto"/>
              <w:rPr>
                <w:rFonts w:ascii="宋体" w:hAnsi="宋体"/>
                <w:kern w:val="0"/>
                <w:szCs w:val="21"/>
              </w:rPr>
            </w:pPr>
          </w:p>
        </w:tc>
        <w:tc>
          <w:tcPr>
            <w:tcW w:w="1276" w:type="dxa"/>
          </w:tcPr>
          <w:p>
            <w:pPr>
              <w:adjustRightInd w:val="0"/>
              <w:snapToGrid w:val="0"/>
              <w:spacing w:line="360" w:lineRule="auto"/>
              <w:rPr>
                <w:rFonts w:ascii="宋体" w:hAnsi="宋体"/>
                <w:kern w:val="0"/>
                <w:szCs w:val="21"/>
              </w:rPr>
            </w:pPr>
          </w:p>
        </w:tc>
        <w:tc>
          <w:tcPr>
            <w:tcW w:w="1163" w:type="dxa"/>
          </w:tcPr>
          <w:p>
            <w:pPr>
              <w:adjustRightInd w:val="0"/>
              <w:snapToGrid w:val="0"/>
              <w:spacing w:line="360" w:lineRule="auto"/>
              <w:rPr>
                <w:rFonts w:ascii="宋体" w:hAnsi="宋体"/>
                <w:kern w:val="0"/>
                <w:szCs w:val="21"/>
              </w:rPr>
            </w:pPr>
          </w:p>
        </w:tc>
      </w:tr>
    </w:tbl>
    <w:p>
      <w:pPr>
        <w:ind w:firstLine="420" w:firstLineChars="200"/>
        <w:rPr>
          <w:b/>
          <w:sz w:val="24"/>
          <w:szCs w:val="22"/>
        </w:rPr>
      </w:pPr>
      <w:r>
        <w:rPr>
          <w:rFonts w:hint="eastAsia"/>
          <w:b/>
          <w:sz w:val="24"/>
          <w:szCs w:val="22"/>
        </w:rPr>
        <w:t>注：1. 上表所列各项均为不可负偏离条款。</w:t>
      </w:r>
    </w:p>
    <w:p>
      <w:pPr>
        <w:ind w:firstLine="420" w:firstLineChars="200"/>
        <w:rPr>
          <w:b/>
          <w:sz w:val="24"/>
          <w:szCs w:val="22"/>
        </w:rPr>
      </w:pPr>
      <w:r>
        <w:rPr>
          <w:rFonts w:hint="eastAsia"/>
          <w:b/>
          <w:sz w:val="24"/>
          <w:szCs w:val="22"/>
        </w:rPr>
        <w:t>2.“投标响应”一栏应当详细填写投标人自身响应情况，而不能不合理照搬照抄招实质性条款具体内容。</w:t>
      </w:r>
    </w:p>
    <w:p>
      <w:pPr>
        <w:ind w:firstLine="420" w:firstLineChars="200"/>
        <w:rPr>
          <w:b/>
          <w:sz w:val="24"/>
          <w:szCs w:val="22"/>
        </w:rPr>
      </w:pPr>
      <w:r>
        <w:rPr>
          <w:rFonts w:hint="eastAsia"/>
          <w:b/>
          <w:sz w:val="24"/>
          <w:szCs w:val="22"/>
        </w:rPr>
        <w:t>3</w:t>
      </w:r>
      <w:r>
        <w:rPr>
          <w:b/>
          <w:sz w:val="24"/>
          <w:szCs w:val="22"/>
        </w:rPr>
        <w:t>.</w:t>
      </w:r>
      <w:r>
        <w:rPr>
          <w:rFonts w:hint="eastAsia"/>
          <w:b/>
          <w:sz w:val="24"/>
          <w:szCs w:val="22"/>
        </w:rPr>
        <w:t>“偏离情况”一栏应填写“正偏离”、“负偏离”或“无偏离”，</w:t>
      </w:r>
      <w:r>
        <w:rPr>
          <w:rFonts w:hint="eastAsia"/>
          <w:b/>
          <w:sz w:val="24"/>
        </w:rPr>
        <w:t>“正偏离”表示“投标响应优于实质性条款具体内容要求”，“负偏离”表示“投标响应不满足实质性条款具体内容要求”，“无偏离”表示“投标响应与实质性条款具体内容要求一致”。</w:t>
      </w:r>
    </w:p>
    <w:p>
      <w:pPr>
        <w:ind w:firstLine="420" w:firstLineChars="200"/>
        <w:rPr>
          <w:b/>
          <w:sz w:val="24"/>
        </w:rPr>
      </w:pPr>
      <w:r>
        <w:rPr>
          <w:b/>
          <w:sz w:val="24"/>
        </w:rPr>
        <w:t>4.</w:t>
      </w:r>
      <w:r>
        <w:rPr>
          <w:rFonts w:hint="eastAsia"/>
          <w:b/>
          <w:sz w:val="24"/>
        </w:rPr>
        <w:t>评审委员会有权根据实质性条款响应情况作出评判。</w:t>
      </w:r>
    </w:p>
    <w:p/>
    <w:p>
      <w:pPr>
        <w:rPr>
          <w:b/>
          <w:bCs/>
          <w:sz w:val="24"/>
        </w:rPr>
      </w:pPr>
    </w:p>
    <w:p>
      <w:pPr>
        <w:rPr>
          <w:rFonts w:ascii="黑体" w:eastAsia="黑体" w:hAnsi="宋体"/>
          <w:sz w:val="24"/>
          <w:szCs w:val="20"/>
        </w:rPr>
      </w:pPr>
      <w:r>
        <w:rPr>
          <w:rFonts w:ascii="黑体" w:eastAsia="黑体" w:hAnsi="宋体" w:hint="eastAsia"/>
          <w:sz w:val="24"/>
          <w:szCs w:val="20"/>
        </w:rPr>
        <w:t>四、实施方案（格式自定）</w:t>
      </w:r>
    </w:p>
    <w:p>
      <w:pPr>
        <w:pStyle w:val="NormalIndent"/>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（特别提示：投标人须按本招标文件评标信息中“实施方案”这一评审因素要求，提供证明资料）</w:t>
      </w:r>
    </w:p>
    <w:p>
      <w:pPr>
        <w:pStyle w:val="NormalIndent"/>
        <w:ind w:firstLine="0"/>
        <w:rPr>
          <w:rFonts w:asciiTheme="minorEastAsia" w:eastAsiaTheme="minorEastAsia" w:hAnsiTheme="minorEastAsia" w:cstheme="minorEastAsia"/>
          <w:sz w:val="24"/>
        </w:rPr>
      </w:pPr>
    </w:p>
    <w:p>
      <w:pPr>
        <w:pStyle w:val="NormalIndent"/>
        <w:ind w:firstLine="0"/>
        <w:rPr>
          <w:rFonts w:ascii="黑体" w:eastAsia="黑体" w:hAnsi="宋体"/>
          <w:sz w:val="24"/>
        </w:rPr>
      </w:pPr>
      <w:r>
        <w:rPr>
          <w:rFonts w:ascii="黑体" w:eastAsia="黑体" w:hAnsi="宋体" w:hint="eastAsia"/>
          <w:sz w:val="24"/>
        </w:rPr>
        <w:t>五、项目重点难点分析、应对措施及相关的合理化建议（格式自定）</w:t>
      </w:r>
    </w:p>
    <w:p>
      <w:pPr>
        <w:pStyle w:val="NormalIndent"/>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（特别提示：投标人须按本招标文件评标信息中“项目重点难点分析、应对措施及相关的合理化建议”这一评审因素要求，提供证明资料）</w:t>
      </w:r>
    </w:p>
    <w:p>
      <w:pPr>
        <w:pStyle w:val="NormalIndent"/>
        <w:ind w:firstLine="0"/>
        <w:rPr>
          <w:rFonts w:asciiTheme="minorEastAsia" w:eastAsiaTheme="minorEastAsia" w:hAnsiTheme="minorEastAsia" w:cstheme="minorEastAsia"/>
          <w:sz w:val="24"/>
        </w:rPr>
      </w:pPr>
    </w:p>
    <w:p>
      <w:pPr>
        <w:pStyle w:val="NormalIndent"/>
        <w:ind w:firstLine="0"/>
        <w:rPr>
          <w:rFonts w:ascii="黑体" w:eastAsia="黑体" w:hAnsi="宋体"/>
          <w:sz w:val="24"/>
        </w:rPr>
      </w:pPr>
      <w:r>
        <w:rPr>
          <w:rFonts w:ascii="黑体" w:eastAsia="黑体" w:hAnsi="宋体" w:hint="eastAsia"/>
          <w:sz w:val="24"/>
        </w:rPr>
        <w:t>六、质量（完成时间、安全、环保）保障措施及方案（格式自定）</w:t>
      </w:r>
    </w:p>
    <w:p>
      <w:pPr>
        <w:pStyle w:val="NormalIndent"/>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（特别提示：投标人须按本招标文件评标信息中“质量（完成时间、安全、环保）保障措施及方案”这一评审因素要求，提供证明资料）</w:t>
      </w:r>
    </w:p>
    <w:p>
      <w:pPr>
        <w:pStyle w:val="NormalIndent"/>
        <w:ind w:firstLine="0"/>
        <w:rPr>
          <w:rFonts w:asciiTheme="minorEastAsia" w:eastAsiaTheme="minorEastAsia" w:hAnsiTheme="minorEastAsia" w:cstheme="minorEastAsia"/>
          <w:sz w:val="24"/>
        </w:rPr>
      </w:pPr>
    </w:p>
    <w:p>
      <w:pPr>
        <w:pStyle w:val="NormalIndent"/>
        <w:ind w:firstLine="0"/>
        <w:rPr>
          <w:rFonts w:ascii="黑体" w:eastAsia="黑体" w:hAnsi="宋体"/>
          <w:sz w:val="24"/>
        </w:rPr>
      </w:pPr>
      <w:r>
        <w:rPr>
          <w:rFonts w:ascii="黑体" w:eastAsia="黑体" w:hAnsi="宋体" w:hint="eastAsia"/>
          <w:sz w:val="24"/>
        </w:rPr>
        <w:t>七、项目完成（服务期满）后的服务承诺（格式自定）</w:t>
      </w:r>
    </w:p>
    <w:p>
      <w:pPr>
        <w:pStyle w:val="NormalIndent"/>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（特别提示：投标人须按本招标文件评标信息中“项目完成（服务期满）后的服务承诺”这一评审因素要求，提供证明资料）</w:t>
      </w:r>
    </w:p>
    <w:p>
      <w:pPr>
        <w:pStyle w:val="NormalIndent"/>
        <w:ind w:firstLine="0"/>
        <w:rPr>
          <w:rFonts w:asciiTheme="minorEastAsia" w:eastAsiaTheme="minorEastAsia" w:hAnsiTheme="minorEastAsia" w:cstheme="minorEastAsia"/>
          <w:sz w:val="24"/>
        </w:rPr>
      </w:pPr>
    </w:p>
    <w:p>
      <w:pPr>
        <w:pStyle w:val="NormalIndent"/>
        <w:ind w:firstLine="0"/>
        <w:rPr>
          <w:rFonts w:ascii="黑体" w:eastAsia="黑体" w:hAnsi="宋体"/>
          <w:sz w:val="24"/>
        </w:rPr>
      </w:pPr>
      <w:r>
        <w:rPr>
          <w:rFonts w:ascii="黑体" w:eastAsia="黑体" w:hAnsi="宋体" w:hint="eastAsia"/>
          <w:sz w:val="24"/>
        </w:rPr>
        <w:t>八、违约承诺（格式自定）</w:t>
      </w:r>
    </w:p>
    <w:p>
      <w:pPr>
        <w:pStyle w:val="NormalIndent"/>
        <w:spacing w:before="60" w:beforeLines="25" w:after="60" w:afterLines="25"/>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（特别提示：投标人须按本招标文件评标信息中“违约承诺”这一评审因素要求，提供证明资料）</w:t>
      </w:r>
    </w:p>
    <w:p>
      <w:pPr>
        <w:pStyle w:val="NormalIndent"/>
        <w:spacing w:before="60" w:beforeLines="25" w:after="60" w:afterLines="25"/>
        <w:ind w:firstLine="0"/>
        <w:rPr>
          <w:rFonts w:asciiTheme="minorEastAsia" w:eastAsiaTheme="minorEastAsia" w:hAnsiTheme="minorEastAsia" w:cstheme="minorEastAsia"/>
          <w:sz w:val="24"/>
        </w:rPr>
      </w:pPr>
    </w:p>
    <w:p>
      <w:pPr>
        <w:pStyle w:val="NormalIndent"/>
        <w:spacing w:before="60" w:beforeLines="25" w:after="60" w:afterLines="25"/>
        <w:ind w:firstLine="0"/>
        <w:rPr>
          <w:rFonts w:ascii="黑体" w:eastAsia="黑体" w:hAnsi="宋体"/>
          <w:sz w:val="24"/>
        </w:rPr>
      </w:pPr>
      <w:r>
        <w:rPr>
          <w:rFonts w:ascii="黑体" w:eastAsia="黑体" w:hAnsi="宋体" w:hint="eastAsia"/>
          <w:sz w:val="24"/>
        </w:rPr>
        <w:t>九、拟安排的项目负责人情况（仅限一人）（格式自定）</w:t>
      </w:r>
    </w:p>
    <w:p>
      <w:pPr>
        <w:pStyle w:val="NormalIndent"/>
        <w:spacing w:before="60" w:beforeLines="25" w:after="60" w:afterLines="25"/>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（特别提示：投标人须按本招标文件评标信息中“拟安排的项目负责人情况（仅限一人）”这一评审因素要求，提供证明资料）</w:t>
      </w:r>
    </w:p>
    <w:p>
      <w:pPr>
        <w:pStyle w:val="NormalIndent"/>
        <w:spacing w:before="60" w:beforeLines="25" w:after="60" w:afterLines="25"/>
        <w:ind w:firstLine="0"/>
        <w:rPr>
          <w:rFonts w:asciiTheme="minorEastAsia" w:eastAsiaTheme="minorEastAsia" w:hAnsiTheme="minorEastAsia" w:cstheme="minorEastAsia"/>
          <w:sz w:val="24"/>
        </w:rPr>
      </w:pPr>
    </w:p>
    <w:p>
      <w:pPr>
        <w:pStyle w:val="NormalIndent"/>
        <w:spacing w:before="60" w:beforeLines="25" w:after="60" w:afterLines="25"/>
        <w:ind w:firstLine="0"/>
        <w:rPr>
          <w:rFonts w:ascii="黑体" w:eastAsia="黑体" w:hAnsi="宋体"/>
          <w:sz w:val="24"/>
        </w:rPr>
      </w:pPr>
      <w:r>
        <w:rPr>
          <w:rFonts w:ascii="黑体" w:eastAsia="黑体" w:hAnsi="宋体" w:hint="eastAsia"/>
          <w:sz w:val="24"/>
        </w:rPr>
        <w:t>十、拟安排的项目主要团队成员（主要技术人员）情况（项目负责人除外）（格式自定）</w:t>
      </w:r>
    </w:p>
    <w:p>
      <w:pPr>
        <w:pStyle w:val="NormalIndent"/>
        <w:spacing w:before="60" w:beforeLines="25" w:after="60" w:afterLines="25"/>
        <w:ind w:firstLine="0"/>
        <w:rPr>
          <w:rFonts w:asciiTheme="minorEastAsia" w:eastAsiaTheme="minorEastAsia" w:hAnsiTheme="minorEastAsia" w:cstheme="minorEastAsia"/>
          <w:color w:val="FF0000"/>
          <w:sz w:val="24"/>
        </w:rPr>
      </w:pPr>
      <w:r>
        <w:rPr>
          <w:rFonts w:asciiTheme="minorEastAsia" w:eastAsiaTheme="minorEastAsia" w:hAnsiTheme="minorEastAsia" w:cstheme="minorEastAsia" w:hint="eastAsia"/>
          <w:color w:val="FF0000"/>
          <w:sz w:val="24"/>
        </w:rPr>
        <w:t>（特别提示：投标人须按本招标文件评标信息中“拟安排的项目主要团队成员（主要技术人员）情况（项目负责人除外）”这一评审因素要求，提供证明资料）</w:t>
      </w:r>
    </w:p>
    <w:p>
      <w:pPr>
        <w:pStyle w:val="NormalIndent"/>
        <w:spacing w:before="60" w:beforeLines="25" w:after="60" w:afterLines="25"/>
        <w:ind w:firstLine="0"/>
        <w:rPr>
          <w:rFonts w:asciiTheme="minorEastAsia" w:eastAsiaTheme="minorEastAsia" w:hAnsiTheme="minorEastAsia" w:cstheme="minorEastAsia"/>
          <w:sz w:val="24"/>
        </w:rPr>
      </w:pPr>
    </w:p>
    <w:p>
      <w:pPr>
        <w:pStyle w:val="NormalIndent"/>
        <w:spacing w:before="60" w:beforeLines="25" w:after="60" w:afterLines="25"/>
        <w:ind w:firstLine="0"/>
        <w:rPr>
          <w:rFonts w:ascii="黑体" w:eastAsia="黑体" w:hAnsi="宋体"/>
          <w:sz w:val="24"/>
        </w:rPr>
      </w:pPr>
      <w:r>
        <w:rPr>
          <w:rFonts w:ascii="黑体" w:eastAsia="黑体" w:hAnsi="宋体" w:hint="eastAsia"/>
          <w:sz w:val="24"/>
        </w:rPr>
        <w:t>十一、拟投入的服务资源（车辆、场地、工具、机器等）情况（格式自定）</w:t>
      </w:r>
    </w:p>
    <w:p>
      <w:pPr>
        <w:rPr>
          <w:rFonts w:asciiTheme="minorEastAsia" w:eastAsiaTheme="minorEastAsia" w:hAnsiTheme="minorEastAsia" w:cstheme="minorEastAsia"/>
          <w:sz w:val="24"/>
        </w:rPr>
      </w:pPr>
      <w:r>
        <w:rPr>
          <w:rFonts w:asciiTheme="minorEastAsia" w:eastAsiaTheme="minorEastAsia" w:hAnsiTheme="minorEastAsia" w:cstheme="minorEastAsia" w:hint="eastAsia"/>
          <w:color w:val="FF0000"/>
          <w:sz w:val="24"/>
        </w:rPr>
        <w:t>（特别提示：投标人须按本招标文件评标信息中“拟投入的服务资源（车辆、场地、工具、机器等）情况”这一评审因素要求，提供证明资料）</w:t>
      </w:r>
    </w:p>
    <w:p>
      <w:pPr>
        <w:pStyle w:val="BodyText"/>
      </w:pPr>
    </w:p>
    <w:p>
      <w:pPr>
        <w:numPr>
          <w:ilvl w:val="0"/>
          <w:numId w:val="11"/>
        </w:numPr>
        <w:rPr>
          <w:rFonts w:ascii="黑体" w:eastAsia="黑体" w:hAnsi="宋体"/>
          <w:sz w:val="24"/>
          <w:szCs w:val="20"/>
        </w:rPr>
      </w:pPr>
      <w:r>
        <w:rPr>
          <w:rFonts w:ascii="黑体" w:eastAsia="黑体" w:hAnsi="宋体" w:hint="eastAsia"/>
          <w:sz w:val="24"/>
          <w:szCs w:val="20"/>
        </w:rPr>
        <w:t>投标人认为需要加以说明的其他内容（格式自定）</w:t>
      </w:r>
    </w:p>
    <w:p>
      <w:pPr>
        <w:pStyle w:val="BodyText"/>
      </w:pPr>
    </w:p>
    <w:p>
      <w:pPr>
        <w:rPr>
          <w:rFonts w:ascii="黑体" w:eastAsia="黑体" w:hAnsi="宋体"/>
          <w:sz w:val="24"/>
          <w:szCs w:val="20"/>
        </w:rPr>
      </w:pPr>
      <w:r>
        <w:rPr>
          <w:rFonts w:ascii="黑体" w:eastAsia="黑体" w:hAnsi="宋体" w:hint="eastAsia"/>
          <w:sz w:val="24"/>
          <w:szCs w:val="20"/>
        </w:rPr>
        <w:t>（1）政府采购违法行为风险知悉确认书</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本公司在投标前已充分知悉以下情形为参与政府采购活动时的重大风险事项，并承诺已对下述风险提示事项重点排查，做到严谨、诚信、依法依规参与政府采购活动。</w:t>
      </w:r>
    </w:p>
    <w:p>
      <w:pPr>
        <w:ind w:firstLine="420" w:firstLineChars="200"/>
        <w:rPr>
          <w:b/>
          <w:bCs/>
          <w:szCs w:val="21"/>
        </w:rPr>
      </w:pPr>
      <w:r>
        <w:rPr>
          <w:rFonts w:ascii="宋体" w:hAnsi="宋体" w:hint="eastAsia"/>
          <w:b/>
          <w:bCs/>
          <w:szCs w:val="21"/>
        </w:rPr>
        <w:t>一、本公司已充分知悉</w:t>
      </w:r>
      <w:r>
        <w:rPr>
          <w:rFonts w:hint="eastAsia"/>
          <w:b/>
          <w:bCs/>
          <w:szCs w:val="21"/>
        </w:rPr>
        <w:t>“</w:t>
      </w:r>
      <w:r>
        <w:rPr>
          <w:rFonts w:ascii="宋体" w:hAnsi="宋体" w:hint="eastAsia"/>
          <w:b/>
          <w:bCs/>
          <w:szCs w:val="21"/>
        </w:rPr>
        <w:t>隐瞒真实情况，提供虚假资料</w:t>
      </w:r>
      <w:r>
        <w:rPr>
          <w:rFonts w:hint="eastAsia"/>
          <w:b/>
          <w:bCs/>
          <w:szCs w:val="21"/>
        </w:rPr>
        <w:t>”</w:t>
      </w:r>
      <w:r>
        <w:rPr>
          <w:rFonts w:ascii="宋体" w:hAnsi="宋体" w:hint="eastAsia"/>
          <w:b/>
          <w:bCs/>
          <w:szCs w:val="21"/>
        </w:rPr>
        <w:t>的法定情形，相关情形包括但不限于：</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（一）通过转让或者租借等方式从其他单位获取资格或者资质证书投标的。</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（二）由其他单位或者其他单位负责人在投标供应商编制的投标文件上加盖印章或者签字的。</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（三）项目负责人或者主要技术人员不是本单位人员的。</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（四）投标保证金不是从投标供应商基本账户转出的。</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（五）其他隐瞒真实情况、提供虚假资料的行为。</w:t>
      </w:r>
    </w:p>
    <w:p>
      <w:pPr>
        <w:ind w:firstLine="420" w:firstLineChars="200"/>
        <w:rPr>
          <w:b/>
          <w:bCs/>
          <w:szCs w:val="21"/>
        </w:rPr>
      </w:pPr>
      <w:r>
        <w:rPr>
          <w:rFonts w:ascii="宋体" w:hAnsi="宋体" w:hint="eastAsia"/>
          <w:b/>
          <w:bCs/>
          <w:szCs w:val="21"/>
        </w:rPr>
        <w:t>二、本公司已充分知悉</w:t>
      </w:r>
      <w:r>
        <w:rPr>
          <w:rFonts w:hint="eastAsia"/>
          <w:b/>
          <w:bCs/>
          <w:szCs w:val="21"/>
        </w:rPr>
        <w:t>“</w:t>
      </w:r>
      <w:r>
        <w:rPr>
          <w:rFonts w:ascii="宋体" w:hAnsi="宋体" w:hint="eastAsia"/>
          <w:b/>
          <w:bCs/>
          <w:szCs w:val="21"/>
        </w:rPr>
        <w:t>与其他采购参加人串通投标</w:t>
      </w:r>
      <w:r>
        <w:rPr>
          <w:rFonts w:hint="eastAsia"/>
          <w:b/>
          <w:bCs/>
          <w:szCs w:val="21"/>
        </w:rPr>
        <w:t>”</w:t>
      </w:r>
      <w:r>
        <w:rPr>
          <w:rFonts w:ascii="宋体" w:hAnsi="宋体" w:hint="eastAsia"/>
          <w:b/>
          <w:bCs/>
          <w:szCs w:val="21"/>
        </w:rPr>
        <w:t>的法定情形，相关情形包括但不限于：</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（一）投标供应商之间相互约定给予未中标的供应商利益补偿。</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（二）不同投标供应商的法定代表人、主要经营负责人、项目投标授权代表人、项目负责人、主要技术人员为同一人、属同一单位或者在同一单位缴纳社会保险。</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（三）不同投标供应商的投标文件由同一单位或者同一人编制，或者由同一人分阶段参与编制的。</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（四）不同投标供应商的投标文件或部分投标文件相互混装。</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（五）不同投标供应商的投标文件内容存在非正常一致。</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（六）由同一单位工作人员为两家以上（含两家）供应商进行同一项投标活动的。</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（七）不同投标人的投标报价呈规律性差异。</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（八）不同投标人的投标保证金从同一单位或者个人的账户转出。</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（九）主管部门依照法律、法规认定的其他情形。</w:t>
      </w:r>
    </w:p>
    <w:p>
      <w:pPr>
        <w:ind w:firstLine="420" w:firstLineChars="200"/>
        <w:rPr>
          <w:b/>
          <w:bCs/>
          <w:szCs w:val="21"/>
        </w:rPr>
      </w:pPr>
      <w:r>
        <w:rPr>
          <w:rFonts w:ascii="宋体" w:hAnsi="宋体" w:hint="eastAsia"/>
          <w:b/>
          <w:bCs/>
          <w:szCs w:val="21"/>
        </w:rPr>
        <w:t>三、本公司已充分知悉下列情形所对应的法律风险，并在投标前已对相关风险事项进行排查。</w:t>
      </w:r>
    </w:p>
    <w:p>
      <w:pPr>
        <w:autoSpaceDE w:val="0"/>
        <w:autoSpaceDN w:val="0"/>
        <w:spacing w:line="400" w:lineRule="exact"/>
        <w:ind w:firstLine="420" w:firstLineChars="200"/>
        <w:rPr>
          <w:rFonts w:ascii="宋体" w:hAnsi="宋体"/>
          <w:b/>
          <w:bCs/>
          <w:spacing w:val="-4"/>
          <w:kern w:val="0"/>
          <w:szCs w:val="21"/>
        </w:rPr>
      </w:pPr>
      <w:r>
        <w:rPr>
          <w:rFonts w:ascii="宋体" w:hAnsi="宋体" w:hint="eastAsia"/>
          <w:spacing w:val="-4"/>
          <w:kern w:val="0"/>
          <w:szCs w:val="21"/>
        </w:rPr>
        <w:t>（一）对于从其他主体获取的投标资料，供应商应审慎核查，确保投标资料的真实性。</w:t>
      </w:r>
      <w:r>
        <w:rPr>
          <w:rFonts w:ascii="宋体" w:hAnsi="宋体" w:hint="eastAsia"/>
          <w:b/>
          <w:bCs/>
          <w:spacing w:val="-4"/>
          <w:kern w:val="0"/>
          <w:szCs w:val="21"/>
        </w:rPr>
        <w:t>如主管部门查实投标文件中存在虚假资料的，无论相关资料是否由第三方或本公司员工提供，均不影响主管部门对供应商存在“隐瞒真实情况，提供虚假资料”违法行为的认定。</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（二）对于涉及国家机关出具的公文、证件、证明材料等文件，一旦涉嫌虚假，经查实，主管部门将依法从严处理，并移送有关部门追究法律责任；涉嫌犯罪的，主管部门将一并移送司法机关追究法律责任。</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（三）对于涉及安全生产、特种作业、抢险救灾、防疫等政府采购项目，供应商实施提供虚假资料、串通投标等违法行为的，主管部门将依法从严处理。</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pPr>
        <w:pStyle w:val="NormalWeb"/>
        <w:autoSpaceDE w:val="0"/>
        <w:autoSpaceDN w:val="0"/>
        <w:spacing w:line="400" w:lineRule="exact"/>
        <w:ind w:firstLine="420" w:firstLineChars="200"/>
        <w:rPr>
          <w:rFonts w:ascii="宋体" w:hAnsi="宋体"/>
          <w:spacing w:val="-4"/>
          <w:kern w:val="0"/>
          <w:sz w:val="21"/>
          <w:szCs w:val="21"/>
        </w:rPr>
      </w:pPr>
      <w:r>
        <w:rPr>
          <w:rFonts w:ascii="宋体" w:hAnsi="宋体" w:hint="eastAsia"/>
          <w:spacing w:val="-4"/>
          <w:kern w:val="0"/>
          <w:sz w:val="21"/>
          <w:szCs w:val="21"/>
        </w:rPr>
        <w:t>（六）单位负责人为同一人或者存在直接控股、管理关系的不同供应商，不得参加同一合同项下的政府采购活动。相关情形如查实，依法作投标无效处理；涉嫌串通投标等违法行为的，主管部门将依法调查处理。</w:t>
      </w:r>
    </w:p>
    <w:p>
      <w:pPr>
        <w:pStyle w:val="NormalWeb"/>
        <w:autoSpaceDE w:val="0"/>
        <w:autoSpaceDN w:val="0"/>
        <w:spacing w:line="400" w:lineRule="exact"/>
        <w:ind w:firstLine="420" w:firstLineChars="200"/>
        <w:rPr>
          <w:b/>
          <w:bCs/>
          <w:sz w:val="21"/>
          <w:szCs w:val="21"/>
        </w:rPr>
      </w:pPr>
      <w:r>
        <w:rPr>
          <w:rFonts w:ascii="宋体" w:hAnsi="宋体" w:hint="eastAsia"/>
          <w:b/>
          <w:bCs/>
          <w:sz w:val="21"/>
          <w:szCs w:val="21"/>
        </w:rPr>
        <w:t>四、本公司已充分知悉政府采购违法、违规行为的法律后果。</w:t>
      </w:r>
    </w:p>
    <w:p>
      <w:pPr>
        <w:pStyle w:val="NormalWeb"/>
        <w:autoSpaceDE w:val="0"/>
        <w:autoSpaceDN w:val="0"/>
        <w:spacing w:line="400" w:lineRule="exact"/>
        <w:ind w:firstLine="420" w:firstLineChars="200"/>
        <w:rPr>
          <w:rFonts w:ascii="宋体" w:hAnsi="宋体"/>
          <w:b/>
          <w:bCs/>
          <w:spacing w:val="-4"/>
          <w:kern w:val="0"/>
          <w:sz w:val="21"/>
          <w:szCs w:val="21"/>
        </w:rPr>
      </w:pPr>
      <w:r>
        <w:rPr>
          <w:rFonts w:ascii="宋体" w:hAnsi="宋体" w:hint="eastAsia"/>
          <w:spacing w:val="-4"/>
          <w:kern w:val="0"/>
          <w:sz w:val="21"/>
          <w:szCs w:val="21"/>
        </w:rPr>
        <w:t>经查实，若投标供应商存在政府采购违法、违规行为，主管部门将依据《深圳经济特区政府采购条例》第五十七条的规定，处以一至三年内禁止参与本市政府采购，并由主管部门记入供应商诚信档案，处采购金额千分之十以上千分之二十以下罚款；情节严重的，取消参与本市政府采购资格，处采购金额千分之二十以上千分之三十以下罚款，并由市场监管部门依法吊销营业执照。</w:t>
      </w:r>
      <w:r>
        <w:rPr>
          <w:rFonts w:ascii="宋体" w:hAnsi="宋体" w:hint="eastAsia"/>
          <w:b/>
          <w:bCs/>
          <w:spacing w:val="-4"/>
          <w:kern w:val="0"/>
          <w:sz w:val="21"/>
          <w:szCs w:val="21"/>
        </w:rPr>
        <w:t>以下文字请投标供应商抄写并确认：“本公司已仔细阅读《政府采购违法行为风险知悉确认书》，充分知悉违法行为的法律后果，并承诺将严谨、诚信、依法依规参与政府采购活动”。</w:t>
      </w:r>
    </w:p>
    <w:tbl>
      <w:tblPr>
        <w:tblStyle w:val="TableGrid"/>
        <w:tblW w:w="0" w:type="auto"/>
        <w:tblInd w:w="0" w:type="dxa"/>
        <w:tblBorders>
          <w:top w:val="nil"/>
          <w:left w:val="nil"/>
          <w:bottom w:val="single" w:sz="4" w:space="0" w:color="auto"/>
          <w:right w:val="nil"/>
          <w:insideH w:val="nil"/>
          <w:insideV w:val="nil"/>
        </w:tblBorders>
        <w:tblCellMar>
          <w:top w:w="0" w:type="dxa"/>
          <w:left w:w="108" w:type="dxa"/>
          <w:bottom w:w="0" w:type="dxa"/>
          <w:right w:w="108" w:type="dxa"/>
        </w:tblCellMar>
      </w:tblPr>
      <w:tblGrid>
        <w:gridCol w:w="8529"/>
      </w:tblGrid>
      <w:tr>
        <w:tblPrEx>
          <w:tblW w:w="0" w:type="auto"/>
          <w:tblInd w:w="0" w:type="dxa"/>
          <w:tblBorders>
            <w:top w:val="nil"/>
            <w:left w:val="nil"/>
            <w:bottom w:val="single" w:sz="4" w:space="0" w:color="auto"/>
            <w:right w:val="nil"/>
            <w:insideH w:val="nil"/>
            <w:insideV w:val="nil"/>
          </w:tblBorders>
          <w:tblCellMar>
            <w:top w:w="0" w:type="dxa"/>
            <w:left w:w="108" w:type="dxa"/>
            <w:bottom w:w="0" w:type="dxa"/>
            <w:right w:w="108" w:type="dxa"/>
          </w:tblCellMar>
        </w:tblPrEx>
        <w:trPr>
          <w:trHeight w:val="304"/>
        </w:trPr>
        <w:tc>
          <w:tcPr>
            <w:tcW w:w="8529" w:type="dxa"/>
            <w:tcBorders>
              <w:top w:val="nil"/>
              <w:left w:val="nil"/>
              <w:bottom w:val="single" w:sz="8" w:space="0" w:color="000000"/>
              <w:right w:val="nil"/>
            </w:tcBorders>
          </w:tcPr>
          <w:p>
            <w:pPr>
              <w:pStyle w:val="NormalWeb"/>
              <w:autoSpaceDE w:val="0"/>
              <w:autoSpaceDN w:val="0"/>
              <w:spacing w:line="400" w:lineRule="exact"/>
              <w:rPr>
                <w:rFonts w:ascii="宋体" w:hAnsi="宋体"/>
                <w:spacing w:val="-4"/>
                <w:kern w:val="0"/>
                <w:sz w:val="21"/>
                <w:szCs w:val="21"/>
              </w:rPr>
            </w:pPr>
          </w:p>
        </w:tc>
      </w:tr>
      <w:tr>
        <w:tblPrEx>
          <w:tblW w:w="0" w:type="auto"/>
          <w:tblInd w:w="0" w:type="dxa"/>
          <w:tblCellMar>
            <w:top w:w="0" w:type="dxa"/>
            <w:left w:w="108" w:type="dxa"/>
            <w:bottom w:w="0" w:type="dxa"/>
            <w:right w:w="108" w:type="dxa"/>
          </w:tblCellMar>
        </w:tblPrEx>
        <w:tc>
          <w:tcPr>
            <w:tcW w:w="8529" w:type="dxa"/>
            <w:tcBorders>
              <w:top w:val="single" w:sz="8" w:space="0" w:color="000000"/>
              <w:left w:val="nil"/>
              <w:bottom w:val="single" w:sz="8" w:space="0" w:color="000000"/>
              <w:right w:val="nil"/>
            </w:tcBorders>
          </w:tcPr>
          <w:p>
            <w:pPr>
              <w:pStyle w:val="NormalWeb"/>
              <w:autoSpaceDE w:val="0"/>
              <w:autoSpaceDN w:val="0"/>
              <w:spacing w:line="400" w:lineRule="exact"/>
              <w:rPr>
                <w:rFonts w:ascii="宋体" w:hAnsi="宋体"/>
                <w:spacing w:val="-4"/>
                <w:kern w:val="0"/>
                <w:sz w:val="21"/>
                <w:szCs w:val="21"/>
              </w:rPr>
            </w:pPr>
          </w:p>
        </w:tc>
      </w:tr>
      <w:tr>
        <w:tblPrEx>
          <w:tblW w:w="0" w:type="auto"/>
          <w:tblInd w:w="0" w:type="dxa"/>
          <w:tblCellMar>
            <w:top w:w="0" w:type="dxa"/>
            <w:left w:w="108" w:type="dxa"/>
            <w:bottom w:w="0" w:type="dxa"/>
            <w:right w:w="108" w:type="dxa"/>
          </w:tblCellMar>
        </w:tblPrEx>
        <w:tc>
          <w:tcPr>
            <w:tcW w:w="8529" w:type="dxa"/>
            <w:tcBorders>
              <w:top w:val="single" w:sz="8" w:space="0" w:color="000000"/>
              <w:left w:val="nil"/>
              <w:bottom w:val="single" w:sz="8" w:space="0" w:color="000000"/>
              <w:right w:val="nil"/>
            </w:tcBorders>
          </w:tcPr>
          <w:p>
            <w:pPr>
              <w:pStyle w:val="NormalWeb"/>
              <w:autoSpaceDE w:val="0"/>
              <w:autoSpaceDN w:val="0"/>
              <w:spacing w:line="400" w:lineRule="exact"/>
              <w:rPr>
                <w:rFonts w:ascii="宋体" w:hAnsi="宋体"/>
                <w:spacing w:val="-4"/>
                <w:kern w:val="0"/>
                <w:sz w:val="21"/>
                <w:szCs w:val="21"/>
              </w:rPr>
            </w:pPr>
          </w:p>
        </w:tc>
      </w:tr>
      <w:tr>
        <w:tblPrEx>
          <w:tblW w:w="0" w:type="auto"/>
          <w:tblInd w:w="0" w:type="dxa"/>
          <w:tblCellMar>
            <w:top w:w="0" w:type="dxa"/>
            <w:left w:w="108" w:type="dxa"/>
            <w:bottom w:w="0" w:type="dxa"/>
            <w:right w:w="108" w:type="dxa"/>
          </w:tblCellMar>
        </w:tblPrEx>
        <w:tc>
          <w:tcPr>
            <w:tcW w:w="8529" w:type="dxa"/>
            <w:tcBorders>
              <w:top w:val="single" w:sz="8" w:space="0" w:color="000000"/>
              <w:left w:val="nil"/>
              <w:bottom w:val="single" w:sz="8" w:space="0" w:color="auto"/>
              <w:right w:val="nil"/>
            </w:tcBorders>
          </w:tcPr>
          <w:p>
            <w:pPr>
              <w:pStyle w:val="NormalWeb"/>
              <w:autoSpaceDE w:val="0"/>
              <w:autoSpaceDN w:val="0"/>
              <w:spacing w:line="400" w:lineRule="exact"/>
              <w:rPr>
                <w:rFonts w:ascii="宋体" w:hAnsi="宋体"/>
                <w:spacing w:val="-4"/>
                <w:kern w:val="0"/>
                <w:sz w:val="21"/>
                <w:szCs w:val="21"/>
              </w:rPr>
            </w:pPr>
          </w:p>
        </w:tc>
      </w:tr>
    </w:tbl>
    <w:p>
      <w:pPr>
        <w:pStyle w:val="NormalWeb"/>
        <w:autoSpaceDE w:val="0"/>
        <w:autoSpaceDN w:val="0"/>
        <w:spacing w:line="400" w:lineRule="exact"/>
        <w:ind w:firstLine="420" w:firstLineChars="200"/>
        <w:jc w:val="left"/>
        <w:rPr>
          <w:rFonts w:ascii="宋体" w:hAnsi="宋体"/>
          <w:b/>
          <w:bCs/>
          <w:color w:val="FF0000"/>
          <w:spacing w:val="-4"/>
          <w:kern w:val="0"/>
          <w:sz w:val="21"/>
          <w:szCs w:val="21"/>
        </w:rPr>
      </w:pPr>
      <w:r>
        <w:rPr>
          <w:rFonts w:ascii="宋体" w:hAnsi="宋体" w:hint="eastAsia"/>
          <w:b/>
          <w:bCs/>
          <w:color w:val="FF0000"/>
          <w:spacing w:val="-4"/>
          <w:kern w:val="0"/>
          <w:sz w:val="21"/>
          <w:szCs w:val="21"/>
        </w:rPr>
        <w:t>注：1.政府采购违法行为风险知悉确认书不作为资格性审查及符合性审查条件。</w:t>
      </w:r>
    </w:p>
    <w:p>
      <w:pPr>
        <w:pStyle w:val="NormalWeb"/>
        <w:autoSpaceDE w:val="0"/>
        <w:autoSpaceDN w:val="0"/>
        <w:spacing w:line="400" w:lineRule="exact"/>
        <w:ind w:firstLine="420" w:firstLineChars="200"/>
        <w:rPr>
          <w:rFonts w:ascii="宋体" w:hAnsi="宋体"/>
          <w:color w:val="FF0000"/>
          <w:spacing w:val="-4"/>
          <w:kern w:val="0"/>
          <w:sz w:val="21"/>
          <w:szCs w:val="21"/>
        </w:rPr>
      </w:pPr>
      <w:r>
        <w:rPr>
          <w:rFonts w:ascii="宋体" w:hAnsi="宋体" w:hint="eastAsia"/>
          <w:b/>
          <w:bCs/>
          <w:color w:val="FF0000"/>
          <w:spacing w:val="-4"/>
          <w:kern w:val="0"/>
          <w:sz w:val="21"/>
          <w:szCs w:val="21"/>
        </w:rPr>
        <w:t>2.投标供应商负责人或投标授权代表签字并加盖单位公章后，扫描上传至投标文件一并提交。</w:t>
      </w:r>
    </w:p>
    <w:p>
      <w:pPr>
        <w:pStyle w:val="NormalWeb"/>
        <w:wordWrap w:val="0"/>
        <w:autoSpaceDE w:val="0"/>
        <w:autoSpaceDN w:val="0"/>
        <w:spacing w:line="400" w:lineRule="exact"/>
        <w:ind w:firstLine="420" w:firstLineChars="200"/>
        <w:jc w:val="right"/>
        <w:rPr>
          <w:rFonts w:ascii="宋体" w:hAnsi="宋体"/>
          <w:spacing w:val="-4"/>
          <w:kern w:val="0"/>
          <w:sz w:val="21"/>
          <w:szCs w:val="21"/>
        </w:rPr>
      </w:pPr>
      <w:r>
        <w:rPr>
          <w:rFonts w:ascii="宋体" w:hAnsi="宋体" w:hint="eastAsia"/>
          <w:spacing w:val="-4"/>
          <w:kern w:val="0"/>
          <w:sz w:val="21"/>
          <w:szCs w:val="21"/>
        </w:rPr>
        <w:t xml:space="preserve">负责人/投标授权代表签名：     </w:t>
      </w:r>
    </w:p>
    <w:p>
      <w:pPr>
        <w:pStyle w:val="NormalWeb"/>
        <w:wordWrap w:val="0"/>
        <w:autoSpaceDE w:val="0"/>
        <w:autoSpaceDN w:val="0"/>
        <w:spacing w:line="400" w:lineRule="exact"/>
        <w:ind w:firstLine="420" w:firstLineChars="200"/>
        <w:jc w:val="right"/>
        <w:rPr>
          <w:rFonts w:ascii="宋体" w:hAnsi="宋体"/>
          <w:spacing w:val="-4"/>
          <w:kern w:val="0"/>
          <w:sz w:val="21"/>
          <w:szCs w:val="21"/>
        </w:rPr>
      </w:pPr>
      <w:r>
        <w:rPr>
          <w:rFonts w:ascii="宋体" w:hAnsi="宋体" w:hint="eastAsia"/>
          <w:spacing w:val="-4"/>
          <w:kern w:val="0"/>
          <w:sz w:val="21"/>
          <w:szCs w:val="21"/>
        </w:rPr>
        <w:t xml:space="preserve">知悉人（公章）：     </w:t>
      </w:r>
    </w:p>
    <w:p>
      <w:pPr>
        <w:pStyle w:val="NormalWeb"/>
        <w:wordWrap w:val="0"/>
        <w:autoSpaceDE w:val="0"/>
        <w:autoSpaceDN w:val="0"/>
        <w:spacing w:line="400" w:lineRule="exact"/>
        <w:ind w:firstLine="420" w:firstLineChars="200"/>
        <w:jc w:val="right"/>
      </w:pPr>
      <w:r>
        <w:rPr>
          <w:rFonts w:ascii="宋体" w:hAnsi="宋体" w:hint="eastAsia"/>
          <w:spacing w:val="-4"/>
          <w:kern w:val="0"/>
          <w:sz w:val="21"/>
          <w:szCs w:val="21"/>
        </w:rPr>
        <w:t xml:space="preserve">日期：     </w:t>
      </w:r>
    </w:p>
    <w:p>
      <w:pPr>
        <w:pStyle w:val="BodyText"/>
      </w:pPr>
    </w:p>
    <w:p>
      <w:pPr>
        <w:rPr>
          <w:rFonts w:ascii="黑体" w:eastAsia="黑体" w:hAnsi="宋体"/>
          <w:sz w:val="24"/>
          <w:szCs w:val="20"/>
        </w:rPr>
      </w:pPr>
      <w:r>
        <w:rPr>
          <w:rFonts w:ascii="黑体" w:eastAsia="黑体" w:hAnsi="宋体" w:hint="eastAsia"/>
          <w:sz w:val="24"/>
          <w:szCs w:val="20"/>
        </w:rPr>
        <w:t>（2）投标人认为需要加以说明的其他内容</w:t>
      </w:r>
    </w:p>
    <w:p>
      <w:pPr>
        <w:pStyle w:val="BodyText"/>
      </w:pPr>
    </w:p>
    <w:p>
      <w:pPr>
        <w:pStyle w:val="BodyText2"/>
      </w:pPr>
    </w:p>
    <w:p>
      <w:pPr>
        <w:widowControl/>
        <w:jc w:val="left"/>
        <w:rPr>
          <w:rFonts w:ascii="宋体" w:hAnsi="宋体"/>
          <w:b/>
          <w:bCs/>
          <w:kern w:val="0"/>
          <w:sz w:val="24"/>
          <w:szCs w:val="20"/>
        </w:rPr>
      </w:pPr>
      <w:r>
        <w:br w:type="page"/>
      </w:r>
    </w:p>
    <w:p>
      <w:pPr>
        <w:pStyle w:val="Heading2"/>
      </w:pPr>
      <w:r>
        <w:rPr>
          <w:rFonts w:hint="eastAsia"/>
        </w:rPr>
        <w:t>第五章  合同条款及格式</w:t>
      </w:r>
    </w:p>
    <w:p>
      <w:pPr>
        <w:ind w:firstLine="412" w:firstLineChars="196"/>
      </w:pPr>
    </w:p>
    <w:p>
      <w:pPr>
        <w:jc w:val="center"/>
        <w:outlineLvl w:val="0"/>
      </w:pPr>
      <w:r>
        <w:rPr>
          <w:rFonts w:hint="eastAsia"/>
          <w:b/>
          <w:sz w:val="24"/>
        </w:rPr>
        <w:t>（仅供参考，具体以项目需求及采购结果为准）</w:t>
      </w:r>
    </w:p>
    <w:p>
      <w:pPr>
        <w:rPr>
          <w:rFonts w:ascii="宋体" w:hAnsi="宋体"/>
          <w:b/>
          <w:bCs/>
          <w:szCs w:val="21"/>
        </w:rPr>
      </w:pPr>
      <w:r>
        <w:rPr>
          <w:rFonts w:ascii="宋体" w:hAnsi="宋体" w:hint="eastAsia"/>
          <w:b/>
          <w:bCs/>
          <w:szCs w:val="21"/>
        </w:rPr>
        <w:t>甲方：</w:t>
      </w:r>
    </w:p>
    <w:p>
      <w:pPr>
        <w:rPr>
          <w:rFonts w:ascii="宋体" w:hAnsi="宋体"/>
          <w:szCs w:val="21"/>
        </w:rPr>
      </w:pPr>
      <w:r>
        <w:rPr>
          <w:rFonts w:ascii="宋体" w:hAnsi="宋体" w:hint="eastAsia"/>
          <w:szCs w:val="21"/>
        </w:rPr>
        <w:t>地址：</w:t>
      </w:r>
    </w:p>
    <w:p>
      <w:pPr>
        <w:rPr>
          <w:rFonts w:ascii="宋体" w:hAnsi="宋体"/>
          <w:szCs w:val="21"/>
        </w:rPr>
      </w:pPr>
      <w:r>
        <w:rPr>
          <w:rFonts w:ascii="宋体" w:hAnsi="宋体" w:hint="eastAsia"/>
          <w:szCs w:val="21"/>
        </w:rPr>
        <w:t>联系人：</w:t>
      </w:r>
      <w:r>
        <w:rPr>
          <w:rFonts w:ascii="宋体" w:hAnsi="宋体"/>
          <w:szCs w:val="21"/>
        </w:rPr>
        <w:t xml:space="preserve">                          </w:t>
      </w:r>
    </w:p>
    <w:p>
      <w:pPr>
        <w:rPr>
          <w:rFonts w:ascii="宋体" w:hAnsi="宋体"/>
          <w:b/>
          <w:bCs/>
          <w:szCs w:val="21"/>
        </w:rPr>
      </w:pPr>
      <w:r>
        <w:rPr>
          <w:rFonts w:ascii="宋体" w:hAnsi="宋体" w:hint="eastAsia"/>
          <w:szCs w:val="21"/>
        </w:rPr>
        <w:t>联系电话：</w:t>
      </w:r>
    </w:p>
    <w:p>
      <w:pPr>
        <w:rPr>
          <w:rFonts w:ascii="宋体" w:hAnsi="宋体"/>
          <w:b/>
          <w:bCs/>
          <w:szCs w:val="21"/>
        </w:rPr>
      </w:pPr>
      <w:r>
        <w:rPr>
          <w:rFonts w:ascii="宋体" w:hAnsi="宋体"/>
          <w:b/>
          <w:bCs/>
          <w:szCs w:val="21"/>
        </w:rPr>
        <w:t xml:space="preserve"> </w:t>
      </w:r>
      <w:r>
        <w:rPr>
          <w:rFonts w:ascii="宋体" w:hAnsi="宋体" w:hint="eastAsia"/>
          <w:b/>
          <w:bCs/>
          <w:szCs w:val="21"/>
        </w:rPr>
        <w:t xml:space="preserve"> </w:t>
      </w:r>
      <w:r>
        <w:rPr>
          <w:rFonts w:ascii="宋体" w:hAnsi="宋体"/>
          <w:b/>
          <w:bCs/>
          <w:szCs w:val="21"/>
        </w:rPr>
        <w:t xml:space="preserve"> </w:t>
      </w:r>
    </w:p>
    <w:p>
      <w:pPr>
        <w:rPr>
          <w:rFonts w:ascii="宋体" w:hAnsi="宋体"/>
          <w:b/>
          <w:bCs/>
          <w:szCs w:val="21"/>
        </w:rPr>
      </w:pPr>
      <w:r>
        <w:rPr>
          <w:rFonts w:ascii="宋体" w:hAnsi="宋体" w:hint="eastAsia"/>
          <w:b/>
          <w:bCs/>
          <w:szCs w:val="21"/>
        </w:rPr>
        <w:t>乙方：</w:t>
      </w:r>
    </w:p>
    <w:p>
      <w:pPr>
        <w:rPr>
          <w:rFonts w:ascii="宋体" w:hAnsi="宋体"/>
          <w:szCs w:val="21"/>
        </w:rPr>
      </w:pPr>
      <w:r>
        <w:rPr>
          <w:rFonts w:ascii="宋体" w:hAnsi="宋体" w:hint="eastAsia"/>
          <w:szCs w:val="21"/>
        </w:rPr>
        <w:t>地址：</w:t>
      </w:r>
    </w:p>
    <w:p>
      <w:pPr>
        <w:rPr>
          <w:rFonts w:ascii="宋体" w:hAnsi="宋体"/>
          <w:szCs w:val="21"/>
        </w:rPr>
      </w:pPr>
      <w:r>
        <w:rPr>
          <w:rFonts w:ascii="宋体" w:hAnsi="宋体" w:hint="eastAsia"/>
          <w:szCs w:val="21"/>
        </w:rPr>
        <w:t>联系人：</w:t>
      </w:r>
      <w:r>
        <w:rPr>
          <w:rFonts w:ascii="宋体" w:hAnsi="宋体"/>
          <w:szCs w:val="21"/>
        </w:rPr>
        <w:t xml:space="preserve">                          </w:t>
      </w:r>
    </w:p>
    <w:p>
      <w:pPr>
        <w:rPr>
          <w:rFonts w:ascii="宋体" w:hAnsi="宋体"/>
          <w:b/>
          <w:bCs/>
          <w:szCs w:val="21"/>
        </w:rPr>
      </w:pPr>
      <w:r>
        <w:rPr>
          <w:rFonts w:ascii="宋体" w:hAnsi="宋体" w:hint="eastAsia"/>
          <w:szCs w:val="21"/>
        </w:rPr>
        <w:t>联系电话：</w:t>
      </w:r>
    </w:p>
    <w:p>
      <w:pPr>
        <w:rPr>
          <w:rFonts w:ascii="宋体" w:hAnsi="宋体"/>
          <w:szCs w:val="21"/>
        </w:rPr>
      </w:pPr>
      <w:r>
        <w:rPr>
          <w:rFonts w:ascii="宋体" w:hAnsi="宋体"/>
          <w:b/>
          <w:bCs/>
          <w:szCs w:val="21"/>
        </w:rPr>
        <w:t xml:space="preserve">            </w:t>
      </w:r>
      <w:r>
        <w:rPr>
          <w:rFonts w:ascii="宋体" w:hAnsi="宋体" w:hint="eastAsia"/>
          <w:b/>
          <w:bCs/>
          <w:szCs w:val="21"/>
        </w:rPr>
        <w:t xml:space="preserve">          </w:t>
      </w:r>
    </w:p>
    <w:p>
      <w:pPr>
        <w:rPr>
          <w:rFonts w:ascii="宋体" w:hAnsi="宋体"/>
          <w:szCs w:val="21"/>
        </w:rPr>
      </w:pPr>
    </w:p>
    <w:p>
      <w:pPr>
        <w:ind w:firstLine="420" w:firstLineChars="200"/>
        <w:rPr>
          <w:rFonts w:ascii="宋体" w:hAnsi="宋体"/>
          <w:szCs w:val="21"/>
        </w:rPr>
      </w:pPr>
      <w:r>
        <w:rPr>
          <w:rFonts w:ascii="宋体" w:hAnsi="宋体" w:hint="eastAsia"/>
          <w:szCs w:val="21"/>
        </w:rPr>
        <w:t>根据深圳公共资源交易中心（深圳交易集团有限公司政府采购业务分公司）*</w:t>
      </w:r>
      <w:r>
        <w:rPr>
          <w:rFonts w:ascii="宋体" w:hAnsi="宋体"/>
          <w:szCs w:val="21"/>
        </w:rPr>
        <w:t>**</w:t>
      </w:r>
      <w:r>
        <w:rPr>
          <w:rFonts w:ascii="宋体" w:hAnsi="宋体" w:hint="eastAsia"/>
          <w:szCs w:val="21"/>
        </w:rPr>
        <w:t>号项目结果，*</w:t>
      </w:r>
      <w:r>
        <w:rPr>
          <w:rFonts w:ascii="宋体" w:hAnsi="宋体"/>
          <w:szCs w:val="21"/>
        </w:rPr>
        <w:t>**</w:t>
      </w:r>
      <w:r>
        <w:rPr>
          <w:rFonts w:ascii="宋体" w:hAnsi="宋体" w:hint="eastAsia"/>
          <w:szCs w:val="21"/>
        </w:rPr>
        <w:t>单位为中标人。按照《中华人民共和国民法典》（第三编 合同）》和《深圳经济特区政府采购条例》，经深圳市（以下简称甲方）和单位（以下简称乙方）协商，就甲方委托乙方承担</w:t>
      </w:r>
      <w:r>
        <w:rPr>
          <w:rFonts w:ascii="宋体" w:hAnsi="宋体" w:hint="eastAsia"/>
          <w:b/>
          <w:bCs/>
          <w:snapToGrid w:val="0"/>
          <w:kern w:val="0"/>
          <w:szCs w:val="21"/>
          <w:u w:val="single"/>
          <w:lang w:val="zh-CN"/>
        </w:rPr>
        <w:t xml:space="preserve">                      服务项目</w:t>
      </w:r>
      <w:r>
        <w:rPr>
          <w:rFonts w:ascii="宋体" w:hAnsi="宋体" w:hint="eastAsia"/>
          <w:szCs w:val="21"/>
        </w:rPr>
        <w:t>，达成以下合同条款：</w:t>
      </w:r>
    </w:p>
    <w:p>
      <w:pPr>
        <w:ind w:firstLine="420" w:firstLineChars="200"/>
        <w:rPr>
          <w:rFonts w:ascii="宋体" w:hAnsi="宋体"/>
          <w:b/>
          <w:bCs/>
          <w:szCs w:val="21"/>
        </w:rPr>
      </w:pPr>
      <w:r>
        <w:rPr>
          <w:rFonts w:ascii="宋体" w:hAnsi="宋体" w:hint="eastAsia"/>
          <w:b/>
          <w:bCs/>
          <w:szCs w:val="21"/>
        </w:rPr>
        <w:t>第一条　项目概况</w:t>
      </w:r>
    </w:p>
    <w:p>
      <w:pPr>
        <w:ind w:firstLine="420" w:firstLineChars="200"/>
        <w:rPr>
          <w:rFonts w:ascii="宋体" w:hAnsi="宋体"/>
          <w:szCs w:val="21"/>
        </w:rPr>
      </w:pPr>
      <w:r>
        <w:rPr>
          <w:rFonts w:ascii="宋体" w:hAnsi="宋体" w:hint="eastAsia"/>
          <w:szCs w:val="21"/>
        </w:rPr>
        <w:t xml:space="preserve">项目名称： </w:t>
      </w:r>
    </w:p>
    <w:p>
      <w:pPr>
        <w:ind w:firstLine="420" w:firstLineChars="200"/>
        <w:rPr>
          <w:rFonts w:ascii="宋体" w:hAnsi="宋体"/>
          <w:szCs w:val="21"/>
        </w:rPr>
      </w:pPr>
      <w:r>
        <w:rPr>
          <w:rFonts w:ascii="宋体" w:hAnsi="宋体" w:hint="eastAsia"/>
          <w:szCs w:val="21"/>
        </w:rPr>
        <w:t xml:space="preserve">项目内容： </w:t>
      </w:r>
    </w:p>
    <w:p>
      <w:pPr>
        <w:ind w:firstLine="420" w:firstLineChars="200"/>
        <w:rPr>
          <w:rFonts w:ascii="宋体" w:hAnsi="宋体"/>
          <w:szCs w:val="21"/>
        </w:rPr>
      </w:pPr>
      <w:r>
        <w:rPr>
          <w:rFonts w:ascii="宋体" w:hAnsi="宋体" w:hint="eastAsia"/>
          <w:szCs w:val="21"/>
        </w:rPr>
        <w:t xml:space="preserve">服务时间： </w:t>
      </w:r>
    </w:p>
    <w:p>
      <w:pPr>
        <w:ind w:firstLine="420" w:firstLineChars="200"/>
        <w:rPr>
          <w:rFonts w:ascii="宋体" w:hAnsi="宋体"/>
          <w:szCs w:val="21"/>
        </w:rPr>
      </w:pPr>
      <w:r>
        <w:rPr>
          <w:rFonts w:ascii="宋体" w:hAnsi="宋体" w:hint="eastAsia"/>
          <w:szCs w:val="21"/>
        </w:rPr>
        <w:t>合同价款：合同总价为元，含一切税、费。</w:t>
      </w:r>
      <w:r>
        <w:t>本合同总价包括</w:t>
      </w:r>
      <w:r>
        <w:rPr>
          <w:rFonts w:ascii="宋体" w:hAnsi="宋体" w:hint="eastAsia"/>
          <w:szCs w:val="21"/>
        </w:rPr>
        <w:t>乙方为实施本项目*</w:t>
      </w:r>
      <w:r>
        <w:rPr>
          <w:rFonts w:ascii="宋体" w:hAnsi="宋体"/>
          <w:szCs w:val="21"/>
        </w:rPr>
        <w:t>**</w:t>
      </w:r>
      <w:r>
        <w:rPr>
          <w:rFonts w:ascii="宋体" w:hAnsi="宋体" w:hint="eastAsia"/>
          <w:szCs w:val="21"/>
        </w:rPr>
        <w:t>所需的设备仪器费、车辆租赁费、</w:t>
      </w:r>
      <w:r>
        <w:t>服务</w:t>
      </w:r>
      <w:r>
        <w:rPr>
          <w:rFonts w:hint="eastAsia"/>
        </w:rPr>
        <w:t>和</w:t>
      </w:r>
      <w:r>
        <w:t>技术费用</w:t>
      </w:r>
      <w:r>
        <w:rPr>
          <w:rFonts w:hint="eastAsia"/>
        </w:rPr>
        <w:t>等</w:t>
      </w:r>
      <w:r>
        <w:t>，为固定不变价格，且不随通货膨胀的影响而波动。合同总价包括</w:t>
      </w:r>
      <w:r>
        <w:rPr>
          <w:rFonts w:ascii="宋体" w:hAnsi="宋体" w:hint="eastAsia"/>
          <w:szCs w:val="21"/>
        </w:rPr>
        <w:t>乙方</w:t>
      </w:r>
      <w:r>
        <w:t>履行本合同义务所发生的一切费用和支出和以各种方式寄送技术资料到</w:t>
      </w:r>
      <w:r>
        <w:rPr>
          <w:rFonts w:hint="eastAsia"/>
        </w:rPr>
        <w:t>甲</w:t>
      </w:r>
      <w:r>
        <w:t>方办公室所发生的费用。</w:t>
      </w:r>
    </w:p>
    <w:p>
      <w:pPr>
        <w:pStyle w:val="NormalIndent"/>
        <w:rPr>
          <w:rFonts w:ascii="宋体" w:hAnsi="宋体"/>
          <w:szCs w:val="21"/>
        </w:rPr>
      </w:pPr>
      <w:r>
        <w:rPr>
          <w:rFonts w:ascii="宋体" w:hAnsi="宋体" w:hint="eastAsia"/>
          <w:szCs w:val="21"/>
        </w:rPr>
        <w:t>支付方式：分期支付。</w:t>
      </w:r>
    </w:p>
    <w:p>
      <w:pPr>
        <w:ind w:firstLine="420" w:firstLineChars="200"/>
        <w:rPr>
          <w:rFonts w:ascii="宋体" w:hAnsi="宋体"/>
          <w:b/>
          <w:bCs/>
          <w:szCs w:val="21"/>
        </w:rPr>
      </w:pPr>
      <w:r>
        <w:rPr>
          <w:rFonts w:ascii="宋体" w:hAnsi="宋体" w:hint="eastAsia"/>
          <w:b/>
          <w:bCs/>
          <w:szCs w:val="21"/>
        </w:rPr>
        <w:t>第二条  服务范围</w:t>
      </w:r>
    </w:p>
    <w:p>
      <w:pPr>
        <w:ind w:firstLine="420" w:firstLineChars="200"/>
        <w:rPr>
          <w:rFonts w:ascii="宋体" w:hAnsi="宋体"/>
          <w:szCs w:val="21"/>
        </w:rPr>
      </w:pPr>
      <w:r>
        <w:rPr>
          <w:rFonts w:ascii="宋体" w:hAnsi="宋体" w:hint="eastAsia"/>
          <w:szCs w:val="21"/>
        </w:rPr>
        <w:t xml:space="preserve">1、  </w:t>
      </w:r>
    </w:p>
    <w:p>
      <w:pPr>
        <w:ind w:firstLine="420" w:firstLineChars="200"/>
        <w:rPr>
          <w:rFonts w:ascii="宋体" w:hAnsi="宋体"/>
          <w:szCs w:val="21"/>
        </w:rPr>
      </w:pPr>
      <w:r>
        <w:rPr>
          <w:rFonts w:ascii="宋体" w:hAnsi="宋体" w:hint="eastAsia"/>
          <w:szCs w:val="21"/>
        </w:rPr>
        <w:t xml:space="preserve">2、  </w:t>
      </w:r>
    </w:p>
    <w:p>
      <w:pPr>
        <w:ind w:firstLine="420" w:firstLineChars="200"/>
        <w:rPr>
          <w:rFonts w:ascii="宋体" w:hAnsi="宋体"/>
          <w:szCs w:val="21"/>
        </w:rPr>
      </w:pPr>
      <w:r>
        <w:rPr>
          <w:rFonts w:ascii="宋体" w:hAnsi="宋体" w:hint="eastAsia"/>
          <w:szCs w:val="21"/>
        </w:rPr>
        <w:t xml:space="preserve">3、  </w:t>
      </w:r>
    </w:p>
    <w:p>
      <w:pPr>
        <w:ind w:firstLine="420" w:firstLineChars="200"/>
        <w:rPr>
          <w:rFonts w:ascii="宋体" w:hAnsi="宋体"/>
          <w:szCs w:val="21"/>
        </w:rPr>
      </w:pPr>
      <w:r>
        <w:rPr>
          <w:rFonts w:ascii="宋体" w:hAnsi="宋体" w:hint="eastAsia"/>
          <w:szCs w:val="21"/>
        </w:rPr>
        <w:t>4、 其他合同未明示的相关工作。</w:t>
      </w:r>
    </w:p>
    <w:p>
      <w:pPr>
        <w:ind w:firstLine="420" w:firstLineChars="200"/>
        <w:rPr>
          <w:rFonts w:ascii="宋体" w:hAnsi="宋体"/>
          <w:b/>
          <w:bCs/>
          <w:szCs w:val="21"/>
        </w:rPr>
      </w:pPr>
      <w:r>
        <w:rPr>
          <w:rFonts w:ascii="宋体" w:hAnsi="宋体" w:hint="eastAsia"/>
          <w:b/>
          <w:bCs/>
          <w:szCs w:val="21"/>
        </w:rPr>
        <w:t>第三条  时间要求及阶段成果</w:t>
      </w:r>
    </w:p>
    <w:p>
      <w:pPr>
        <w:ind w:firstLine="420" w:firstLineChars="200"/>
        <w:rPr>
          <w:rFonts w:ascii="宋体" w:hAnsi="宋体"/>
          <w:szCs w:val="21"/>
        </w:rPr>
      </w:pPr>
      <w:r>
        <w:rPr>
          <w:rFonts w:ascii="宋体" w:hAnsi="宋体" w:hint="eastAsia"/>
          <w:szCs w:val="21"/>
        </w:rPr>
        <w:t>1、合同签订天内完成项目实施的准备工作，包括工作大纲和试验细则的编制；</w:t>
      </w:r>
    </w:p>
    <w:p>
      <w:pPr>
        <w:ind w:firstLine="420" w:firstLineChars="200"/>
        <w:rPr>
          <w:rFonts w:ascii="宋体" w:hAnsi="宋体"/>
          <w:szCs w:val="21"/>
        </w:rPr>
      </w:pPr>
      <w:r>
        <w:rPr>
          <w:rFonts w:ascii="宋体" w:hAnsi="宋体" w:hint="eastAsia"/>
          <w:szCs w:val="21"/>
        </w:rPr>
        <w:t xml:space="preserve">2、 </w:t>
      </w:r>
    </w:p>
    <w:p>
      <w:pPr>
        <w:ind w:firstLine="420" w:firstLineChars="200"/>
        <w:rPr>
          <w:rFonts w:ascii="宋体" w:hAnsi="宋体"/>
          <w:szCs w:val="21"/>
        </w:rPr>
      </w:pPr>
      <w:r>
        <w:rPr>
          <w:rFonts w:ascii="宋体" w:hAnsi="宋体" w:hint="eastAsia"/>
          <w:szCs w:val="21"/>
        </w:rPr>
        <w:t>3、</w:t>
      </w:r>
    </w:p>
    <w:p>
      <w:pPr>
        <w:ind w:firstLine="420" w:firstLineChars="200"/>
        <w:rPr>
          <w:rFonts w:ascii="宋体" w:hAnsi="宋体"/>
          <w:szCs w:val="21"/>
        </w:rPr>
      </w:pPr>
      <w:r>
        <w:rPr>
          <w:rFonts w:ascii="宋体" w:hAnsi="宋体" w:hint="eastAsia"/>
          <w:szCs w:val="21"/>
        </w:rPr>
        <w:t>4、</w:t>
      </w:r>
    </w:p>
    <w:p>
      <w:pPr>
        <w:ind w:firstLine="420" w:firstLineChars="200"/>
        <w:rPr>
          <w:rFonts w:ascii="宋体" w:hAnsi="宋体"/>
          <w:b/>
          <w:bCs/>
          <w:szCs w:val="21"/>
        </w:rPr>
      </w:pPr>
      <w:r>
        <w:rPr>
          <w:rFonts w:ascii="宋体" w:hAnsi="宋体" w:hint="eastAsia"/>
          <w:b/>
          <w:bCs/>
          <w:szCs w:val="21"/>
        </w:rPr>
        <w:t>第四条  咨询服务资料归属</w:t>
      </w:r>
    </w:p>
    <w:p>
      <w:pPr>
        <w:ind w:firstLine="420" w:firstLineChars="200"/>
      </w:pPr>
      <w:r>
        <w:t>1</w:t>
      </w:r>
      <w:r>
        <w:rPr>
          <w:rFonts w:hint="eastAsia"/>
        </w:rPr>
        <w:t>、</w:t>
      </w:r>
      <w:r>
        <w:t>所有提交给</w:t>
      </w:r>
      <w:r>
        <w:rPr>
          <w:rFonts w:hint="eastAsia"/>
        </w:rPr>
        <w:t>甲</w:t>
      </w:r>
      <w:r>
        <w:t>方的咨询服务</w:t>
      </w:r>
      <w:r>
        <w:rPr>
          <w:rFonts w:hint="eastAsia"/>
        </w:rPr>
        <w:t>文件</w:t>
      </w:r>
      <w:r>
        <w:t>及相关的资料的最后文本，包括为履行技术咨询服务范围所编制的图纸、计划和证明资料等，都属于</w:t>
      </w:r>
      <w:r>
        <w:rPr>
          <w:rFonts w:hint="eastAsia"/>
        </w:rPr>
        <w:t>甲</w:t>
      </w:r>
      <w:r>
        <w:t>方的财产，</w:t>
      </w:r>
      <w:r>
        <w:rPr>
          <w:rFonts w:ascii="宋体" w:hAnsi="宋体" w:hint="eastAsia"/>
          <w:szCs w:val="21"/>
        </w:rPr>
        <w:t>乙</w:t>
      </w:r>
      <w:r>
        <w:t>方在提交给</w:t>
      </w:r>
      <w:r>
        <w:rPr>
          <w:rFonts w:hint="eastAsia"/>
        </w:rPr>
        <w:t>甲</w:t>
      </w:r>
      <w:r>
        <w:t>方之前应将上述资料进行整理归类和编制索引</w:t>
      </w:r>
      <w:r>
        <w:rPr>
          <w:rFonts w:hint="eastAsia"/>
        </w:rPr>
        <w:t>。</w:t>
      </w:r>
    </w:p>
    <w:p>
      <w:pPr>
        <w:ind w:firstLine="420" w:firstLineChars="200"/>
      </w:pPr>
      <w:r>
        <w:t>2</w:t>
      </w:r>
      <w:r>
        <w:rPr>
          <w:rFonts w:hint="eastAsia"/>
        </w:rPr>
        <w:t>、</w:t>
      </w:r>
      <w:r>
        <w:rPr>
          <w:rFonts w:ascii="宋体" w:hAnsi="宋体" w:hint="eastAsia"/>
          <w:szCs w:val="21"/>
        </w:rPr>
        <w:t>乙</w:t>
      </w:r>
      <w:r>
        <w:t>方未经</w:t>
      </w:r>
      <w:r>
        <w:rPr>
          <w:rFonts w:hint="eastAsia"/>
        </w:rPr>
        <w:t>甲</w:t>
      </w:r>
      <w:r>
        <w:t>方的书面同意，不得将上述资料用于与本咨询服务项目之外的任何项目</w:t>
      </w:r>
      <w:r>
        <w:rPr>
          <w:rFonts w:hint="eastAsia"/>
        </w:rPr>
        <w:t>。</w:t>
      </w:r>
    </w:p>
    <w:p>
      <w:pPr>
        <w:ind w:firstLine="420" w:firstLineChars="200"/>
      </w:pPr>
      <w:r>
        <w:rPr>
          <w:rFonts w:hint="eastAsia"/>
        </w:rPr>
        <w:t>3、</w:t>
      </w:r>
      <w:r>
        <w:t>合同履行</w:t>
      </w:r>
      <w:r>
        <w:rPr>
          <w:rFonts w:hint="eastAsia"/>
        </w:rPr>
        <w:t>完毕，</w:t>
      </w:r>
      <w:r>
        <w:t>未经</w:t>
      </w:r>
      <w:r>
        <w:rPr>
          <w:rFonts w:hint="eastAsia"/>
        </w:rPr>
        <w:t>甲</w:t>
      </w:r>
      <w:r>
        <w:t>方的书面同意</w:t>
      </w:r>
      <w:r>
        <w:rPr>
          <w:rFonts w:hint="eastAsia"/>
        </w:rPr>
        <w:t>，</w:t>
      </w:r>
      <w:r>
        <w:rPr>
          <w:rFonts w:ascii="宋体" w:hAnsi="宋体" w:hint="eastAsia"/>
          <w:szCs w:val="21"/>
        </w:rPr>
        <w:t>乙</w:t>
      </w:r>
      <w:r>
        <w:t>方</w:t>
      </w:r>
      <w:r>
        <w:rPr>
          <w:rFonts w:hint="eastAsia"/>
        </w:rPr>
        <w:t>不得保存在</w:t>
      </w:r>
      <w:r>
        <w:t>履行合同过程中所获得或接触到的任何</w:t>
      </w:r>
      <w:r>
        <w:rPr>
          <w:rFonts w:ascii="宋体" w:hAnsi="宋体" w:hint="eastAsia"/>
          <w:szCs w:val="21"/>
        </w:rPr>
        <w:t>内部数据资料。</w:t>
      </w:r>
    </w:p>
    <w:p>
      <w:pPr>
        <w:ind w:firstLine="420" w:firstLineChars="200"/>
        <w:rPr>
          <w:rFonts w:ascii="宋体" w:hAnsi="宋体"/>
          <w:b/>
          <w:bCs/>
          <w:szCs w:val="21"/>
        </w:rPr>
      </w:pPr>
      <w:r>
        <w:rPr>
          <w:rFonts w:ascii="宋体" w:hAnsi="宋体" w:hint="eastAsia"/>
          <w:b/>
          <w:bCs/>
          <w:szCs w:val="21"/>
        </w:rPr>
        <w:t>第五条  甲方的义务</w:t>
      </w:r>
    </w:p>
    <w:p>
      <w:pPr>
        <w:ind w:firstLine="420" w:firstLineChars="200"/>
        <w:rPr>
          <w:rFonts w:ascii="宋体" w:hAnsi="宋体"/>
          <w:szCs w:val="21"/>
        </w:rPr>
      </w:pPr>
      <w:r>
        <w:rPr>
          <w:rFonts w:ascii="宋体" w:hAnsi="宋体" w:hint="eastAsia"/>
          <w:szCs w:val="21"/>
        </w:rPr>
        <w:t>1、负责与本咨询服务项目有关的第三方的协调，提供开展咨询服务工作的外部条件。</w:t>
      </w:r>
    </w:p>
    <w:p>
      <w:pPr>
        <w:ind w:firstLine="420" w:firstLineChars="200"/>
        <w:rPr>
          <w:rFonts w:ascii="宋体" w:hAnsi="宋体"/>
          <w:szCs w:val="21"/>
        </w:rPr>
      </w:pPr>
      <w:r>
        <w:rPr>
          <w:rFonts w:ascii="宋体" w:hAnsi="宋体" w:hint="eastAsia"/>
          <w:szCs w:val="21"/>
        </w:rPr>
        <w:t>2、向乙方提供与本项目咨询服务工作有关的资料。</w:t>
      </w:r>
    </w:p>
    <w:p>
      <w:pPr>
        <w:ind w:firstLine="420" w:firstLineChars="200"/>
        <w:rPr>
          <w:rFonts w:ascii="宋体" w:hAnsi="宋体"/>
          <w:szCs w:val="21"/>
        </w:rPr>
      </w:pPr>
      <w:r>
        <w:rPr>
          <w:rFonts w:ascii="宋体" w:hAnsi="宋体" w:hint="eastAsia"/>
          <w:szCs w:val="21"/>
        </w:rPr>
        <w:t>3、负责组织有关专家对项目试验成果评估报告的评审。</w:t>
      </w:r>
    </w:p>
    <w:p>
      <w:pPr>
        <w:ind w:firstLine="420" w:firstLineChars="200"/>
        <w:rPr>
          <w:rFonts w:ascii="宋体" w:hAnsi="宋体"/>
          <w:b/>
          <w:bCs/>
          <w:szCs w:val="21"/>
        </w:rPr>
      </w:pPr>
      <w:r>
        <w:rPr>
          <w:rFonts w:ascii="宋体" w:hAnsi="宋体" w:hint="eastAsia"/>
          <w:b/>
          <w:bCs/>
          <w:szCs w:val="21"/>
        </w:rPr>
        <w:t>第七条　乙方的义务</w:t>
      </w:r>
    </w:p>
    <w:p>
      <w:pPr>
        <w:ind w:firstLine="420" w:firstLineChars="200"/>
        <w:rPr>
          <w:rFonts w:ascii="宋体" w:hAnsi="宋体"/>
          <w:szCs w:val="21"/>
        </w:rPr>
      </w:pPr>
      <w:r>
        <w:rPr>
          <w:rFonts w:ascii="宋体" w:hAnsi="宋体" w:hint="eastAsia"/>
          <w:szCs w:val="21"/>
        </w:rPr>
        <w:t>１、应按照招标文件、投标文件要求按期完成本项目咨询服务工作。</w:t>
      </w:r>
    </w:p>
    <w:p>
      <w:pPr>
        <w:ind w:firstLine="420" w:firstLineChars="200"/>
        <w:rPr>
          <w:rFonts w:ascii="宋体" w:hAnsi="宋体"/>
          <w:szCs w:val="21"/>
        </w:rPr>
      </w:pPr>
      <w:r>
        <w:rPr>
          <w:rFonts w:ascii="宋体" w:hAnsi="宋体" w:hint="eastAsia"/>
          <w:szCs w:val="21"/>
        </w:rPr>
        <w:t>2、负责组织项目的实施，保证工程进度和成桥荷载试验工作质量，并满足交通部交工验收相关标准。</w:t>
      </w:r>
    </w:p>
    <w:p>
      <w:pPr>
        <w:ind w:firstLine="420" w:firstLineChars="200"/>
        <w:rPr>
          <w:rFonts w:ascii="宋体" w:hAnsi="宋体"/>
          <w:szCs w:val="21"/>
        </w:rPr>
      </w:pPr>
      <w:r>
        <w:rPr>
          <w:rFonts w:ascii="宋体" w:hAnsi="宋体" w:hint="eastAsia"/>
          <w:szCs w:val="21"/>
        </w:rPr>
        <w:t>3、</w:t>
      </w:r>
      <w:r>
        <w:rPr>
          <w:rFonts w:ascii="宋体" w:hAnsi="宋体" w:hint="eastAsia"/>
        </w:rPr>
        <w:t>向甲方提交检测资料等各套，一套电子版文件。</w:t>
      </w:r>
    </w:p>
    <w:p>
      <w:pPr>
        <w:ind w:firstLine="420" w:firstLineChars="200"/>
        <w:rPr>
          <w:rFonts w:ascii="宋体" w:hAnsi="宋体"/>
          <w:szCs w:val="21"/>
        </w:rPr>
      </w:pPr>
      <w:r>
        <w:rPr>
          <w:rFonts w:ascii="宋体" w:hAnsi="宋体" w:hint="eastAsia"/>
          <w:szCs w:val="21"/>
        </w:rPr>
        <w:t>4、在履行合同期间或合同规定期限内，不得泄露与本合同规定业务活动有关的保密资料。</w:t>
      </w:r>
    </w:p>
    <w:p>
      <w:pPr>
        <w:ind w:firstLine="420" w:firstLineChars="200"/>
        <w:rPr>
          <w:rFonts w:ascii="宋体" w:hAnsi="宋体"/>
          <w:b/>
          <w:bCs/>
          <w:szCs w:val="21"/>
        </w:rPr>
      </w:pPr>
      <w:r>
        <w:rPr>
          <w:rFonts w:ascii="宋体" w:hAnsi="宋体" w:hint="eastAsia"/>
          <w:b/>
          <w:bCs/>
          <w:szCs w:val="21"/>
        </w:rPr>
        <w:t>第八条  甲方的权利</w:t>
      </w:r>
    </w:p>
    <w:p>
      <w:pPr>
        <w:ind w:firstLine="420" w:firstLineChars="200"/>
        <w:rPr>
          <w:rFonts w:ascii="宋体" w:hAnsi="宋体"/>
          <w:szCs w:val="21"/>
        </w:rPr>
      </w:pPr>
      <w:r>
        <w:rPr>
          <w:rFonts w:ascii="宋体" w:hAnsi="宋体"/>
          <w:szCs w:val="21"/>
        </w:rPr>
        <w:t>1</w:t>
      </w:r>
      <w:r>
        <w:rPr>
          <w:rFonts w:ascii="宋体" w:hAnsi="宋体" w:hint="eastAsia"/>
          <w:szCs w:val="21"/>
        </w:rPr>
        <w:t>、有权向乙方询问工作进展情况及相关的内容。</w:t>
      </w:r>
    </w:p>
    <w:p>
      <w:pPr>
        <w:ind w:firstLine="420" w:firstLineChars="200"/>
        <w:rPr>
          <w:rFonts w:ascii="宋体" w:hAnsi="宋体"/>
          <w:szCs w:val="21"/>
        </w:rPr>
      </w:pPr>
      <w:r>
        <w:rPr>
          <w:rFonts w:ascii="宋体" w:hAnsi="宋体"/>
          <w:szCs w:val="21"/>
        </w:rPr>
        <w:t>2</w:t>
      </w:r>
      <w:r>
        <w:rPr>
          <w:rFonts w:ascii="宋体" w:hAnsi="宋体" w:hint="eastAsia"/>
          <w:szCs w:val="21"/>
        </w:rPr>
        <w:t>、有权阐述对具体问题的意见和建议。</w:t>
      </w:r>
    </w:p>
    <w:p>
      <w:pPr>
        <w:ind w:firstLine="420" w:firstLineChars="200"/>
        <w:rPr>
          <w:rFonts w:ascii="宋体" w:hAnsi="宋体"/>
          <w:szCs w:val="21"/>
        </w:rPr>
      </w:pPr>
      <w:r>
        <w:rPr>
          <w:rFonts w:ascii="宋体" w:hAnsi="宋体"/>
          <w:szCs w:val="21"/>
        </w:rPr>
        <w:t>3</w:t>
      </w:r>
      <w:r>
        <w:rPr>
          <w:rFonts w:ascii="宋体" w:hAnsi="宋体" w:hint="eastAsia"/>
          <w:szCs w:val="21"/>
        </w:rPr>
        <w:t>、当甲方认定乙方人员不按合同履行其职责，或与第三人串通给甲方造成经济损失的，甲方有权要求更换人员，直至终止合同并要求乙方承担相应的赔偿责任。</w:t>
      </w:r>
    </w:p>
    <w:p>
      <w:pPr>
        <w:ind w:firstLine="420" w:firstLineChars="200"/>
        <w:rPr>
          <w:rFonts w:ascii="宋体" w:hAnsi="宋体"/>
          <w:b/>
          <w:bCs/>
          <w:szCs w:val="21"/>
        </w:rPr>
      </w:pPr>
      <w:r>
        <w:rPr>
          <w:rFonts w:ascii="宋体" w:hAnsi="宋体" w:hint="eastAsia"/>
          <w:b/>
          <w:bCs/>
          <w:szCs w:val="21"/>
        </w:rPr>
        <w:t>第九条  乙方的权利</w:t>
      </w:r>
    </w:p>
    <w:p>
      <w:pPr>
        <w:ind w:firstLine="420" w:firstLineChars="200"/>
        <w:rPr>
          <w:rFonts w:ascii="宋体" w:hAnsi="宋体"/>
          <w:szCs w:val="21"/>
        </w:rPr>
      </w:pPr>
      <w:r>
        <w:rPr>
          <w:rFonts w:ascii="宋体" w:hAnsi="宋体"/>
          <w:szCs w:val="21"/>
        </w:rPr>
        <w:t>1</w:t>
      </w:r>
      <w:r>
        <w:rPr>
          <w:rFonts w:ascii="宋体" w:hAnsi="宋体" w:hint="eastAsia"/>
          <w:szCs w:val="21"/>
        </w:rPr>
        <w:t>、乙方在本项目服务过程中，如甲方提供的资料不明确时可向甲方提出书面报告。</w:t>
      </w:r>
    </w:p>
    <w:p>
      <w:pPr>
        <w:ind w:firstLine="420" w:firstLineChars="200"/>
        <w:rPr>
          <w:rFonts w:ascii="宋体" w:hAnsi="宋体"/>
          <w:szCs w:val="21"/>
        </w:rPr>
      </w:pPr>
      <w:r>
        <w:rPr>
          <w:rFonts w:ascii="宋体" w:hAnsi="宋体"/>
          <w:szCs w:val="21"/>
        </w:rPr>
        <w:t>2</w:t>
      </w:r>
      <w:r>
        <w:rPr>
          <w:rFonts w:ascii="宋体" w:hAnsi="宋体" w:hint="eastAsia"/>
          <w:szCs w:val="21"/>
        </w:rPr>
        <w:t>、乙方在本项目服务过程中，有权对第三方提出与本咨询服务业务有关的问题进行核对或查问。</w:t>
      </w:r>
    </w:p>
    <w:p>
      <w:pPr>
        <w:ind w:firstLine="420" w:firstLineChars="200"/>
        <w:rPr>
          <w:rFonts w:ascii="宋体" w:hAnsi="宋体"/>
          <w:szCs w:val="21"/>
        </w:rPr>
      </w:pPr>
      <w:r>
        <w:rPr>
          <w:rFonts w:ascii="宋体" w:hAnsi="宋体"/>
          <w:szCs w:val="21"/>
        </w:rPr>
        <w:t>3</w:t>
      </w:r>
      <w:r>
        <w:rPr>
          <w:rFonts w:ascii="宋体" w:hAnsi="宋体" w:hint="eastAsia"/>
          <w:szCs w:val="21"/>
        </w:rPr>
        <w:t>、乙方在本项目服务过程中，有到工程现场勘察的权利。</w:t>
      </w:r>
    </w:p>
    <w:p>
      <w:pPr>
        <w:ind w:firstLine="420" w:firstLineChars="200"/>
        <w:rPr>
          <w:rFonts w:ascii="宋体" w:hAnsi="宋体"/>
          <w:b/>
          <w:bCs/>
          <w:szCs w:val="21"/>
        </w:rPr>
      </w:pPr>
      <w:r>
        <w:rPr>
          <w:rFonts w:ascii="宋体" w:hAnsi="宋体" w:hint="eastAsia"/>
          <w:b/>
          <w:bCs/>
          <w:szCs w:val="21"/>
        </w:rPr>
        <w:t>第十条  甲方的责任</w:t>
      </w:r>
    </w:p>
    <w:p>
      <w:pPr>
        <w:ind w:firstLine="420" w:firstLineChars="200"/>
        <w:rPr>
          <w:rFonts w:ascii="宋体" w:hAnsi="宋体"/>
          <w:szCs w:val="21"/>
        </w:rPr>
      </w:pPr>
      <w:r>
        <w:rPr>
          <w:rFonts w:ascii="宋体" w:hAnsi="宋体" w:hint="eastAsia"/>
          <w:szCs w:val="21"/>
        </w:rPr>
        <w:t>1、应当履行本合同约定的义务，如有违反则应当承担违约责任，赔偿给乙方造成的损失。</w:t>
      </w:r>
    </w:p>
    <w:p>
      <w:pPr>
        <w:ind w:firstLine="420" w:firstLineChars="200"/>
        <w:rPr>
          <w:rFonts w:ascii="宋体" w:hAnsi="宋体"/>
          <w:szCs w:val="21"/>
        </w:rPr>
      </w:pPr>
      <w:r>
        <w:rPr>
          <w:rFonts w:ascii="宋体" w:hAnsi="宋体" w:hint="eastAsia"/>
          <w:szCs w:val="21"/>
        </w:rPr>
        <w:t>2、甲方向乙方提出赔偿要求不能成立时，则应补偿由于该赔偿或其他要求所导致乙方的各种费用的支出。</w:t>
      </w:r>
    </w:p>
    <w:p>
      <w:pPr>
        <w:ind w:firstLine="420" w:firstLineChars="200"/>
        <w:rPr>
          <w:rFonts w:ascii="宋体" w:hAnsi="宋体"/>
          <w:b/>
          <w:bCs/>
          <w:szCs w:val="21"/>
        </w:rPr>
      </w:pPr>
      <w:r>
        <w:rPr>
          <w:rFonts w:ascii="宋体" w:hAnsi="宋体" w:hint="eastAsia"/>
          <w:b/>
          <w:bCs/>
          <w:szCs w:val="21"/>
        </w:rPr>
        <w:t>第十一条  乙方的责任</w:t>
      </w:r>
    </w:p>
    <w:p>
      <w:pPr>
        <w:ind w:firstLine="420" w:firstLineChars="200"/>
        <w:rPr>
          <w:rFonts w:ascii="宋体" w:hAnsi="宋体"/>
          <w:szCs w:val="21"/>
        </w:rPr>
      </w:pPr>
      <w:r>
        <w:rPr>
          <w:rFonts w:ascii="宋体" w:hAnsi="宋体" w:hint="eastAsia"/>
          <w:szCs w:val="21"/>
        </w:rPr>
        <w:t>1、乙方的责任期即本合同有效期。如因非乙方的责任造成进度的推迟或延误而超过约定的日期，双方应进一步约定相应延长合同有效期。</w:t>
      </w:r>
    </w:p>
    <w:p>
      <w:pPr>
        <w:ind w:firstLine="420" w:firstLineChars="200"/>
        <w:rPr>
          <w:rFonts w:ascii="宋体" w:hAnsi="宋体"/>
          <w:szCs w:val="21"/>
        </w:rPr>
      </w:pPr>
      <w:r>
        <w:rPr>
          <w:rFonts w:ascii="宋体" w:hAnsi="宋体" w:hint="eastAsia"/>
          <w:szCs w:val="21"/>
        </w:rPr>
        <w:t>2、乙方的责任期内，应当履行本合同中约定的义务，因乙方的单方过失造成的经济损失，应当向甲方进行赔偿。</w:t>
      </w:r>
    </w:p>
    <w:p>
      <w:pPr>
        <w:ind w:firstLine="420" w:firstLineChars="200"/>
        <w:rPr>
          <w:rFonts w:ascii="宋体" w:hAnsi="宋体"/>
          <w:szCs w:val="21"/>
        </w:rPr>
      </w:pPr>
      <w:r>
        <w:rPr>
          <w:rFonts w:ascii="宋体" w:hAnsi="宋体" w:hint="eastAsia"/>
          <w:szCs w:val="21"/>
        </w:rPr>
        <w:t>3、乙方对甲方或第三方所提出的问题不能及时核对或答复，导致合同不能全部或部分履行，乙方应承担责任。</w:t>
      </w:r>
    </w:p>
    <w:p>
      <w:pPr>
        <w:ind w:firstLine="420" w:firstLineChars="200"/>
        <w:rPr>
          <w:rFonts w:ascii="宋体" w:hAnsi="宋体"/>
          <w:szCs w:val="21"/>
        </w:rPr>
      </w:pPr>
      <w:r>
        <w:rPr>
          <w:rFonts w:ascii="宋体" w:hAnsi="宋体" w:hint="eastAsia"/>
          <w:szCs w:val="21"/>
        </w:rPr>
        <w:t>4、乙方向甲方提出赔偿要求不能成立时，则应补偿由于该赔偿或其他要求所导致甲方的各种费用的支出。</w:t>
      </w:r>
    </w:p>
    <w:p>
      <w:pPr>
        <w:ind w:firstLine="420" w:firstLineChars="200"/>
        <w:rPr>
          <w:rFonts w:ascii="宋体" w:hAnsi="宋体"/>
          <w:b/>
          <w:bCs/>
          <w:szCs w:val="21"/>
        </w:rPr>
      </w:pPr>
      <w:r>
        <w:rPr>
          <w:rFonts w:ascii="宋体" w:hAnsi="宋体" w:hint="eastAsia"/>
          <w:b/>
          <w:bCs/>
          <w:szCs w:val="21"/>
        </w:rPr>
        <w:t>第十二条  人员要求</w:t>
      </w:r>
    </w:p>
    <w:p>
      <w:pPr>
        <w:ind w:firstLine="420" w:firstLineChars="200"/>
        <w:rPr>
          <w:rFonts w:ascii="宋体" w:hAnsi="宋体"/>
          <w:szCs w:val="21"/>
        </w:rPr>
      </w:pPr>
      <w:r>
        <w:rPr>
          <w:rFonts w:ascii="宋体" w:hAnsi="宋体" w:hint="eastAsia"/>
          <w:szCs w:val="21"/>
        </w:rPr>
        <w:t>1、参加本项目试验的人员必须具有国家和有关部门规定的相应资质。</w:t>
      </w:r>
    </w:p>
    <w:p>
      <w:pPr>
        <w:ind w:firstLine="420" w:firstLineChars="200"/>
        <w:rPr>
          <w:rFonts w:ascii="宋体" w:hAnsi="宋体"/>
          <w:szCs w:val="21"/>
        </w:rPr>
      </w:pPr>
      <w:r>
        <w:rPr>
          <w:rFonts w:ascii="宋体" w:hAnsi="宋体" w:hint="eastAsia"/>
          <w:szCs w:val="21"/>
        </w:rPr>
        <w:t>2、 参加本项目的试验人员的配置必须与投标文件中的服务承诺书和试验服务组织实施方案一致。</w:t>
      </w:r>
    </w:p>
    <w:p>
      <w:pPr>
        <w:ind w:firstLine="420" w:firstLineChars="200"/>
        <w:rPr>
          <w:rFonts w:ascii="宋体" w:hAnsi="宋体"/>
          <w:szCs w:val="21"/>
        </w:rPr>
      </w:pPr>
      <w:r>
        <w:rPr>
          <w:rFonts w:ascii="宋体" w:hAnsi="宋体" w:hint="eastAsia"/>
          <w:szCs w:val="21"/>
        </w:rPr>
        <w:t>3、必须以直属试验人员参与本项目服务，不得使用挂靠队伍。</w:t>
      </w:r>
    </w:p>
    <w:p>
      <w:pPr>
        <w:ind w:firstLine="420" w:firstLineChars="200"/>
        <w:rPr>
          <w:rFonts w:ascii="宋体" w:hAnsi="宋体"/>
          <w:b/>
          <w:bCs/>
          <w:szCs w:val="21"/>
        </w:rPr>
      </w:pPr>
      <w:r>
        <w:rPr>
          <w:rFonts w:ascii="宋体" w:hAnsi="宋体" w:hint="eastAsia"/>
          <w:b/>
          <w:bCs/>
          <w:szCs w:val="21"/>
        </w:rPr>
        <w:t>第十三条  乙方咨询服务工具要求</w:t>
      </w:r>
    </w:p>
    <w:p>
      <w:pPr>
        <w:ind w:firstLine="420" w:firstLineChars="200"/>
        <w:rPr>
          <w:rFonts w:ascii="宋体" w:hAnsi="宋体"/>
          <w:szCs w:val="21"/>
        </w:rPr>
      </w:pPr>
      <w:r>
        <w:rPr>
          <w:rFonts w:ascii="宋体" w:hAnsi="宋体" w:hint="eastAsia"/>
          <w:szCs w:val="21"/>
        </w:rPr>
        <w:t>1、乙方应配备中标项目所需的足够数量的仪器、仪表以及工具等设备。用户不需向乙方提供施工工具和仪器、仪表。</w:t>
      </w:r>
    </w:p>
    <w:p>
      <w:pPr>
        <w:ind w:firstLine="420" w:firstLineChars="200"/>
        <w:rPr>
          <w:rFonts w:ascii="宋体" w:hAnsi="宋体"/>
          <w:szCs w:val="21"/>
        </w:rPr>
      </w:pPr>
      <w:r>
        <w:rPr>
          <w:rFonts w:ascii="宋体" w:hAnsi="宋体" w:hint="eastAsia"/>
          <w:szCs w:val="21"/>
        </w:rPr>
        <w:t>2、乙方在提供服务过程中应自备车辆。</w:t>
      </w:r>
    </w:p>
    <w:p>
      <w:pPr>
        <w:ind w:firstLine="420" w:firstLineChars="200"/>
        <w:rPr>
          <w:rFonts w:ascii="宋体" w:hAnsi="宋体"/>
          <w:b/>
          <w:bCs/>
          <w:szCs w:val="21"/>
        </w:rPr>
      </w:pPr>
      <w:r>
        <w:rPr>
          <w:rFonts w:ascii="宋体" w:hAnsi="宋体" w:hint="eastAsia"/>
          <w:b/>
          <w:bCs/>
          <w:szCs w:val="21"/>
        </w:rPr>
        <w:t>第十四条  保密要求</w:t>
      </w:r>
    </w:p>
    <w:p>
      <w:pPr>
        <w:ind w:firstLine="420" w:firstLineChars="200"/>
        <w:rPr>
          <w:rFonts w:ascii="宋体" w:hAnsi="宋体"/>
          <w:szCs w:val="21"/>
        </w:rPr>
      </w:pPr>
      <w:r>
        <w:rPr>
          <w:rFonts w:ascii="宋体" w:hAnsi="宋体" w:hint="eastAsia"/>
          <w:szCs w:val="21"/>
        </w:rPr>
        <w:t>1、</w:t>
      </w:r>
      <w:r>
        <w:rPr>
          <w:rFonts w:ascii="宋体" w:hAnsi="宋体"/>
          <w:szCs w:val="21"/>
        </w:rPr>
        <w:t>由甲方收集的、开发的、整理的、复制的、研究的和准备的与本合同项下工作有关的所有资料在提供给乙方时，均被视为保密的，不得泄漏给除甲方或其指定的代表之外的任何人、企业或公司，不管本合同因何种原因终止，本条款一直约束乙方。</w:t>
      </w:r>
    </w:p>
    <w:p>
      <w:pPr>
        <w:ind w:firstLine="420" w:firstLineChars="200"/>
        <w:rPr>
          <w:rFonts w:ascii="宋体" w:hAnsi="宋体"/>
          <w:szCs w:val="21"/>
        </w:rPr>
      </w:pPr>
      <w:r>
        <w:rPr>
          <w:rFonts w:ascii="宋体" w:hAnsi="宋体" w:hint="eastAsia"/>
          <w:szCs w:val="21"/>
        </w:rPr>
        <w:t>2、</w:t>
      </w:r>
      <w:r>
        <w:rPr>
          <w:rFonts w:ascii="宋体" w:hAnsi="宋体"/>
          <w:szCs w:val="21"/>
        </w:rPr>
        <w:t>乙方在履行合同过程中所获得或接触到的任何</w:t>
      </w:r>
      <w:r>
        <w:rPr>
          <w:rFonts w:ascii="宋体" w:hAnsi="宋体" w:hint="eastAsia"/>
          <w:szCs w:val="21"/>
        </w:rPr>
        <w:t>内部数据资料，未经甲方同意，不得向第三方透露。</w:t>
      </w:r>
    </w:p>
    <w:p>
      <w:pPr>
        <w:ind w:firstLine="420" w:firstLineChars="200"/>
        <w:rPr>
          <w:rFonts w:ascii="宋体" w:hAnsi="宋体"/>
          <w:szCs w:val="21"/>
        </w:rPr>
      </w:pPr>
      <w:r>
        <w:rPr>
          <w:rFonts w:ascii="宋体" w:hAnsi="宋体" w:hint="eastAsia"/>
          <w:szCs w:val="21"/>
        </w:rPr>
        <w:t>3、</w:t>
      </w:r>
      <w:r>
        <w:rPr>
          <w:rFonts w:ascii="宋体" w:hAnsi="宋体"/>
          <w:szCs w:val="21"/>
        </w:rPr>
        <w:t>乙方</w:t>
      </w:r>
      <w:r>
        <w:rPr>
          <w:rFonts w:ascii="宋体" w:hAnsi="宋体" w:hint="eastAsia"/>
          <w:szCs w:val="21"/>
        </w:rPr>
        <w:t>实施项目的一切程序都应符合国家安全、保密的有关规定和标准。</w:t>
      </w:r>
    </w:p>
    <w:p>
      <w:pPr>
        <w:ind w:firstLine="420" w:firstLineChars="200"/>
        <w:rPr>
          <w:rFonts w:ascii="宋体" w:hAnsi="宋体"/>
          <w:szCs w:val="21"/>
        </w:rPr>
      </w:pPr>
      <w:r>
        <w:rPr>
          <w:rFonts w:ascii="宋体" w:hAnsi="宋体" w:hint="eastAsia"/>
          <w:szCs w:val="21"/>
        </w:rPr>
        <w:t>4、</w:t>
      </w:r>
      <w:r>
        <w:rPr>
          <w:rFonts w:ascii="宋体" w:hAnsi="宋体"/>
          <w:szCs w:val="21"/>
        </w:rPr>
        <w:t>乙方</w:t>
      </w:r>
      <w:r>
        <w:rPr>
          <w:rFonts w:ascii="宋体" w:hAnsi="宋体" w:hint="eastAsia"/>
          <w:szCs w:val="21"/>
        </w:rPr>
        <w:t>参加项目的有关人员均需同甲方签订保密协议。</w:t>
      </w:r>
    </w:p>
    <w:p>
      <w:pPr>
        <w:ind w:firstLine="420" w:firstLineChars="200"/>
        <w:rPr>
          <w:rFonts w:ascii="宋体" w:hAnsi="宋体"/>
          <w:b/>
          <w:bCs/>
          <w:szCs w:val="21"/>
        </w:rPr>
      </w:pPr>
      <w:r>
        <w:rPr>
          <w:rFonts w:ascii="宋体" w:hAnsi="宋体" w:hint="eastAsia"/>
          <w:b/>
          <w:bCs/>
          <w:szCs w:val="21"/>
        </w:rPr>
        <w:t xml:space="preserve">第十五条  验收     </w:t>
      </w:r>
    </w:p>
    <w:p>
      <w:pPr>
        <w:ind w:firstLine="420" w:firstLineChars="200"/>
        <w:rPr>
          <w:rFonts w:ascii="宋体" w:hAnsi="宋体"/>
          <w:szCs w:val="21"/>
        </w:rPr>
      </w:pPr>
      <w:r>
        <w:rPr>
          <w:rFonts w:ascii="宋体" w:hAnsi="宋体" w:hint="eastAsia"/>
          <w:szCs w:val="21"/>
        </w:rPr>
        <w:t>1、下列文件的验收分为</w:t>
      </w:r>
      <w:r>
        <w:rPr>
          <w:rFonts w:ascii="宋体" w:hAnsi="宋体" w:hint="eastAsia"/>
          <w:szCs w:val="21"/>
          <w:u w:val="single"/>
        </w:rPr>
        <w:t xml:space="preserve">          三</w:t>
      </w:r>
      <w:r>
        <w:rPr>
          <w:rFonts w:ascii="宋体" w:hAnsi="宋体" w:hint="eastAsia"/>
          <w:szCs w:val="21"/>
        </w:rPr>
        <w:t>个阶段:</w:t>
      </w:r>
    </w:p>
    <w:p>
      <w:pPr>
        <w:ind w:firstLine="420" w:firstLineChars="200"/>
        <w:rPr>
          <w:rFonts w:ascii="宋体" w:hAnsi="宋体"/>
          <w:szCs w:val="21"/>
        </w:rPr>
      </w:pPr>
      <w:r>
        <w:rPr>
          <w:rFonts w:ascii="宋体" w:hAnsi="宋体" w:hint="eastAsia"/>
          <w:szCs w:val="21"/>
        </w:rPr>
        <w:t>2、其余文件和工作由用户组织有关技术人员根据国家和行业有关规范、规程、标准和用户需求直接验收。</w:t>
      </w:r>
    </w:p>
    <w:p>
      <w:pPr>
        <w:ind w:firstLine="420" w:firstLineChars="200"/>
        <w:rPr>
          <w:rFonts w:ascii="宋体" w:hAnsi="宋体"/>
          <w:szCs w:val="21"/>
        </w:rPr>
      </w:pPr>
      <w:r>
        <w:rPr>
          <w:rFonts w:ascii="宋体" w:hAnsi="宋体" w:hint="eastAsia"/>
          <w:szCs w:val="21"/>
        </w:rPr>
        <w:t>3、验收依据为招标文件、投标文件，国家和行业有关规范、规程和标准。</w:t>
      </w:r>
    </w:p>
    <w:p>
      <w:pPr>
        <w:ind w:firstLine="420" w:firstLineChars="200"/>
        <w:rPr>
          <w:rFonts w:ascii="宋体" w:hAnsi="宋体"/>
          <w:b/>
          <w:bCs/>
          <w:szCs w:val="21"/>
        </w:rPr>
      </w:pPr>
      <w:r>
        <w:rPr>
          <w:rFonts w:ascii="宋体" w:hAnsi="宋体" w:hint="eastAsia"/>
          <w:b/>
          <w:bCs/>
          <w:szCs w:val="21"/>
        </w:rPr>
        <w:t>第十六条  付款方式</w:t>
      </w:r>
    </w:p>
    <w:p>
      <w:pPr>
        <w:ind w:firstLine="420" w:firstLineChars="200"/>
        <w:rPr>
          <w:rFonts w:ascii="宋体" w:hAnsi="宋体"/>
          <w:szCs w:val="21"/>
        </w:rPr>
      </w:pPr>
      <w:r>
        <w:rPr>
          <w:rFonts w:ascii="宋体" w:hAnsi="宋体" w:hint="eastAsia"/>
          <w:szCs w:val="21"/>
        </w:rPr>
        <w:t>1、合同签订后   天内乙方向甲方开具合法有效的发票后，甲方于   天内向乙方支付合同总价%的款项。</w:t>
      </w:r>
    </w:p>
    <w:p>
      <w:pPr>
        <w:ind w:firstLine="420" w:firstLineChars="200"/>
        <w:rPr>
          <w:rFonts w:ascii="宋体" w:hAnsi="宋体"/>
          <w:szCs w:val="21"/>
        </w:rPr>
      </w:pPr>
      <w:r>
        <w:rPr>
          <w:rFonts w:ascii="宋体" w:hAnsi="宋体" w:hint="eastAsia"/>
          <w:szCs w:val="21"/>
        </w:rPr>
        <w:t>2、检测完成并提交评估报告后  天内，乙方向甲方开具合法有效发票后 天，甲方向乙方支付合同总价%的款项。</w:t>
      </w:r>
    </w:p>
    <w:p>
      <w:pPr>
        <w:ind w:firstLine="420" w:firstLineChars="200"/>
        <w:rPr>
          <w:rFonts w:ascii="宋体" w:hAnsi="宋体"/>
          <w:szCs w:val="21"/>
        </w:rPr>
      </w:pPr>
      <w:r>
        <w:rPr>
          <w:rFonts w:ascii="宋体" w:hAnsi="宋体" w:hint="eastAsia"/>
          <w:szCs w:val="21"/>
        </w:rPr>
        <w:t>3、报告通过专家评审后，甲方向乙方支付合同总价%的款项。</w:t>
      </w:r>
    </w:p>
    <w:p>
      <w:pPr>
        <w:ind w:firstLine="420" w:firstLineChars="200"/>
        <w:rPr>
          <w:rFonts w:ascii="宋体" w:hAnsi="宋体"/>
          <w:b/>
          <w:bCs/>
          <w:szCs w:val="21"/>
        </w:rPr>
      </w:pPr>
      <w:r>
        <w:rPr>
          <w:rFonts w:ascii="宋体" w:hAnsi="宋体" w:hint="eastAsia"/>
          <w:b/>
          <w:bCs/>
          <w:szCs w:val="21"/>
        </w:rPr>
        <w:t>第十七条  争议解决办法</w:t>
      </w:r>
    </w:p>
    <w:p>
      <w:pPr>
        <w:ind w:firstLine="420" w:firstLineChars="200"/>
        <w:rPr>
          <w:rFonts w:ascii="宋体" w:hAnsi="宋体"/>
          <w:szCs w:val="21"/>
        </w:rPr>
      </w:pPr>
      <w:r>
        <w:rPr>
          <w:rFonts w:ascii="宋体" w:hAnsi="宋体" w:hint="eastAsia"/>
          <w:szCs w:val="21"/>
        </w:rPr>
        <w:t>执行本合同发生的争议，由甲乙双方协商解决，如协商不成的，应提交甲方所在地人民法院诉讼解决。</w:t>
      </w:r>
    </w:p>
    <w:p>
      <w:pPr>
        <w:ind w:firstLine="420" w:firstLineChars="200"/>
        <w:rPr>
          <w:rFonts w:ascii="宋体" w:hAnsi="宋体"/>
          <w:b/>
          <w:bCs/>
          <w:szCs w:val="21"/>
        </w:rPr>
      </w:pPr>
      <w:r>
        <w:rPr>
          <w:rFonts w:ascii="宋体" w:hAnsi="宋体" w:hint="eastAsia"/>
          <w:b/>
          <w:bCs/>
          <w:szCs w:val="21"/>
        </w:rPr>
        <w:t>第十八条  风险责任</w:t>
      </w:r>
    </w:p>
    <w:p>
      <w:pPr>
        <w:ind w:firstLine="420" w:firstLineChars="200"/>
        <w:rPr>
          <w:rFonts w:ascii="宋体" w:hAnsi="宋体"/>
          <w:szCs w:val="21"/>
        </w:rPr>
      </w:pPr>
      <w:r>
        <w:rPr>
          <w:rFonts w:ascii="宋体" w:hAnsi="宋体" w:hint="eastAsia"/>
          <w:szCs w:val="21"/>
        </w:rPr>
        <w:t>１、乙方应完全地按照招标文件的要求和乙方投标文件的承诺完成本项目，出于自身财务、技术、人力等原因导致项目失败的，应承担全部责任。</w:t>
      </w:r>
    </w:p>
    <w:p>
      <w:pPr>
        <w:ind w:firstLine="420" w:firstLineChars="200"/>
        <w:rPr>
          <w:rFonts w:ascii="宋体" w:hAnsi="宋体"/>
          <w:szCs w:val="21"/>
        </w:rPr>
      </w:pPr>
      <w:r>
        <w:rPr>
          <w:rFonts w:ascii="宋体" w:hAnsi="宋体" w:hint="eastAsia"/>
          <w:szCs w:val="21"/>
        </w:rPr>
        <w:t>2、乙方在实施荷载试验过程中应对自身的安全生产负责，若非因甲方原因发生的各种事故甲方不承担任何责任。</w:t>
      </w:r>
    </w:p>
    <w:p>
      <w:pPr>
        <w:ind w:firstLine="420" w:firstLineChars="200"/>
        <w:rPr>
          <w:rFonts w:ascii="宋体" w:hAnsi="宋体"/>
          <w:b/>
          <w:bCs/>
          <w:szCs w:val="21"/>
        </w:rPr>
      </w:pPr>
      <w:r>
        <w:rPr>
          <w:rFonts w:ascii="宋体" w:hAnsi="宋体" w:hint="eastAsia"/>
          <w:b/>
          <w:bCs/>
          <w:szCs w:val="21"/>
        </w:rPr>
        <w:t>第十九条  违约责任</w:t>
      </w:r>
    </w:p>
    <w:p>
      <w:pPr>
        <w:pStyle w:val="BodyTextIndent"/>
        <w:spacing w:line="240" w:lineRule="auto"/>
        <w:rPr>
          <w:rFonts w:ascii="宋体" w:hAnsi="宋体"/>
          <w:szCs w:val="21"/>
        </w:rPr>
      </w:pPr>
      <w:r>
        <w:rPr>
          <w:rFonts w:ascii="宋体" w:hAnsi="宋体" w:hint="eastAsia"/>
          <w:szCs w:val="21"/>
        </w:rPr>
        <w:t>１、因乙方原因，未能按规定时间完成有关工作的，每延误一天，甲方可在支付合同余款中扣除合同价款千分之一。</w:t>
      </w:r>
    </w:p>
    <w:p>
      <w:pPr>
        <w:ind w:firstLine="420" w:firstLineChars="200"/>
        <w:rPr>
          <w:rFonts w:ascii="宋体" w:hAnsi="宋体"/>
          <w:szCs w:val="21"/>
        </w:rPr>
      </w:pPr>
      <w:r>
        <w:rPr>
          <w:rFonts w:ascii="宋体" w:hAnsi="宋体" w:hint="eastAsia"/>
          <w:szCs w:val="21"/>
        </w:rPr>
        <w:t>2、由于乙方原因造成试验成果质量低劣，不能满足大纲要求时，应继续完善试验工作，其费用由乙方承担。</w:t>
      </w:r>
    </w:p>
    <w:p>
      <w:pPr>
        <w:ind w:firstLine="420" w:firstLineChars="200"/>
        <w:rPr>
          <w:rFonts w:ascii="宋体" w:hAnsi="宋体"/>
          <w:szCs w:val="21"/>
        </w:rPr>
      </w:pPr>
      <w:r>
        <w:rPr>
          <w:rFonts w:ascii="宋体" w:hAnsi="宋体" w:hint="eastAsia"/>
          <w:szCs w:val="21"/>
        </w:rPr>
        <w:t>3、乙方交付的成果经验收不合格，应于7日内无条件修改，费用由乙方自行承担，在甲方要求整改后再次验收不合格的，甲方有权解除合同、要求乙方返还甲方已支付的合同款项，并有权要求乙方按合同总额   %支付违约金。。</w:t>
      </w:r>
    </w:p>
    <w:p>
      <w:pPr>
        <w:ind w:firstLine="420" w:firstLineChars="200"/>
        <w:rPr>
          <w:rFonts w:ascii="宋体" w:hAnsi="宋体"/>
          <w:szCs w:val="21"/>
        </w:rPr>
      </w:pPr>
      <w:r>
        <w:rPr>
          <w:rFonts w:ascii="宋体" w:hAnsi="宋体" w:hint="eastAsia"/>
          <w:szCs w:val="21"/>
        </w:rPr>
        <w:t>4、若甲方发现乙方派出的试验服务人员或提供的试验仪器设备不符合合同要求，乙方应在3天之内按要求派出人员或提供满足投标文件承诺的仪器设备，否则甲方有权终止合同，并保留追究乙方责任及要求赔偿损失的权利。</w:t>
      </w:r>
    </w:p>
    <w:p>
      <w:pPr>
        <w:ind w:firstLine="420" w:firstLineChars="200"/>
        <w:rPr>
          <w:rFonts w:ascii="宋体" w:hAnsi="宋体"/>
          <w:szCs w:val="21"/>
        </w:rPr>
      </w:pPr>
      <w:r>
        <w:rPr>
          <w:rFonts w:ascii="宋体" w:hAnsi="宋体" w:hint="eastAsia"/>
          <w:szCs w:val="21"/>
        </w:rPr>
        <w:t>5、乙方或其工作人员违反本合同约定的保密义务，甲方有权要求乙方按合同总额   %支付违约金；造成不良影响或对甲方造成损失的，甲方有权要求乙方消除影响，承担赔偿责任，并有权解除合同。</w:t>
      </w:r>
    </w:p>
    <w:p>
      <w:pPr>
        <w:ind w:firstLine="420" w:firstLineChars="200"/>
        <w:rPr>
          <w:rFonts w:ascii="宋体" w:hAnsi="宋体"/>
          <w:szCs w:val="21"/>
        </w:rPr>
      </w:pPr>
      <w:r>
        <w:rPr>
          <w:rFonts w:ascii="宋体" w:hAnsi="宋体" w:hint="eastAsia"/>
          <w:szCs w:val="21"/>
        </w:rPr>
        <w:t>6、因乙方提供的服务成果受到侵权指控或者引发法律纠纷，影响甲方使用服务成果或者导致合同目的不能实现的，甲方有权要求乙方按合同总额   %支付违约金，并有权解除合同。</w:t>
      </w:r>
    </w:p>
    <w:p>
      <w:pPr>
        <w:ind w:firstLine="420" w:firstLineChars="200"/>
        <w:rPr>
          <w:rFonts w:ascii="宋体" w:hAnsi="宋体"/>
          <w:b/>
          <w:bCs/>
          <w:szCs w:val="21"/>
        </w:rPr>
      </w:pPr>
      <w:r>
        <w:rPr>
          <w:rFonts w:ascii="宋体" w:hAnsi="宋体" w:hint="eastAsia"/>
          <w:b/>
          <w:bCs/>
          <w:szCs w:val="21"/>
        </w:rPr>
        <w:t>第二十条  其他</w:t>
      </w:r>
    </w:p>
    <w:p>
      <w:pPr>
        <w:ind w:firstLine="420" w:firstLineChars="200"/>
        <w:rPr>
          <w:rFonts w:ascii="宋体" w:hAnsi="宋体"/>
          <w:szCs w:val="21"/>
        </w:rPr>
      </w:pPr>
      <w:r>
        <w:rPr>
          <w:rFonts w:ascii="宋体" w:hAnsi="宋体" w:hint="eastAsia"/>
          <w:szCs w:val="21"/>
        </w:rPr>
        <w:t>1、本合同与招标文件、乙方投标文件如有抵触之处，以本合同条款为准。</w:t>
      </w:r>
    </w:p>
    <w:p>
      <w:pPr>
        <w:ind w:firstLine="420" w:firstLineChars="200"/>
        <w:rPr>
          <w:rFonts w:ascii="宋体" w:hAnsi="宋体"/>
          <w:szCs w:val="21"/>
        </w:rPr>
      </w:pPr>
      <w:r>
        <w:rPr>
          <w:rFonts w:ascii="宋体" w:hAnsi="宋体" w:hint="eastAsia"/>
          <w:szCs w:val="21"/>
        </w:rPr>
        <w:t>2、下列文件均为本合同的组成部分：</w:t>
      </w:r>
    </w:p>
    <w:p>
      <w:pPr>
        <w:ind w:firstLine="420" w:firstLineChars="200"/>
        <w:rPr>
          <w:rFonts w:ascii="宋体" w:hAnsi="宋体"/>
          <w:szCs w:val="21"/>
        </w:rPr>
      </w:pPr>
      <w:r>
        <w:rPr>
          <w:rFonts w:ascii="宋体" w:hAnsi="宋体" w:hint="eastAsia"/>
          <w:szCs w:val="21"/>
        </w:rPr>
        <w:t>（1）号招标文件、答疑及补充通知；</w:t>
      </w:r>
    </w:p>
    <w:p>
      <w:pPr>
        <w:ind w:firstLine="420" w:firstLineChars="200"/>
        <w:rPr>
          <w:rFonts w:ascii="宋体" w:hAnsi="宋体"/>
          <w:szCs w:val="21"/>
        </w:rPr>
      </w:pPr>
      <w:r>
        <w:rPr>
          <w:rFonts w:ascii="宋体" w:hAnsi="宋体" w:hint="eastAsia"/>
          <w:szCs w:val="21"/>
        </w:rPr>
        <w:t>（2）投标文件；</w:t>
      </w:r>
    </w:p>
    <w:p>
      <w:pPr>
        <w:ind w:firstLine="420" w:firstLineChars="200"/>
        <w:rPr>
          <w:rFonts w:ascii="宋体" w:hAnsi="宋体"/>
          <w:szCs w:val="21"/>
        </w:rPr>
      </w:pPr>
      <w:r>
        <w:rPr>
          <w:rFonts w:ascii="宋体" w:hAnsi="宋体" w:hint="eastAsia"/>
          <w:szCs w:val="21"/>
        </w:rPr>
        <w:t>（3）本合同执行中共同签署的补充与修正文件。</w:t>
      </w:r>
    </w:p>
    <w:p>
      <w:pPr>
        <w:ind w:firstLine="420" w:firstLineChars="200"/>
        <w:rPr>
          <w:rFonts w:ascii="宋体" w:hAnsi="宋体"/>
          <w:szCs w:val="21"/>
        </w:rPr>
      </w:pPr>
      <w:r>
        <w:rPr>
          <w:rFonts w:ascii="宋体" w:hAnsi="宋体" w:hint="eastAsia"/>
          <w:szCs w:val="21"/>
        </w:rPr>
        <w:t>本合同一式份，甲、乙方双方各执份，具有同等法律效力。本合同自双方法人代表签字（盖章）认可之日起生效。</w:t>
      </w:r>
    </w:p>
    <w:p>
      <w:pPr>
        <w:ind w:firstLine="420" w:firstLineChars="200"/>
        <w:rPr>
          <w:rFonts w:ascii="宋体" w:hAnsi="宋体"/>
          <w:szCs w:val="21"/>
        </w:rPr>
      </w:pPr>
      <w:r>
        <w:rPr>
          <w:rFonts w:ascii="宋体" w:hAnsi="宋体" w:hint="eastAsia"/>
          <w:szCs w:val="21"/>
        </w:rPr>
        <w:t>本合同未尽事宜，双方友好协商，达成解决方案，经双方签字后，可作为本合同的有效附件。</w:t>
      </w:r>
    </w:p>
    <w:p>
      <w:pPr>
        <w:ind w:firstLine="420" w:firstLineChars="200"/>
        <w:rPr>
          <w:rFonts w:ascii="宋体" w:hAnsi="宋体"/>
          <w:szCs w:val="21"/>
        </w:rPr>
      </w:pPr>
    </w:p>
    <w:p>
      <w:pPr>
        <w:ind w:firstLine="420" w:firstLineChars="200"/>
        <w:rPr>
          <w:rFonts w:ascii="宋体" w:hAnsi="宋体"/>
          <w:szCs w:val="21"/>
        </w:rPr>
      </w:pPr>
    </w:p>
    <w:p>
      <w:pPr>
        <w:spacing w:line="360" w:lineRule="auto"/>
        <w:ind w:firstLine="560"/>
        <w:jc w:val="left"/>
        <w:rPr>
          <w:rFonts w:ascii="宋体" w:hAnsi="宋体"/>
          <w:szCs w:val="21"/>
        </w:rPr>
      </w:pPr>
      <w:r>
        <w:rPr>
          <w:rFonts w:ascii="宋体" w:hAnsi="宋体" w:hint="eastAsia"/>
          <w:szCs w:val="21"/>
        </w:rPr>
        <w:t>甲方（采购人）：   （盖章）       乙方（供应商）：    （盖章）</w:t>
      </w:r>
    </w:p>
    <w:p>
      <w:pPr>
        <w:spacing w:line="360" w:lineRule="auto"/>
        <w:ind w:firstLine="560"/>
        <w:jc w:val="left"/>
        <w:rPr>
          <w:rFonts w:ascii="宋体" w:hAnsi="宋体"/>
          <w:szCs w:val="21"/>
        </w:rPr>
      </w:pPr>
      <w:r>
        <w:rPr>
          <w:rFonts w:ascii="宋体" w:hAnsi="宋体" w:hint="eastAsia"/>
          <w:szCs w:val="21"/>
        </w:rPr>
        <w:t xml:space="preserve">法定代表人：                     法定代表人： </w:t>
      </w:r>
    </w:p>
    <w:p>
      <w:pPr>
        <w:spacing w:line="360" w:lineRule="auto"/>
        <w:ind w:firstLine="560"/>
        <w:jc w:val="left"/>
        <w:rPr>
          <w:rFonts w:ascii="宋体" w:hAnsi="宋体"/>
          <w:szCs w:val="21"/>
        </w:rPr>
      </w:pPr>
      <w:r>
        <w:rPr>
          <w:rFonts w:ascii="宋体" w:hAnsi="宋体" w:hint="eastAsia"/>
          <w:szCs w:val="21"/>
        </w:rPr>
        <w:t>委托代理人：                     委托代理人：</w:t>
      </w:r>
    </w:p>
    <w:p>
      <w:pPr>
        <w:ind w:firstLine="420" w:firstLineChars="200"/>
        <w:rPr>
          <w:rFonts w:ascii="宋体" w:hAnsi="宋体"/>
          <w:szCs w:val="21"/>
        </w:rPr>
      </w:pPr>
      <w:r>
        <w:rPr>
          <w:rFonts w:ascii="宋体" w:hAnsi="宋体" w:hint="eastAsia"/>
          <w:szCs w:val="21"/>
        </w:rPr>
        <w:t>日期：   年     月    日         日期：   年     月    日</w:t>
      </w:r>
    </w:p>
    <w:p>
      <w:pPr>
        <w:ind w:firstLine="420" w:firstLineChars="200"/>
        <w:rPr>
          <w:rFonts w:ascii="宋体" w:hAnsi="宋体"/>
          <w:szCs w:val="21"/>
        </w:rPr>
      </w:pPr>
    </w:p>
    <w:p>
      <w:pPr>
        <w:widowControl/>
        <w:jc w:val="left"/>
        <w:rPr>
          <w:rFonts w:ascii="宋体" w:hAnsi="宋体"/>
          <w:szCs w:val="21"/>
        </w:rPr>
      </w:pPr>
      <w:r>
        <w:rPr>
          <w:rFonts w:ascii="宋体" w:hAnsi="宋体"/>
          <w:szCs w:val="21"/>
        </w:rPr>
        <w:br w:type="page"/>
      </w:r>
    </w:p>
    <w:p>
      <w:pPr>
        <w:pStyle w:val="Heading2"/>
        <w:spacing w:before="120" w:beforeLines="50" w:after="120" w:afterLines="50"/>
        <w:ind w:left="562"/>
        <w:rPr>
          <w:sz w:val="28"/>
          <w:szCs w:val="28"/>
        </w:rPr>
      </w:pPr>
      <w:r>
        <w:rPr>
          <w:rFonts w:hint="eastAsia"/>
          <w:sz w:val="28"/>
          <w:szCs w:val="28"/>
        </w:rPr>
        <w:t>第二册  通用条款（公开招标）</w:t>
      </w:r>
    </w:p>
    <w:p>
      <w:pPr>
        <w:pStyle w:val="Heading2"/>
        <w:numPr>
          <w:ilvl w:val="0"/>
          <w:numId w:val="12"/>
        </w:numPr>
        <w:spacing w:before="120" w:beforeLines="50" w:after="120" w:afterLines="50"/>
        <w:ind w:left="562" w:hanging="562"/>
        <w:rPr>
          <w:sz w:val="28"/>
          <w:szCs w:val="28"/>
        </w:rPr>
      </w:pPr>
      <w:bookmarkStart w:id="47" w:name="_Hlk72399513"/>
      <w:r>
        <w:rPr>
          <w:rFonts w:hint="eastAsia"/>
          <w:sz w:val="28"/>
          <w:szCs w:val="28"/>
        </w:rPr>
        <w:t>总则</w:t>
      </w:r>
    </w:p>
    <w:p>
      <w:pPr>
        <w:outlineLvl w:val="1"/>
        <w:rPr>
          <w:rFonts w:ascii="黑体" w:eastAsia="黑体" w:hAnsi="宋体"/>
          <w:sz w:val="24"/>
        </w:rPr>
      </w:pPr>
      <w:bookmarkEnd w:id="47"/>
      <w:r>
        <w:rPr>
          <w:rFonts w:ascii="黑体" w:eastAsia="黑体" w:hAnsi="宋体" w:hint="eastAsia"/>
          <w:sz w:val="24"/>
        </w:rPr>
        <w:t>1. 通用条款说明</w:t>
      </w:r>
    </w:p>
    <w:p>
      <w:pPr>
        <w:ind w:firstLine="412" w:firstLineChars="196"/>
        <w:rPr>
          <w:rFonts w:ascii="宋体" w:hAnsi="宋体"/>
          <w:szCs w:val="21"/>
        </w:rPr>
      </w:pPr>
      <w:r>
        <w:rPr>
          <w:rFonts w:ascii="宋体" w:hAnsi="宋体" w:hint="eastAsia"/>
          <w:szCs w:val="21"/>
        </w:rPr>
        <w:t>1.1政府集中采购机构发出招标文件通用条款版本，列出深圳市政府采购项目进行招标采购所适用的通用条款内容。</w:t>
      </w:r>
      <w:bookmarkStart w:id="48" w:name="_Hlk72399729"/>
      <w:r>
        <w:rPr>
          <w:rFonts w:ascii="宋体" w:hAnsi="宋体" w:hint="eastAsia"/>
          <w:szCs w:val="21"/>
        </w:rPr>
        <w:t>如有需要，政府集中采购机构可以对通用条款的内容进行补充。</w:t>
      </w:r>
      <w:bookmarkEnd w:id="48"/>
    </w:p>
    <w:p>
      <w:pPr>
        <w:ind w:firstLine="412" w:firstLineChars="196"/>
        <w:rPr>
          <w:rFonts w:ascii="宋体" w:hAnsi="宋体"/>
          <w:szCs w:val="21"/>
        </w:rPr>
      </w:pPr>
      <w:r>
        <w:rPr>
          <w:rFonts w:ascii="宋体" w:hAnsi="宋体" w:hint="eastAsia"/>
          <w:szCs w:val="21"/>
        </w:rPr>
        <w:t>1.2招标文件分为第一册“专用条款”和第二册“通用条款”。</w:t>
      </w:r>
    </w:p>
    <w:p>
      <w:pPr>
        <w:ind w:firstLine="412" w:firstLineChars="196"/>
        <w:rPr>
          <w:rFonts w:ascii="宋体" w:hAnsi="宋体"/>
          <w:szCs w:val="21"/>
        </w:rPr>
      </w:pPr>
      <w:r>
        <w:rPr>
          <w:rFonts w:ascii="宋体" w:hAnsi="宋体" w:hint="eastAsia"/>
          <w:szCs w:val="21"/>
        </w:rPr>
        <w:t>1.3“专用条款”是对本次采购项目的具体要求，包含招标公告、对通用条款的补充内容及其他关键信息、用户需求书、投标文件格式及附件、合同条款及格式等内容。</w:t>
      </w:r>
    </w:p>
    <w:p>
      <w:pPr>
        <w:ind w:firstLine="412" w:firstLineChars="196"/>
        <w:rPr>
          <w:rFonts w:ascii="宋体" w:hAnsi="宋体"/>
          <w:szCs w:val="21"/>
        </w:rPr>
      </w:pPr>
      <w:r>
        <w:rPr>
          <w:rFonts w:ascii="宋体" w:hAnsi="宋体" w:hint="eastAsia"/>
          <w:szCs w:val="21"/>
        </w:rPr>
        <w:t>1.4“通用条款”是适用于政府采购公开招标项目的基础性条款，具有普遍性和通用性。</w:t>
      </w:r>
    </w:p>
    <w:p>
      <w:pPr>
        <w:ind w:firstLine="412" w:firstLineChars="196"/>
        <w:rPr>
          <w:rFonts w:ascii="宋体" w:hAnsi="宋体"/>
          <w:szCs w:val="21"/>
        </w:rPr>
      </w:pPr>
      <w:r>
        <w:rPr>
          <w:rFonts w:ascii="宋体" w:hAnsi="宋体" w:hint="eastAsia"/>
          <w:szCs w:val="21"/>
        </w:rPr>
        <w:t>1.5 “专用条款”和“通用条款”表述不一致或有冲突时，以“专用条款”为准。</w:t>
      </w:r>
    </w:p>
    <w:p>
      <w:pPr>
        <w:outlineLvl w:val="1"/>
        <w:rPr>
          <w:rFonts w:ascii="黑体" w:eastAsia="黑体" w:hAnsi="宋体"/>
          <w:sz w:val="24"/>
        </w:rPr>
      </w:pPr>
      <w:r>
        <w:rPr>
          <w:rFonts w:ascii="黑体" w:eastAsia="黑体" w:hAnsi="宋体" w:hint="eastAsia"/>
          <w:sz w:val="24"/>
        </w:rPr>
        <w:t>2</w:t>
      </w:r>
      <w:r>
        <w:rPr>
          <w:rFonts w:ascii="黑体" w:eastAsia="黑体" w:hAnsi="宋体"/>
          <w:sz w:val="24"/>
        </w:rPr>
        <w:t>．</w:t>
      </w:r>
      <w:r>
        <w:rPr>
          <w:rFonts w:ascii="黑体" w:eastAsia="黑体" w:hAnsi="宋体" w:hint="eastAsia"/>
          <w:sz w:val="24"/>
        </w:rPr>
        <w:t>招标说明</w:t>
      </w:r>
    </w:p>
    <w:p>
      <w:pPr>
        <w:ind w:firstLine="412" w:firstLineChars="196"/>
        <w:rPr>
          <w:rFonts w:ascii="宋体" w:hAnsi="宋体"/>
          <w:szCs w:val="21"/>
        </w:rPr>
      </w:pPr>
      <w:r>
        <w:rPr>
          <w:rFonts w:ascii="宋体" w:hAnsi="宋体" w:hint="eastAsia"/>
          <w:szCs w:val="21"/>
        </w:rPr>
        <w:t>本项目按照《深圳经济特区政府采购条例》、《深圳经济特区政府采购条例实施细则》及政府采购其他法律法规，通过公开招标方式确定中标供应商。</w:t>
      </w:r>
    </w:p>
    <w:p>
      <w:pPr>
        <w:outlineLvl w:val="1"/>
        <w:rPr>
          <w:rFonts w:ascii="黑体" w:eastAsia="黑体" w:hAnsi="宋体"/>
          <w:sz w:val="24"/>
        </w:rPr>
      </w:pPr>
      <w:r>
        <w:rPr>
          <w:rFonts w:ascii="黑体" w:eastAsia="黑体" w:hAnsi="宋体" w:hint="eastAsia"/>
          <w:sz w:val="24"/>
        </w:rPr>
        <w:t>3．定义</w:t>
      </w:r>
    </w:p>
    <w:p>
      <w:pPr>
        <w:ind w:firstLine="420" w:firstLineChars="200"/>
        <w:rPr>
          <w:rFonts w:ascii="宋体" w:hAnsi="宋体"/>
          <w:szCs w:val="21"/>
        </w:rPr>
      </w:pPr>
      <w:r>
        <w:rPr>
          <w:rFonts w:ascii="宋体" w:hAnsi="宋体"/>
          <w:szCs w:val="21"/>
        </w:rPr>
        <w:t>招标文件中下列术语应解释为：</w:t>
      </w:r>
    </w:p>
    <w:p>
      <w:pPr>
        <w:ind w:firstLine="412" w:firstLineChars="196"/>
        <w:rPr>
          <w:rFonts w:ascii="宋体" w:hAnsi="宋体"/>
          <w:szCs w:val="21"/>
        </w:rPr>
      </w:pPr>
      <w:r>
        <w:rPr>
          <w:rFonts w:ascii="宋体" w:hAnsi="宋体" w:hint="eastAsia"/>
          <w:szCs w:val="21"/>
        </w:rPr>
        <w:t>3.</w:t>
      </w:r>
      <w:r>
        <w:rPr>
          <w:rFonts w:ascii="宋体" w:hAnsi="宋体"/>
          <w:szCs w:val="21"/>
        </w:rPr>
        <w:t>1</w:t>
      </w:r>
      <w:r>
        <w:rPr>
          <w:rFonts w:ascii="宋体" w:hAnsi="宋体" w:hint="eastAsia"/>
          <w:szCs w:val="21"/>
        </w:rPr>
        <w:t>“采购人”：指利用财政性资金依法进行政府采购的国家机关、事业单位、团体组织；</w:t>
      </w:r>
    </w:p>
    <w:p>
      <w:pPr>
        <w:ind w:firstLine="412" w:firstLineChars="196"/>
        <w:rPr>
          <w:rFonts w:ascii="宋体" w:hAnsi="宋体"/>
          <w:szCs w:val="21"/>
        </w:rPr>
      </w:pPr>
      <w:r>
        <w:rPr>
          <w:rFonts w:ascii="宋体" w:hAnsi="宋体" w:hint="eastAsia"/>
          <w:szCs w:val="21"/>
        </w:rPr>
        <w:t>3.2 “政府集中采购机构”</w:t>
      </w:r>
      <w:r>
        <w:rPr>
          <w:rFonts w:ascii="Arial" w:hAnsi="Arial" w:cs="Arial" w:hint="eastAsia"/>
          <w:szCs w:val="21"/>
          <w:shd w:val="clear" w:color="auto" w:fill="FFFFFF"/>
        </w:rPr>
        <w:t>是指市政府设立的，组织实施政府采购项目，并对政府采购活动提供服务的专门机构；</w:t>
      </w:r>
      <w:r>
        <w:rPr>
          <w:rFonts w:ascii="宋体" w:hAnsi="宋体" w:hint="eastAsia"/>
          <w:szCs w:val="21"/>
        </w:rPr>
        <w:t>本文件所述的“政府集中采购机构”</w:t>
      </w:r>
      <w:r>
        <w:rPr>
          <w:rFonts w:ascii="宋体" w:hAnsi="宋体"/>
          <w:szCs w:val="21"/>
        </w:rPr>
        <w:t>指</w:t>
      </w:r>
      <w:r>
        <w:rPr>
          <w:rFonts w:ascii="宋体" w:hAnsi="宋体" w:hint="eastAsia"/>
          <w:b/>
          <w:bCs/>
          <w:szCs w:val="21"/>
        </w:rPr>
        <w:t>深圳公共资源交易中心</w:t>
      </w:r>
      <w:r>
        <w:rPr>
          <w:rFonts w:ascii="宋体" w:hAnsi="宋体" w:hint="eastAsia"/>
          <w:szCs w:val="21"/>
        </w:rPr>
        <w:t>；</w:t>
      </w:r>
    </w:p>
    <w:p>
      <w:pPr>
        <w:ind w:firstLine="412" w:firstLineChars="196"/>
        <w:rPr>
          <w:rFonts w:ascii="宋体" w:hAnsi="宋体"/>
          <w:szCs w:val="21"/>
        </w:rPr>
      </w:pPr>
      <w:r>
        <w:rPr>
          <w:rFonts w:ascii="宋体" w:hAnsi="宋体" w:hint="eastAsia"/>
          <w:szCs w:val="21"/>
        </w:rPr>
        <w:t>3.3“投标人”，即供应商，指参加投标竞争并愿意按照招标文件要求向采购人提供货物、工程或者服务的依法成立的法人、其他组织或者自然人；</w:t>
      </w:r>
    </w:p>
    <w:p>
      <w:pPr>
        <w:ind w:firstLine="412" w:firstLineChars="196"/>
        <w:rPr>
          <w:rFonts w:ascii="宋体" w:hAnsi="宋体"/>
          <w:szCs w:val="21"/>
        </w:rPr>
      </w:pPr>
      <w:r>
        <w:rPr>
          <w:rFonts w:ascii="宋体" w:hAnsi="宋体" w:hint="eastAsia"/>
          <w:szCs w:val="21"/>
        </w:rPr>
        <w:t>3.4“中标候选人”即“候选中标供应商”；</w:t>
      </w:r>
    </w:p>
    <w:p>
      <w:pPr>
        <w:ind w:firstLine="412" w:firstLineChars="196"/>
        <w:rPr>
          <w:rFonts w:ascii="宋体" w:hAnsi="宋体"/>
          <w:szCs w:val="21"/>
        </w:rPr>
      </w:pPr>
      <w:r>
        <w:rPr>
          <w:rFonts w:ascii="宋体" w:hAnsi="宋体" w:hint="eastAsia"/>
          <w:szCs w:val="21"/>
        </w:rPr>
        <w:t>3.5“评审委员会”是依据《深圳经济特区政府采购条例》、《深圳经济特区政府采购条例实施细则》等有关规定组建的专门负责本次招标其评审工作的临时性机构；</w:t>
      </w:r>
    </w:p>
    <w:p>
      <w:pPr>
        <w:ind w:firstLine="412" w:firstLineChars="196"/>
        <w:rPr>
          <w:rFonts w:ascii="宋体" w:hAnsi="宋体"/>
          <w:szCs w:val="21"/>
        </w:rPr>
      </w:pPr>
      <w:r>
        <w:rPr>
          <w:rFonts w:ascii="宋体" w:hAnsi="宋体" w:hint="eastAsia"/>
          <w:szCs w:val="21"/>
        </w:rPr>
        <w:t>3.6“日期”指公历日；</w:t>
      </w:r>
    </w:p>
    <w:p>
      <w:pPr>
        <w:ind w:firstLine="412" w:firstLineChars="196"/>
        <w:rPr>
          <w:rFonts w:ascii="宋体" w:hAnsi="宋体"/>
          <w:szCs w:val="21"/>
        </w:rPr>
      </w:pPr>
      <w:r>
        <w:rPr>
          <w:rFonts w:ascii="宋体" w:hAnsi="宋体" w:hint="eastAsia"/>
          <w:szCs w:val="21"/>
        </w:rPr>
        <w:t>3.7“合同”指由本次招标所产生的合同或合约文件；</w:t>
      </w:r>
    </w:p>
    <w:p>
      <w:pPr>
        <w:ind w:firstLine="412" w:firstLineChars="196"/>
        <w:rPr>
          <w:rFonts w:ascii="宋体" w:hAnsi="宋体"/>
          <w:szCs w:val="21"/>
        </w:rPr>
      </w:pPr>
      <w:r>
        <w:rPr>
          <w:rFonts w:ascii="宋体" w:hAnsi="宋体" w:hint="eastAsia"/>
          <w:szCs w:val="21"/>
        </w:rPr>
        <w:t>3.8“电子投标文件”指利用深圳公共资源交易中心（深圳交易集团有限公司政府采购业务分公司）网站提供的深圳智慧采购平台投标文件制作专用软件（以下简称：投标文件制作软件）制作并加密的投标文件,适用于网上投标；（投标文件制作软件可从“下载地址：http://zfcg.szggzy.com:8081/cgxy/013002/20210923/173e0b2c-7a4c-4246-a0c7-e0ea75d84dd6.html”下载）；</w:t>
      </w:r>
    </w:p>
    <w:p>
      <w:pPr>
        <w:ind w:firstLine="412" w:firstLineChars="196"/>
        <w:rPr>
          <w:rFonts w:ascii="宋体" w:hAnsi="宋体"/>
          <w:szCs w:val="21"/>
        </w:rPr>
      </w:pPr>
      <w:r>
        <w:rPr>
          <w:rFonts w:ascii="宋体" w:hAnsi="宋体" w:hint="eastAsia"/>
          <w:szCs w:val="21"/>
        </w:rPr>
        <w:t>3.9“网上投标”指通过深圳公共资源交易中心（深圳交易集团有限公司政府采购业务分公司）网站上传电子投标文件；</w:t>
      </w:r>
    </w:p>
    <w:p>
      <w:pPr>
        <w:ind w:firstLine="412" w:firstLineChars="196"/>
        <w:rPr>
          <w:rFonts w:ascii="宋体" w:hAnsi="宋体"/>
          <w:szCs w:val="21"/>
        </w:rPr>
      </w:pPr>
      <w:r>
        <w:rPr>
          <w:rFonts w:ascii="宋体" w:hAnsi="宋体" w:hint="eastAsia"/>
          <w:szCs w:val="21"/>
        </w:rPr>
        <w:t>3.10招标文件中的标题或题名仅起引导作用，而不应视为对招标文件内容的理解和解释。</w:t>
      </w:r>
    </w:p>
    <w:p>
      <w:pPr>
        <w:outlineLvl w:val="1"/>
        <w:rPr>
          <w:rFonts w:ascii="黑体" w:eastAsia="黑体" w:hAnsi="宋体"/>
          <w:sz w:val="24"/>
        </w:rPr>
      </w:pPr>
      <w:r>
        <w:rPr>
          <w:rFonts w:ascii="黑体" w:eastAsia="黑体" w:hAnsi="宋体" w:hint="eastAsia"/>
          <w:sz w:val="24"/>
        </w:rPr>
        <w:t xml:space="preserve">4. </w:t>
      </w:r>
      <w:bookmarkStart w:id="49" w:name="_Hlk72398643"/>
      <w:r>
        <w:rPr>
          <w:rFonts w:ascii="黑体" w:eastAsia="黑体" w:hAnsi="宋体" w:hint="eastAsia"/>
          <w:sz w:val="24"/>
        </w:rPr>
        <w:t>政府采购供应商责任</w:t>
      </w:r>
    </w:p>
    <w:p>
      <w:pPr>
        <w:ind w:firstLine="412" w:firstLineChars="196"/>
        <w:rPr>
          <w:rFonts w:ascii="宋体" w:hAnsi="宋体"/>
          <w:szCs w:val="21"/>
        </w:rPr>
      </w:pPr>
      <w:r>
        <w:rPr>
          <w:rFonts w:ascii="宋体" w:hAnsi="宋体" w:hint="eastAsia"/>
          <w:szCs w:val="21"/>
        </w:rPr>
        <w:t>4.1欢迎诚信、有实力和有社会责任心的供应商参与政府采购事业。</w:t>
      </w:r>
    </w:p>
    <w:p>
      <w:pPr>
        <w:ind w:firstLine="412" w:firstLineChars="196"/>
        <w:rPr>
          <w:rFonts w:ascii="宋体" w:hAnsi="宋体"/>
          <w:szCs w:val="21"/>
        </w:rPr>
      </w:pPr>
      <w:r>
        <w:rPr>
          <w:rFonts w:ascii="宋体" w:hAnsi="宋体" w:hint="eastAsia"/>
          <w:szCs w:val="21"/>
        </w:rPr>
        <w:t>4.2投标人应当遵循公平竞争的原则，不得恶意串通，不得妨碍其他投标人的竞争行为，不得损害采购人或者其他投标人的合法权益。如违反上述要求，经核实后，供应商的投标无效。</w:t>
      </w:r>
    </w:p>
    <w:p>
      <w:pPr>
        <w:outlineLvl w:val="1"/>
        <w:rPr>
          <w:rFonts w:ascii="黑体" w:eastAsia="黑体" w:hAnsi="宋体"/>
          <w:sz w:val="24"/>
        </w:rPr>
      </w:pPr>
      <w:r>
        <w:rPr>
          <w:rFonts w:ascii="黑体" w:eastAsia="黑体" w:hAnsi="宋体" w:hint="eastAsia"/>
          <w:sz w:val="24"/>
        </w:rPr>
        <w:t>5．投标人参加政府采购的条件</w:t>
      </w:r>
    </w:p>
    <w:p>
      <w:pPr>
        <w:ind w:firstLine="412" w:firstLineChars="196"/>
        <w:rPr>
          <w:rFonts w:ascii="宋体" w:hAnsi="宋体"/>
          <w:szCs w:val="21"/>
        </w:rPr>
      </w:pPr>
      <w:r>
        <w:rPr>
          <w:rFonts w:ascii="宋体" w:hAnsi="宋体" w:hint="eastAsia"/>
          <w:szCs w:val="21"/>
        </w:rPr>
        <w:t>5.1投标人应在投标前到</w:t>
      </w:r>
      <w:r>
        <w:rPr>
          <w:rFonts w:ascii="宋体" w:hAnsi="宋体" w:hint="eastAsia"/>
          <w:b/>
          <w:bCs/>
          <w:szCs w:val="21"/>
        </w:rPr>
        <w:t>深圳公共资源交易中心（具体在深圳交易集团有限公司政府采购业务分公司进行办理）</w:t>
      </w:r>
      <w:r>
        <w:rPr>
          <w:rFonts w:ascii="宋体" w:hAnsi="宋体" w:hint="eastAsia"/>
          <w:szCs w:val="21"/>
        </w:rPr>
        <w:t>进行注册并办理电子密钥。《</w:t>
      </w:r>
      <w:r>
        <w:fldChar w:fldCharType="begin"/>
      </w:r>
      <w:r>
        <w:instrText xml:space="preserve"> HYPERLINK "http://www.szzfcg.cn/viewer.do?id=2455258" \t "documentViewer2455258" </w:instrText>
      </w:r>
      <w:r>
        <w:fldChar w:fldCharType="separate"/>
      </w:r>
      <w:r>
        <w:rPr>
          <w:rFonts w:ascii="宋体" w:hAnsi="宋体"/>
          <w:szCs w:val="21"/>
        </w:rPr>
        <w:t>供应商注册及电子密钥新申请指引</w:t>
      </w:r>
      <w:r>
        <w:rPr>
          <w:rFonts w:ascii="宋体" w:hAnsi="宋体"/>
          <w:szCs w:val="21"/>
        </w:rPr>
        <w:fldChar w:fldCharType="end"/>
      </w:r>
      <w:r>
        <w:rPr>
          <w:rFonts w:ascii="宋体" w:hAnsi="宋体" w:hint="eastAsia"/>
          <w:szCs w:val="21"/>
        </w:rPr>
        <w:t>》详见</w:t>
      </w:r>
      <w:r>
        <w:rPr>
          <w:rFonts w:hint="eastAsia"/>
        </w:rPr>
        <w:t>http://zfcg.szggzy.com:8081/</w:t>
      </w:r>
      <w:r>
        <w:rPr>
          <w:rFonts w:ascii="宋体" w:hAnsi="宋体" w:hint="eastAsia"/>
          <w:szCs w:val="21"/>
        </w:rPr>
        <w:t>。</w:t>
      </w:r>
    </w:p>
    <w:p>
      <w:pPr>
        <w:ind w:firstLine="412" w:firstLineChars="196"/>
        <w:rPr>
          <w:rFonts w:ascii="宋体" w:hAnsi="宋体"/>
          <w:szCs w:val="21"/>
        </w:rPr>
      </w:pPr>
      <w:r>
        <w:rPr>
          <w:rFonts w:ascii="宋体" w:hAnsi="宋体" w:hint="eastAsia"/>
          <w:szCs w:val="21"/>
        </w:rPr>
        <w:t>5.2投标人资格要求</w:t>
      </w:r>
    </w:p>
    <w:p>
      <w:pPr>
        <w:ind w:firstLine="412" w:firstLineChars="196"/>
        <w:rPr>
          <w:rFonts w:ascii="宋体" w:hAnsi="宋体"/>
          <w:szCs w:val="21"/>
        </w:rPr>
      </w:pPr>
      <w:r>
        <w:rPr>
          <w:rFonts w:ascii="宋体" w:hAnsi="宋体" w:hint="eastAsia"/>
          <w:szCs w:val="21"/>
        </w:rPr>
        <w:t>参加本项目的投标人应具备的资格条件详见本项目招标公告中 “投标人资格要求”（即申请人的资格要求）的内容。</w:t>
      </w:r>
    </w:p>
    <w:p>
      <w:pPr>
        <w:ind w:firstLine="412" w:firstLineChars="196"/>
        <w:rPr>
          <w:rFonts w:ascii="宋体" w:hAnsi="宋体"/>
          <w:szCs w:val="21"/>
        </w:rPr>
      </w:pPr>
      <w:r>
        <w:rPr>
          <w:rFonts w:ascii="宋体" w:hAnsi="宋体" w:hint="eastAsia"/>
          <w:szCs w:val="21"/>
        </w:rPr>
        <w:t>5.3联合体投标</w:t>
      </w:r>
    </w:p>
    <w:p>
      <w:pPr>
        <w:ind w:firstLine="412" w:firstLineChars="196"/>
        <w:rPr>
          <w:rFonts w:ascii="宋体" w:hAnsi="宋体"/>
          <w:szCs w:val="21"/>
        </w:rPr>
      </w:pPr>
      <w:r>
        <w:rPr>
          <w:rFonts w:ascii="宋体" w:hAnsi="宋体" w:hint="eastAsia"/>
          <w:szCs w:val="21"/>
        </w:rPr>
        <w:t>5.3.1　以下有关联合体投标的条款仅适用于允许投标人组成联合体投标的项目。</w:t>
      </w:r>
    </w:p>
    <w:p>
      <w:pPr>
        <w:ind w:firstLine="412" w:firstLineChars="196"/>
        <w:rPr>
          <w:rFonts w:ascii="宋体" w:hAnsi="宋体"/>
          <w:szCs w:val="21"/>
        </w:rPr>
      </w:pPr>
      <w:r>
        <w:rPr>
          <w:rFonts w:ascii="宋体" w:hAnsi="宋体" w:hint="eastAsia"/>
          <w:szCs w:val="21"/>
        </w:rPr>
        <w:t>5.3.2  由两个或两个以上的自然人、法人或者其他组织可以组成一个联合体，以一个供应商的身份共同投标时，应符合以下原则：</w:t>
      </w:r>
    </w:p>
    <w:p>
      <w:pPr>
        <w:ind w:firstLine="412" w:firstLineChars="196"/>
        <w:rPr>
          <w:rFonts w:ascii="宋体" w:hAnsi="宋体"/>
        </w:rPr>
      </w:pPr>
      <w:r>
        <w:rPr>
          <w:rFonts w:ascii="宋体" w:hAnsi="宋体" w:hint="eastAsia"/>
        </w:rPr>
        <w:t>（1）投标联合体各方参加政府采购活动应当具备下列条件：</w:t>
      </w:r>
    </w:p>
    <w:p>
      <w:pPr>
        <w:ind w:left="420" w:firstLine="412" w:leftChars="200" w:firstLineChars="196"/>
        <w:rPr>
          <w:rFonts w:ascii="宋体" w:hAnsi="宋体"/>
        </w:rPr>
      </w:pPr>
      <w:r>
        <w:rPr>
          <w:rFonts w:ascii="宋体" w:hAnsi="宋体" w:hint="eastAsia"/>
        </w:rPr>
        <w:t>1、具有独立承担民事责任的能力；</w:t>
      </w:r>
    </w:p>
    <w:p>
      <w:pPr>
        <w:ind w:left="420" w:firstLine="412" w:firstLineChars="196"/>
        <w:rPr>
          <w:rFonts w:ascii="宋体" w:hAnsi="宋体"/>
        </w:rPr>
      </w:pPr>
      <w:r>
        <w:rPr>
          <w:rFonts w:ascii="宋体" w:hAnsi="宋体" w:hint="eastAsia"/>
        </w:rPr>
        <w:t>2、有良好的商业信誉和健全的财务会计制度；</w:t>
      </w:r>
    </w:p>
    <w:p>
      <w:pPr>
        <w:ind w:left="420" w:firstLine="412" w:leftChars="200" w:firstLineChars="196"/>
        <w:rPr>
          <w:rFonts w:ascii="宋体" w:hAnsi="宋体"/>
        </w:rPr>
      </w:pPr>
      <w:r>
        <w:rPr>
          <w:rFonts w:ascii="宋体" w:hAnsi="宋体" w:hint="eastAsia"/>
        </w:rPr>
        <w:t>3、具有履行合同所必需的设备和专业技术能力；</w:t>
      </w:r>
    </w:p>
    <w:p>
      <w:pPr>
        <w:ind w:left="420" w:firstLine="412" w:leftChars="200" w:firstLineChars="196"/>
        <w:rPr>
          <w:rFonts w:ascii="宋体" w:hAnsi="宋体"/>
        </w:rPr>
      </w:pPr>
      <w:r>
        <w:rPr>
          <w:rFonts w:ascii="宋体" w:hAnsi="宋体" w:hint="eastAsia"/>
        </w:rPr>
        <w:t>4、有依法缴纳税收和社会保障资金的良好记录；</w:t>
      </w:r>
    </w:p>
    <w:p>
      <w:pPr>
        <w:ind w:left="420" w:firstLine="412" w:leftChars="200" w:firstLineChars="196"/>
        <w:rPr>
          <w:rFonts w:ascii="宋体" w:hAnsi="宋体"/>
        </w:rPr>
      </w:pPr>
      <w:r>
        <w:rPr>
          <w:rFonts w:ascii="宋体" w:hAnsi="宋体" w:hint="eastAsia"/>
        </w:rPr>
        <w:t>5、参加政府采购活动前三年内，在经营活动中没有重大违法记录；</w:t>
      </w:r>
    </w:p>
    <w:p>
      <w:pPr>
        <w:ind w:left="420" w:firstLine="412" w:leftChars="200" w:firstLineChars="196"/>
        <w:rPr>
          <w:rFonts w:ascii="宋体" w:hAnsi="宋体"/>
        </w:rPr>
      </w:pPr>
      <w:r>
        <w:rPr>
          <w:rFonts w:ascii="宋体" w:hAnsi="宋体" w:hint="eastAsia"/>
        </w:rPr>
        <w:t>6、法律、行政法规规定的其他条件。</w:t>
      </w:r>
    </w:p>
    <w:p>
      <w:pPr>
        <w:ind w:firstLine="412" w:firstLineChars="196"/>
        <w:rPr>
          <w:rFonts w:ascii="宋体" w:hAnsi="宋体"/>
        </w:rPr>
      </w:pPr>
      <w:r>
        <w:rPr>
          <w:rFonts w:ascii="宋体" w:hAnsi="宋体" w:hint="eastAsia"/>
        </w:rPr>
        <w:t>（2）在投标截止前，投标联合体各方均应注册成政府集中采购机构供应商；</w:t>
      </w:r>
    </w:p>
    <w:p>
      <w:pPr>
        <w:ind w:firstLine="412" w:firstLineChars="196"/>
        <w:rPr>
          <w:rFonts w:ascii="宋体" w:hAnsi="宋体"/>
        </w:rPr>
      </w:pPr>
      <w:r>
        <w:rPr>
          <w:rFonts w:ascii="宋体" w:hAnsi="宋体" w:hint="eastAsia"/>
        </w:rPr>
        <w:t>（3）联合体中有同类资质的供应商按照联合体分工承担相同工作的，应当按照资质等级较低的供应商确定资质等级；</w:t>
      </w:r>
    </w:p>
    <w:p>
      <w:pPr>
        <w:ind w:firstLine="412" w:firstLineChars="196"/>
      </w:pPr>
      <w:r>
        <w:rPr>
          <w:rFonts w:hint="eastAsia"/>
        </w:rPr>
        <w:t>（4）是否允许联合体参加投标，应当由采购人和采购代理机构根据项目的实际情况和潜在供应商的数量自主决定，如果决定接受联合体投标则应当在招标公告中明示；</w:t>
      </w:r>
    </w:p>
    <w:p>
      <w:pPr>
        <w:ind w:firstLine="412" w:firstLineChars="196"/>
        <w:rPr>
          <w:rFonts w:ascii="宋体" w:hAnsi="宋体"/>
        </w:rPr>
      </w:pPr>
      <w:r>
        <w:rPr>
          <w:rFonts w:ascii="宋体" w:hAnsi="宋体" w:hint="eastAsia"/>
        </w:rPr>
        <w:t>（5）投标人的投标文件及中标后签署的合同协议对联合体各方均具法律约束力；</w:t>
      </w:r>
    </w:p>
    <w:p>
      <w:pPr>
        <w:ind w:firstLine="412" w:firstLineChars="196"/>
        <w:rPr>
          <w:rFonts w:ascii="宋体" w:hAnsi="宋体"/>
        </w:rPr>
      </w:pPr>
      <w:r>
        <w:rPr>
          <w:rFonts w:ascii="宋体" w:hAnsi="宋体" w:hint="eastAsia"/>
        </w:rPr>
        <w:t>（6）联合体各方应当签订联合体投标协议，明确约定各方拟承担的工作和责任，并将该协议随投标文件一并递交给政府集中采购机构；</w:t>
      </w:r>
    </w:p>
    <w:p>
      <w:pPr>
        <w:ind w:firstLine="412" w:firstLineChars="196"/>
        <w:rPr>
          <w:rFonts w:ascii="宋体" w:hAnsi="宋体"/>
        </w:rPr>
      </w:pPr>
      <w:r>
        <w:rPr>
          <w:rFonts w:ascii="宋体" w:hAnsi="宋体" w:hint="eastAsia"/>
        </w:rPr>
        <w:t>（7）联合体中标后，联合体各方应当共同与采购人签订合同，就中标项目向采购人承担连带责任；</w:t>
      </w:r>
    </w:p>
    <w:p>
      <w:pPr>
        <w:ind w:firstLine="412" w:firstLineChars="196"/>
        <w:rPr>
          <w:rFonts w:ascii="宋体" w:hAnsi="宋体"/>
        </w:rPr>
      </w:pPr>
      <w:r>
        <w:rPr>
          <w:rFonts w:ascii="宋体" w:hAnsi="宋体" w:hint="eastAsia"/>
        </w:rPr>
        <w:t>（8）以联合体形式参加政府采购活动的，联合体各方不得再单独参加或者与其他供应商另外组成联合体参加同一合同项下的政府采购活动，出现上述情况者，其投标和与此有关联合体、总包单位的投标将被拒绝；</w:t>
      </w:r>
    </w:p>
    <w:p>
      <w:pPr>
        <w:ind w:firstLine="412" w:firstLineChars="196"/>
        <w:rPr>
          <w:rFonts w:ascii="宋体" w:hAnsi="宋体"/>
          <w:szCs w:val="21"/>
        </w:rPr>
      </w:pPr>
      <w:r>
        <w:rPr>
          <w:rFonts w:ascii="宋体" w:hAnsi="宋体" w:hint="eastAsia"/>
        </w:rPr>
        <w:t>（9）本通用条款中“投标人”一词亦指联合体各方，专用条款另有规定或说明的除外。</w:t>
      </w:r>
    </w:p>
    <w:p>
      <w:pPr>
        <w:outlineLvl w:val="1"/>
        <w:rPr>
          <w:rFonts w:ascii="黑体" w:eastAsia="黑体" w:hAnsi="宋体"/>
          <w:sz w:val="24"/>
        </w:rPr>
      </w:pPr>
      <w:r>
        <w:rPr>
          <w:rFonts w:ascii="黑体" w:eastAsia="黑体" w:hAnsi="宋体" w:hint="eastAsia"/>
          <w:sz w:val="24"/>
        </w:rPr>
        <w:t>6．政策导向</w:t>
      </w:r>
    </w:p>
    <w:p>
      <w:pPr>
        <w:ind w:firstLine="412" w:firstLineChars="196"/>
        <w:rPr>
          <w:rFonts w:ascii="宋体" w:hAnsi="宋体"/>
        </w:rPr>
      </w:pPr>
      <w:r>
        <w:rPr>
          <w:rFonts w:ascii="宋体" w:hAnsi="宋体" w:hint="eastAsia"/>
        </w:rPr>
        <w:t>6.1政府采购扶持贫困地区、中小企业、监狱企业和残疾人福利性单位发展，支持节能减排、环境保护。</w:t>
      </w:r>
    </w:p>
    <w:p>
      <w:pPr>
        <w:ind w:firstLine="405"/>
        <w:rPr>
          <w:shd w:val="clear" w:color="auto" w:fill="FFFFFF"/>
        </w:rPr>
      </w:pPr>
      <w:r>
        <w:rPr>
          <w:rFonts w:ascii="宋体" w:hAnsi="宋体" w:hint="eastAsia"/>
        </w:rPr>
        <w:t>6.2本项目落实深圳市政府采购供应商诚信管理政策要求。</w:t>
      </w:r>
    </w:p>
    <w:p>
      <w:pPr>
        <w:outlineLvl w:val="1"/>
        <w:rPr>
          <w:rFonts w:ascii="黑体" w:eastAsia="黑体" w:hAnsi="宋体"/>
          <w:sz w:val="24"/>
        </w:rPr>
      </w:pPr>
      <w:r>
        <w:rPr>
          <w:rFonts w:ascii="黑体" w:eastAsia="黑体" w:hAnsi="宋体" w:hint="eastAsia"/>
          <w:sz w:val="24"/>
        </w:rPr>
        <w:t>7. 本项目若涉及采购货物，则合格的货物及相应服务应满足以下要求：</w:t>
      </w:r>
    </w:p>
    <w:p>
      <w:pPr>
        <w:ind w:firstLine="412" w:firstLineChars="196"/>
        <w:rPr>
          <w:rFonts w:ascii="宋体" w:hAnsi="宋体"/>
        </w:rPr>
      </w:pPr>
      <w:r>
        <w:rPr>
          <w:rFonts w:ascii="宋体" w:hAnsi="宋体" w:hint="eastAsia"/>
        </w:rPr>
        <w:t>7</w:t>
      </w:r>
      <w:r>
        <w:rPr>
          <w:rFonts w:ascii="宋体" w:hAnsi="宋体"/>
        </w:rPr>
        <w:t xml:space="preserve">.1  </w:t>
      </w:r>
      <w:r>
        <w:rPr>
          <w:rFonts w:ascii="宋体" w:hAnsi="宋体" w:hint="eastAsia"/>
        </w:rPr>
        <w:t>必须是全新、未使用过的原装合格正品（包括零部件），如安装或配置了软件的，须为正版软件。</w:t>
      </w:r>
    </w:p>
    <w:p>
      <w:pPr>
        <w:ind w:firstLine="412" w:firstLineChars="196"/>
        <w:rPr>
          <w:rFonts w:ascii="宋体" w:hAnsi="宋体"/>
        </w:rPr>
      </w:pPr>
      <w:r>
        <w:rPr>
          <w:rFonts w:ascii="宋体" w:hAnsi="宋体" w:hint="eastAsia"/>
        </w:rPr>
        <w:t>7.2  国产的货物及其有关服务必须符合中华人民共和国的设计、制造生产标准及行业标准。招标公告有其他要求的，亦应符合其要求。</w:t>
      </w:r>
    </w:p>
    <w:p>
      <w:pPr>
        <w:ind w:firstLine="412" w:firstLineChars="196"/>
        <w:rPr>
          <w:rFonts w:ascii="宋体" w:hAnsi="宋体"/>
        </w:rPr>
      </w:pPr>
      <w:r>
        <w:rPr>
          <w:rFonts w:ascii="宋体" w:hAnsi="宋体" w:hint="eastAsia"/>
        </w:rPr>
        <w:t>7</w:t>
      </w:r>
      <w:r>
        <w:rPr>
          <w:rFonts w:ascii="宋体" w:hAnsi="宋体"/>
        </w:rPr>
        <w:t>.</w:t>
      </w:r>
      <w:r>
        <w:rPr>
          <w:rFonts w:ascii="宋体" w:hAnsi="宋体" w:hint="eastAsia"/>
        </w:rPr>
        <w:t>3进口货物及其有关服务必须符合原产地和中华人民共和国的设计、制造生产标准及行业标准。进口的货物必须具有合法的进口手续和途径，并通过中华人民共和国商检部门检验。招标公告有其他要求的，亦应符合其要求。</w:t>
      </w:r>
    </w:p>
    <w:p>
      <w:pPr>
        <w:ind w:firstLine="412" w:firstLineChars="196"/>
        <w:rPr>
          <w:rFonts w:ascii="宋体" w:hAnsi="宋体"/>
        </w:rPr>
      </w:pPr>
      <w:r>
        <w:rPr>
          <w:rFonts w:ascii="宋体" w:hAnsi="宋体" w:hint="eastAsia"/>
        </w:rPr>
        <w:t>7</w:t>
      </w:r>
      <w:r>
        <w:rPr>
          <w:rFonts w:ascii="宋体" w:hAnsi="宋体"/>
        </w:rPr>
        <w:t>.</w:t>
      </w:r>
      <w:r>
        <w:rPr>
          <w:rFonts w:ascii="宋体" w:hAnsi="宋体" w:hint="eastAsia"/>
        </w:rPr>
        <w:t>4投标人</w:t>
      </w:r>
      <w:bookmarkStart w:id="50" w:name="_Hlk72152753"/>
      <w:r>
        <w:rPr>
          <w:rFonts w:ascii="宋体" w:hAnsi="宋体" w:hint="eastAsia"/>
        </w:rPr>
        <w:t>应保证，其所提供的货物通过合法正规渠道供货，在提供给采购人前具有完全的所有权，采购人在中华人民共和国使用该货物或货物的任何一部分时，不会产生因第三方提出的包括但不限于侵犯其专利权、商标权、工业设计权等知识产权和侵犯其所有权、抵押权等物权及其他权利而引发的纠纷。如有纠纷，投标人应承担全部责任。</w:t>
      </w:r>
      <w:bookmarkEnd w:id="50"/>
    </w:p>
    <w:p>
      <w:pPr>
        <w:ind w:firstLine="412" w:firstLineChars="196"/>
        <w:rPr>
          <w:rFonts w:ascii="宋体" w:hAnsi="宋体"/>
        </w:rPr>
      </w:pPr>
      <w:r>
        <w:rPr>
          <w:rFonts w:ascii="宋体" w:hAnsi="宋体" w:hint="eastAsia"/>
        </w:rPr>
        <w:t>7.5  投标人应保证，其所提供的货物符合国家强制性标准要求；符合相关行业标准（如具备行政主管部门颁发的资质证书或国家质量监督部门的产品《检验报告》等）。设备到货验收时，还必须提供设备的产品合格证、质量保证文件。若中标后，除非另有约定，投标人必须按合同规定完成设备的安装，并达到验收标准。</w:t>
      </w:r>
    </w:p>
    <w:p>
      <w:pPr>
        <w:ind w:firstLine="412" w:firstLineChars="196"/>
        <w:rPr>
          <w:rFonts w:ascii="宋体" w:hAnsi="宋体"/>
        </w:rPr>
      </w:pPr>
      <w:r>
        <w:rPr>
          <w:rFonts w:ascii="宋体" w:hAnsi="宋体" w:hint="eastAsia"/>
        </w:rPr>
        <w:t>7.6  工期要求：投标人在投标时对其所投项目应提交交货进度、交货计划等，在合同规定的时间内完成项目实施工作。</w:t>
      </w:r>
    </w:p>
    <w:p>
      <w:pPr>
        <w:ind w:firstLine="412" w:firstLineChars="196"/>
        <w:rPr>
          <w:rFonts w:ascii="宋体" w:hAnsi="宋体"/>
        </w:rPr>
      </w:pPr>
      <w:r>
        <w:rPr>
          <w:rFonts w:ascii="宋体" w:hAnsi="宋体" w:hint="eastAsia"/>
        </w:rPr>
        <w:t>7.7  投标人必须承担的设备运输、安装调试、验收检测和提供设备操作说明书、图纸等其他相关及类似的义务。</w:t>
      </w:r>
    </w:p>
    <w:p>
      <w:pPr>
        <w:outlineLvl w:val="1"/>
        <w:rPr>
          <w:rFonts w:ascii="黑体" w:eastAsia="黑体" w:hAnsi="宋体"/>
          <w:sz w:val="24"/>
        </w:rPr>
      </w:pPr>
      <w:r>
        <w:rPr>
          <w:rFonts w:ascii="黑体" w:eastAsia="黑体" w:hAnsi="宋体" w:hint="eastAsia"/>
          <w:sz w:val="24"/>
        </w:rPr>
        <w:t>8．投标费用</w:t>
      </w:r>
    </w:p>
    <w:p>
      <w:pPr>
        <w:ind w:firstLine="412" w:firstLineChars="196"/>
        <w:rPr>
          <w:rFonts w:ascii="宋体" w:hAnsi="宋体"/>
          <w:szCs w:val="21"/>
        </w:rPr>
      </w:pPr>
      <w:r>
        <w:rPr>
          <w:rFonts w:ascii="宋体" w:hAnsi="宋体" w:hint="eastAsia"/>
          <w:szCs w:val="21"/>
        </w:rPr>
        <w:t>不论投标结果如何，投标人应承担其编制投标文件与递交投标文件所涉及的一切费用。</w:t>
      </w:r>
    </w:p>
    <w:p>
      <w:pPr>
        <w:outlineLvl w:val="1"/>
        <w:rPr>
          <w:rFonts w:ascii="黑体" w:eastAsia="黑体" w:hAnsi="宋体"/>
          <w:sz w:val="24"/>
        </w:rPr>
      </w:pPr>
      <w:r>
        <w:rPr>
          <w:rFonts w:ascii="黑体" w:eastAsia="黑体" w:hAnsi="宋体" w:hint="eastAsia"/>
          <w:sz w:val="24"/>
        </w:rPr>
        <w:t>9．踏勘现场</w:t>
      </w:r>
    </w:p>
    <w:p>
      <w:pPr>
        <w:ind w:firstLine="412" w:firstLineChars="196"/>
        <w:rPr>
          <w:rFonts w:ascii="宋体" w:hAnsi="宋体"/>
          <w:szCs w:val="21"/>
        </w:rPr>
      </w:pPr>
      <w:r>
        <w:rPr>
          <w:rFonts w:ascii="宋体" w:hAnsi="宋体" w:hint="eastAsia"/>
          <w:szCs w:val="21"/>
        </w:rPr>
        <w:t>9.1如有需要（详见专用条款），采购人或政府集中采购机构将组织投标人对项目现场及周围环境进行踏勘，以便投标人获取有关编制投标文件和签署合同所需的资料。踏勘现场所发生的费用由投标人自行承担。投标人应按招标文件所约定的时间、地点踏勘现场。</w:t>
      </w:r>
    </w:p>
    <w:p>
      <w:pPr>
        <w:ind w:firstLine="412" w:firstLineChars="196"/>
        <w:rPr>
          <w:rFonts w:ascii="宋体" w:hAnsi="宋体"/>
        </w:rPr>
      </w:pPr>
      <w:r>
        <w:rPr>
          <w:rFonts w:ascii="宋体" w:hAnsi="宋体" w:hint="eastAsia"/>
        </w:rPr>
        <w:t>9.2投标人及其人员经过采购人的允许，可以进入采购人的项目现场踏勘。若招标文件要求投标人于统一时间地点踏勘现场的，投标人应当按时前往。</w:t>
      </w:r>
    </w:p>
    <w:p>
      <w:pPr>
        <w:ind w:firstLine="412" w:firstLineChars="196"/>
        <w:rPr>
          <w:rFonts w:ascii="宋体" w:hAnsi="宋体"/>
        </w:rPr>
      </w:pPr>
      <w:r>
        <w:rPr>
          <w:rFonts w:ascii="宋体" w:hAnsi="宋体" w:hint="eastAsia"/>
        </w:rPr>
        <w:t>9.3采购人应当通过政府集中采购机构向投标人提供有关现场的书面资料和数据。</w:t>
      </w:r>
    </w:p>
    <w:p>
      <w:pPr>
        <w:ind w:firstLine="412" w:firstLineChars="196"/>
        <w:rPr>
          <w:rFonts w:ascii="宋体" w:hAnsi="宋体"/>
        </w:rPr>
      </w:pPr>
      <w:r>
        <w:rPr>
          <w:rFonts w:ascii="宋体" w:hAnsi="宋体" w:hint="eastAsia"/>
        </w:rPr>
        <w:t>9.4任何人或任何组织在踏勘现场时向投标人提供的任何书面资料或口头承诺，未经政府集中采购机构在网上发布或书面通知，均作无效处理。</w:t>
      </w:r>
    </w:p>
    <w:p>
      <w:pPr>
        <w:ind w:firstLine="412" w:firstLineChars="196"/>
        <w:rPr>
          <w:rFonts w:ascii="宋体" w:hAnsi="宋体"/>
        </w:rPr>
      </w:pPr>
      <w:r>
        <w:rPr>
          <w:rFonts w:ascii="宋体" w:hAnsi="宋体"/>
          <w:szCs w:val="21"/>
        </w:rPr>
        <w:t>9</w:t>
      </w:r>
      <w:r>
        <w:rPr>
          <w:rFonts w:ascii="宋体" w:hAnsi="宋体" w:hint="eastAsia"/>
          <w:szCs w:val="21"/>
        </w:rPr>
        <w:t>.</w:t>
      </w:r>
      <w:r>
        <w:rPr>
          <w:rFonts w:ascii="宋体" w:hAnsi="宋体"/>
          <w:szCs w:val="21"/>
        </w:rPr>
        <w:t>5</w:t>
      </w:r>
      <w:r>
        <w:rPr>
          <w:rFonts w:ascii="宋体" w:hAnsi="宋体" w:hint="eastAsia"/>
          <w:szCs w:val="21"/>
        </w:rPr>
        <w:t>未参与踏勘现场不作为否定投标人资格的理由。</w:t>
      </w:r>
    </w:p>
    <w:p>
      <w:pPr>
        <w:outlineLvl w:val="1"/>
        <w:rPr>
          <w:rFonts w:ascii="宋体" w:hAnsi="宋体"/>
          <w:szCs w:val="21"/>
        </w:rPr>
      </w:pPr>
      <w:r>
        <w:rPr>
          <w:rFonts w:ascii="黑体" w:eastAsia="黑体" w:hAnsi="宋体" w:hint="eastAsia"/>
          <w:sz w:val="24"/>
        </w:rPr>
        <w:t>1</w:t>
      </w:r>
      <w:r>
        <w:rPr>
          <w:rFonts w:ascii="黑体" w:eastAsia="黑体" w:hAnsi="宋体"/>
          <w:sz w:val="24"/>
        </w:rPr>
        <w:t>0</w:t>
      </w:r>
      <w:r>
        <w:rPr>
          <w:rFonts w:ascii="黑体" w:eastAsia="黑体" w:hAnsi="宋体" w:hint="eastAsia"/>
          <w:sz w:val="24"/>
        </w:rPr>
        <w:t>．标前会议</w:t>
      </w:r>
    </w:p>
    <w:p>
      <w:pPr>
        <w:ind w:firstLine="412" w:firstLineChars="196"/>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1</w:t>
      </w:r>
      <w:r>
        <w:rPr>
          <w:rFonts w:ascii="宋体" w:hAnsi="宋体" w:hint="eastAsia"/>
          <w:szCs w:val="21"/>
        </w:rPr>
        <w:t>如采购人或政府集中采购机构认为有必要组织标前会议，投标人应按照招标文件规定的时间或政府集中采购机构另行书面通知（包括政府集中采购机构网站发布方式，如更正公告等）的时间和地点，参与标前会议。</w:t>
      </w:r>
    </w:p>
    <w:p>
      <w:pPr>
        <w:ind w:firstLine="412" w:firstLineChars="196"/>
        <w:rPr>
          <w:rFonts w:ascii="宋体" w:hAnsi="宋体"/>
          <w:szCs w:val="21"/>
        </w:rPr>
      </w:pPr>
      <w:r>
        <w:rPr>
          <w:rFonts w:ascii="宋体" w:hAnsi="宋体"/>
        </w:rPr>
        <w:t>10</w:t>
      </w:r>
      <w:r>
        <w:rPr>
          <w:rFonts w:ascii="宋体" w:hAnsi="宋体" w:hint="eastAsia"/>
        </w:rPr>
        <w:t>.</w:t>
      </w:r>
      <w:r>
        <w:rPr>
          <w:rFonts w:ascii="宋体" w:hAnsi="宋体"/>
        </w:rPr>
        <w:t>2</w:t>
      </w:r>
      <w:r>
        <w:rPr>
          <w:rFonts w:ascii="宋体" w:hAnsi="宋体" w:hint="eastAsia"/>
        </w:rPr>
        <w:t>任何人或任何组织在标前会议时向投标人提供的任何书面资料或口头承诺，未经政府集中采购机构在网上发布或书面通知，均作无效处理。</w:t>
      </w:r>
    </w:p>
    <w:p>
      <w:pPr>
        <w:ind w:firstLine="412" w:firstLineChars="196"/>
        <w:rPr>
          <w:rFonts w:ascii="宋体" w:hAnsi="宋体"/>
          <w:szCs w:val="21"/>
        </w:rPr>
      </w:pPr>
      <w:r>
        <w:rPr>
          <w:rFonts w:ascii="宋体" w:hAnsi="宋体" w:hint="eastAsia"/>
          <w:szCs w:val="21"/>
        </w:rPr>
        <w:t>1</w:t>
      </w:r>
      <w:r>
        <w:rPr>
          <w:rFonts w:ascii="宋体" w:hAnsi="宋体"/>
          <w:szCs w:val="21"/>
        </w:rPr>
        <w:t>0</w:t>
      </w:r>
      <w:r>
        <w:rPr>
          <w:rFonts w:ascii="宋体" w:hAnsi="宋体" w:hint="eastAsia"/>
          <w:szCs w:val="21"/>
        </w:rPr>
        <w:t>.</w:t>
      </w:r>
      <w:r>
        <w:rPr>
          <w:rFonts w:ascii="宋体" w:hAnsi="宋体"/>
          <w:szCs w:val="21"/>
        </w:rPr>
        <w:t>3</w:t>
      </w:r>
      <w:r>
        <w:rPr>
          <w:rFonts w:ascii="宋体" w:hAnsi="宋体" w:hint="eastAsia"/>
          <w:szCs w:val="21"/>
        </w:rPr>
        <w:t>未参与标前会议不作为否定投标人资格的理由。</w:t>
      </w:r>
    </w:p>
    <w:p>
      <w:pPr>
        <w:pStyle w:val="Heading2"/>
        <w:numPr>
          <w:ilvl w:val="0"/>
          <w:numId w:val="12"/>
        </w:numPr>
        <w:tabs>
          <w:tab w:val="left" w:pos="360"/>
          <w:tab w:val="clear" w:pos="720"/>
        </w:tabs>
        <w:spacing w:before="120" w:beforeLines="50" w:after="120" w:afterLines="50"/>
        <w:ind w:left="562" w:hanging="562"/>
        <w:rPr>
          <w:sz w:val="28"/>
          <w:szCs w:val="28"/>
        </w:rPr>
      </w:pPr>
      <w:bookmarkEnd w:id="49"/>
      <w:r>
        <w:rPr>
          <w:rFonts w:hint="eastAsia"/>
          <w:sz w:val="28"/>
          <w:szCs w:val="28"/>
        </w:rPr>
        <w:t>招标文件</w:t>
      </w:r>
    </w:p>
    <w:p>
      <w:pPr>
        <w:rPr>
          <w:rFonts w:ascii="黑体" w:eastAsia="黑体" w:hAnsi="宋体"/>
          <w:sz w:val="24"/>
        </w:rPr>
      </w:pPr>
      <w:r>
        <w:rPr>
          <w:rFonts w:ascii="黑体" w:eastAsia="黑体" w:hAnsi="宋体" w:hint="eastAsia"/>
          <w:sz w:val="24"/>
        </w:rPr>
        <w:t>1</w:t>
      </w:r>
      <w:r>
        <w:rPr>
          <w:rFonts w:ascii="黑体" w:eastAsia="黑体" w:hAnsi="宋体"/>
          <w:sz w:val="24"/>
        </w:rPr>
        <w:t>1</w:t>
      </w:r>
      <w:r>
        <w:rPr>
          <w:rFonts w:ascii="黑体" w:eastAsia="黑体" w:hAnsi="宋体" w:hint="eastAsia"/>
          <w:sz w:val="24"/>
        </w:rPr>
        <w:t>．</w:t>
      </w:r>
      <w:bookmarkStart w:id="51" w:name="_Hlk72399819"/>
      <w:r>
        <w:rPr>
          <w:rFonts w:ascii="黑体" w:eastAsia="黑体" w:hAnsi="宋体" w:hint="eastAsia"/>
          <w:sz w:val="24"/>
        </w:rPr>
        <w:t>招标文件的编制与组成</w:t>
      </w:r>
    </w:p>
    <w:p>
      <w:pPr>
        <w:snapToGrid w:val="0"/>
        <w:ind w:firstLine="420" w:firstLineChars="200"/>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.1招标文件除以下内容外，政府集中采购机构在招标期间发出的澄清或修改等相关公告或通知内容，均是招标文件的组成部分，对投标人起约束作用；</w:t>
      </w:r>
    </w:p>
    <w:p>
      <w:pPr>
        <w:ind w:firstLine="412" w:firstLineChars="196"/>
        <w:rPr>
          <w:rFonts w:ascii="宋体" w:hAnsi="宋体"/>
          <w:szCs w:val="21"/>
        </w:rPr>
      </w:pPr>
      <w:r>
        <w:rPr>
          <w:rFonts w:ascii="宋体" w:hAnsi="宋体" w:hint="eastAsia"/>
          <w:szCs w:val="21"/>
        </w:rPr>
        <w:t>招标文件包括下列内容：</w:t>
      </w:r>
    </w:p>
    <w:p>
      <w:pPr>
        <w:ind w:left="420" w:firstLine="412" w:leftChars="200" w:firstLineChars="196"/>
        <w:rPr>
          <w:rFonts w:ascii="宋体" w:hAnsi="宋体"/>
          <w:b/>
          <w:szCs w:val="21"/>
        </w:rPr>
      </w:pPr>
      <w:r>
        <w:rPr>
          <w:rFonts w:ascii="宋体" w:hAnsi="宋体" w:hint="eastAsia"/>
          <w:b/>
          <w:szCs w:val="21"/>
        </w:rPr>
        <w:t>第一册  专用条款</w:t>
      </w:r>
    </w:p>
    <w:p>
      <w:pPr>
        <w:ind w:left="1079" w:leftChars="514"/>
        <w:rPr>
          <w:rFonts w:ascii="宋体" w:hAnsi="宋体"/>
          <w:b/>
          <w:szCs w:val="21"/>
        </w:rPr>
      </w:pPr>
      <w:r>
        <w:rPr>
          <w:rFonts w:ascii="宋体" w:hAnsi="宋体" w:hint="eastAsia"/>
          <w:b/>
          <w:szCs w:val="21"/>
        </w:rPr>
        <w:t>关键信息</w:t>
      </w:r>
    </w:p>
    <w:p>
      <w:pPr>
        <w:ind w:left="630" w:firstLine="412" w:leftChars="300" w:firstLineChars="196"/>
        <w:outlineLvl w:val="0"/>
        <w:rPr>
          <w:rFonts w:ascii="宋体" w:hAnsi="宋体"/>
          <w:szCs w:val="21"/>
        </w:rPr>
      </w:pPr>
      <w:r>
        <w:rPr>
          <w:rFonts w:ascii="宋体" w:hAnsi="宋体" w:hint="eastAsia"/>
          <w:szCs w:val="21"/>
        </w:rPr>
        <w:t>第一章  招标公告</w:t>
      </w:r>
    </w:p>
    <w:p>
      <w:pPr>
        <w:ind w:left="630" w:firstLine="412" w:leftChars="300" w:firstLineChars="196"/>
        <w:outlineLvl w:val="0"/>
        <w:rPr>
          <w:rFonts w:ascii="宋体" w:hAnsi="宋体"/>
          <w:szCs w:val="21"/>
        </w:rPr>
      </w:pPr>
      <w:r>
        <w:rPr>
          <w:rFonts w:ascii="宋体" w:hAnsi="宋体" w:hint="eastAsia"/>
          <w:szCs w:val="21"/>
        </w:rPr>
        <w:t>第二章  对通用条款的补充内容及其他关键信息</w:t>
      </w:r>
    </w:p>
    <w:p>
      <w:pPr>
        <w:ind w:left="630" w:firstLine="412" w:leftChars="300" w:firstLineChars="196"/>
        <w:outlineLvl w:val="0"/>
        <w:rPr>
          <w:rFonts w:ascii="宋体" w:hAnsi="宋体"/>
          <w:szCs w:val="21"/>
        </w:rPr>
      </w:pPr>
      <w:r>
        <w:rPr>
          <w:rFonts w:ascii="宋体" w:hAnsi="宋体" w:hint="eastAsia"/>
          <w:szCs w:val="21"/>
        </w:rPr>
        <w:t>第三章  用户需求书</w:t>
      </w:r>
    </w:p>
    <w:p>
      <w:pPr>
        <w:ind w:left="630" w:firstLine="412" w:leftChars="300" w:firstLineChars="196"/>
        <w:outlineLvl w:val="0"/>
        <w:rPr>
          <w:rFonts w:ascii="宋体" w:hAnsi="宋体"/>
          <w:szCs w:val="21"/>
        </w:rPr>
      </w:pPr>
      <w:r>
        <w:rPr>
          <w:rFonts w:hint="eastAsia"/>
        </w:rPr>
        <w:t>第四章 投标文件格式及附件</w:t>
      </w:r>
    </w:p>
    <w:p>
      <w:pPr>
        <w:ind w:left="630" w:firstLine="412" w:leftChars="300" w:firstLineChars="196"/>
        <w:outlineLvl w:val="0"/>
        <w:rPr>
          <w:rFonts w:ascii="宋体" w:hAnsi="宋体"/>
          <w:szCs w:val="21"/>
        </w:rPr>
      </w:pPr>
      <w:r>
        <w:rPr>
          <w:rFonts w:ascii="宋体" w:hAnsi="宋体" w:hint="eastAsia"/>
          <w:szCs w:val="21"/>
        </w:rPr>
        <w:t>第五章  合同条款及格式</w:t>
      </w:r>
    </w:p>
    <w:p>
      <w:pPr>
        <w:ind w:left="420" w:firstLine="412" w:leftChars="200" w:firstLineChars="196"/>
        <w:outlineLvl w:val="0"/>
        <w:rPr>
          <w:rFonts w:ascii="宋体" w:hAnsi="宋体"/>
          <w:b/>
          <w:szCs w:val="21"/>
        </w:rPr>
      </w:pPr>
      <w:r>
        <w:rPr>
          <w:rFonts w:ascii="宋体" w:hAnsi="宋体" w:hint="eastAsia"/>
          <w:b/>
          <w:szCs w:val="21"/>
        </w:rPr>
        <w:t>第二册  通用条款</w:t>
      </w:r>
    </w:p>
    <w:p>
      <w:pPr>
        <w:ind w:left="630" w:firstLine="412" w:leftChars="300" w:firstLineChars="196"/>
        <w:outlineLvl w:val="0"/>
        <w:rPr>
          <w:rFonts w:ascii="宋体" w:hAnsi="宋体"/>
          <w:szCs w:val="21"/>
        </w:rPr>
      </w:pPr>
      <w:r>
        <w:rPr>
          <w:rFonts w:ascii="宋体" w:hAnsi="宋体" w:hint="eastAsia"/>
          <w:szCs w:val="21"/>
        </w:rPr>
        <w:t>第一章  总则</w:t>
      </w:r>
    </w:p>
    <w:p>
      <w:pPr>
        <w:ind w:left="630" w:firstLine="412" w:leftChars="300" w:firstLineChars="196"/>
        <w:outlineLvl w:val="0"/>
        <w:rPr>
          <w:rFonts w:ascii="宋体" w:hAnsi="宋体"/>
          <w:szCs w:val="21"/>
        </w:rPr>
      </w:pPr>
      <w:r>
        <w:rPr>
          <w:rFonts w:ascii="宋体" w:hAnsi="宋体" w:hint="eastAsia"/>
          <w:szCs w:val="21"/>
        </w:rPr>
        <w:t>第二章  招标文件</w:t>
      </w:r>
    </w:p>
    <w:p>
      <w:pPr>
        <w:ind w:left="630" w:firstLine="412" w:leftChars="300" w:firstLineChars="196"/>
        <w:outlineLvl w:val="0"/>
        <w:rPr>
          <w:rFonts w:ascii="宋体" w:hAnsi="宋体"/>
          <w:szCs w:val="21"/>
        </w:rPr>
      </w:pPr>
      <w:r>
        <w:rPr>
          <w:rFonts w:ascii="宋体" w:hAnsi="宋体" w:hint="eastAsia"/>
          <w:szCs w:val="21"/>
        </w:rPr>
        <w:t>第三章  投标文件的编制</w:t>
      </w:r>
    </w:p>
    <w:p>
      <w:pPr>
        <w:ind w:left="630" w:firstLine="412" w:leftChars="300" w:firstLineChars="196"/>
        <w:outlineLvl w:val="0"/>
        <w:rPr>
          <w:rFonts w:ascii="宋体" w:hAnsi="宋体"/>
          <w:szCs w:val="21"/>
        </w:rPr>
      </w:pPr>
      <w:r>
        <w:rPr>
          <w:rFonts w:ascii="宋体" w:hAnsi="宋体" w:hint="eastAsia"/>
          <w:szCs w:val="21"/>
        </w:rPr>
        <w:t>第四章  投标文件的递交</w:t>
      </w:r>
    </w:p>
    <w:p>
      <w:pPr>
        <w:ind w:left="630" w:firstLine="412" w:leftChars="300" w:firstLineChars="196"/>
        <w:outlineLvl w:val="0"/>
        <w:rPr>
          <w:rFonts w:ascii="宋体" w:hAnsi="宋体"/>
          <w:szCs w:val="21"/>
        </w:rPr>
      </w:pPr>
      <w:r>
        <w:rPr>
          <w:rFonts w:ascii="宋体" w:hAnsi="宋体" w:hint="eastAsia"/>
          <w:szCs w:val="21"/>
        </w:rPr>
        <w:t>第五章  开标</w:t>
      </w:r>
    </w:p>
    <w:p>
      <w:pPr>
        <w:ind w:left="630" w:firstLine="412" w:leftChars="300" w:firstLineChars="196"/>
        <w:outlineLvl w:val="0"/>
        <w:rPr>
          <w:rFonts w:ascii="宋体" w:hAnsi="宋体"/>
          <w:szCs w:val="21"/>
        </w:rPr>
      </w:pPr>
      <w:r>
        <w:rPr>
          <w:rFonts w:ascii="宋体" w:hAnsi="宋体" w:hint="eastAsia"/>
          <w:szCs w:val="21"/>
        </w:rPr>
        <w:t>第六章  评审要求</w:t>
      </w:r>
    </w:p>
    <w:p>
      <w:pPr>
        <w:ind w:left="630" w:firstLine="412" w:leftChars="300" w:firstLineChars="196"/>
        <w:outlineLvl w:val="0"/>
        <w:rPr>
          <w:rFonts w:ascii="宋体" w:hAnsi="宋体"/>
          <w:szCs w:val="21"/>
        </w:rPr>
      </w:pPr>
      <w:r>
        <w:rPr>
          <w:rFonts w:ascii="宋体" w:hAnsi="宋体" w:hint="eastAsia"/>
          <w:szCs w:val="21"/>
        </w:rPr>
        <w:t>第七章  评审程序及评审方法</w:t>
      </w:r>
    </w:p>
    <w:p>
      <w:pPr>
        <w:ind w:left="630" w:firstLine="412" w:leftChars="300" w:firstLineChars="196"/>
        <w:outlineLvl w:val="0"/>
        <w:rPr>
          <w:rFonts w:ascii="宋体" w:hAnsi="宋体"/>
          <w:szCs w:val="21"/>
        </w:rPr>
      </w:pPr>
      <w:r>
        <w:rPr>
          <w:rFonts w:ascii="宋体" w:hAnsi="宋体" w:hint="eastAsia"/>
          <w:szCs w:val="21"/>
        </w:rPr>
        <w:t>第八章  定标及公示</w:t>
      </w:r>
    </w:p>
    <w:p>
      <w:pPr>
        <w:ind w:left="630" w:firstLine="412" w:leftChars="300" w:firstLineChars="196"/>
        <w:outlineLvl w:val="0"/>
        <w:rPr>
          <w:rFonts w:ascii="宋体" w:hAnsi="宋体"/>
          <w:szCs w:val="21"/>
        </w:rPr>
      </w:pPr>
      <w:r>
        <w:rPr>
          <w:rFonts w:ascii="宋体" w:hAnsi="宋体" w:hint="eastAsia"/>
          <w:szCs w:val="21"/>
        </w:rPr>
        <w:t>第九章  公开招标失败的后续处理</w:t>
      </w:r>
    </w:p>
    <w:p>
      <w:pPr>
        <w:ind w:left="630" w:firstLine="412" w:leftChars="300" w:firstLineChars="196"/>
        <w:outlineLvl w:val="0"/>
        <w:rPr>
          <w:rFonts w:ascii="宋体" w:hAnsi="宋体"/>
          <w:szCs w:val="21"/>
        </w:rPr>
      </w:pPr>
      <w:r>
        <w:rPr>
          <w:rFonts w:ascii="宋体" w:hAnsi="宋体" w:hint="eastAsia"/>
          <w:szCs w:val="21"/>
        </w:rPr>
        <w:t>第十章  合同的授予与备案</w:t>
      </w:r>
    </w:p>
    <w:p>
      <w:pPr>
        <w:ind w:left="630" w:firstLine="412" w:leftChars="300" w:firstLineChars="196"/>
        <w:outlineLvl w:val="0"/>
        <w:rPr>
          <w:rFonts w:ascii="宋体" w:hAnsi="宋体"/>
          <w:szCs w:val="21"/>
        </w:rPr>
      </w:pPr>
      <w:r>
        <w:rPr>
          <w:rFonts w:ascii="宋体" w:hAnsi="宋体" w:hint="eastAsia"/>
          <w:szCs w:val="21"/>
        </w:rPr>
        <w:t>第十一章  质疑处理</w:t>
      </w:r>
    </w:p>
    <w:p>
      <w:pPr>
        <w:ind w:firstLine="412" w:firstLineChars="196"/>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.2 投标人下载招标文件后，应仔细检查招标文件的所有内容，如有疑问应在答疑截止时间之前向政府集中采购机构提出，否则，由此引起的投标损失自负；投标人同时应认真审阅招标文件所有的事项、格式、条款和规范要求等，如果投标人的投标文件未按招标文件要求提交全部资料或者投标文件未对招标文件做出实质性响应，其风险由投标人自行承担。</w:t>
      </w:r>
    </w:p>
    <w:p>
      <w:pPr>
        <w:ind w:firstLine="412" w:firstLineChars="196"/>
        <w:rPr>
          <w:rFonts w:ascii="宋体" w:hAnsi="宋体"/>
          <w:szCs w:val="21"/>
        </w:rPr>
      </w:pPr>
      <w:r>
        <w:rPr>
          <w:rFonts w:ascii="宋体" w:hAnsi="宋体" w:hint="eastAsia"/>
          <w:szCs w:val="21"/>
        </w:rPr>
        <w:t>1</w:t>
      </w:r>
      <w:r>
        <w:rPr>
          <w:rFonts w:ascii="宋体" w:hAnsi="宋体"/>
          <w:szCs w:val="21"/>
        </w:rPr>
        <w:t>1</w:t>
      </w:r>
      <w:r>
        <w:rPr>
          <w:rFonts w:ascii="宋体" w:hAnsi="宋体" w:hint="eastAsia"/>
          <w:szCs w:val="21"/>
        </w:rPr>
        <w:t>.3</w:t>
      </w:r>
      <w:r>
        <w:rPr>
          <w:rFonts w:ascii="宋体" w:hAnsi="宋体" w:hint="eastAsia"/>
        </w:rPr>
        <w:t>任何人或任何组织向投标人提交的任何书面或口头资料，未经政府集中采购机构在网上发布或书面通知，均作无效处理，不得作为招标文件的组成部分。政府集中采购机构对投标人由此而做出的推论、理解和结论概不负责。</w:t>
      </w:r>
    </w:p>
    <w:p>
      <w:pPr>
        <w:rPr>
          <w:rFonts w:ascii="黑体" w:eastAsia="黑体" w:hAnsi="宋体"/>
          <w:sz w:val="24"/>
        </w:rPr>
      </w:pPr>
      <w:r>
        <w:rPr>
          <w:rFonts w:ascii="黑体" w:eastAsia="黑体" w:hAnsi="宋体" w:hint="eastAsia"/>
          <w:sz w:val="24"/>
        </w:rPr>
        <w:t>1</w:t>
      </w:r>
      <w:r>
        <w:rPr>
          <w:rFonts w:ascii="黑体" w:eastAsia="黑体" w:hAnsi="宋体"/>
          <w:sz w:val="24"/>
        </w:rPr>
        <w:t>2</w:t>
      </w:r>
      <w:r>
        <w:rPr>
          <w:rFonts w:ascii="黑体" w:eastAsia="黑体" w:hAnsi="宋体" w:hint="eastAsia"/>
          <w:sz w:val="24"/>
        </w:rPr>
        <w:t>．招标文件的澄清</w:t>
      </w:r>
    </w:p>
    <w:p>
      <w:pPr>
        <w:ind w:firstLine="412"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.1招标文件澄清的目的是澄清、解答投标人在查阅招标文件后或现场踏勘中可能提出的与投标有关的疑问或询问。</w:t>
      </w:r>
    </w:p>
    <w:p>
      <w:pPr>
        <w:ind w:firstLine="412"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.2投标人如对招标文件内容有疑问，应当在招标公告规定的澄清（提问）截止时间前以网上提问的形式通过网上政府采购系统提交政府集中采购机构。</w:t>
      </w:r>
    </w:p>
    <w:p>
      <w:pPr>
        <w:ind w:firstLine="412" w:firstLineChars="196"/>
        <w:rPr>
          <w:rFonts w:ascii="宋体" w:hAnsi="宋体"/>
          <w:szCs w:val="21"/>
        </w:rPr>
      </w:pPr>
      <w:r>
        <w:rPr>
          <w:rFonts w:ascii="宋体" w:hAnsi="宋体" w:hint="eastAsia"/>
          <w:szCs w:val="21"/>
        </w:rPr>
        <w:t>1</w:t>
      </w:r>
      <w:r>
        <w:rPr>
          <w:rFonts w:ascii="宋体" w:hAnsi="宋体"/>
          <w:szCs w:val="21"/>
        </w:rPr>
        <w:t>2</w:t>
      </w:r>
      <w:r>
        <w:rPr>
          <w:rFonts w:ascii="宋体" w:hAnsi="宋体" w:hint="eastAsia"/>
          <w:szCs w:val="21"/>
        </w:rPr>
        <w:t>.3不论是政府集中采购机构根据需要主动对招标文件进行必要的澄清或是根据投标人的要求对招标文件做出澄清，政府集中采购机构都将在投标截止日期前以书面形式（包括政府集中采购机构网站发布方式）答复或发送给所有投标人。答复内容是招标文件的组成部分，对投标人起约束作用，其有效性按照本通用条款第1</w:t>
      </w:r>
      <w:r>
        <w:rPr>
          <w:rFonts w:ascii="宋体" w:hAnsi="宋体"/>
          <w:szCs w:val="21"/>
        </w:rPr>
        <w:t>3.3</w:t>
      </w:r>
      <w:r>
        <w:rPr>
          <w:rFonts w:ascii="宋体" w:hAnsi="宋体" w:hint="eastAsia"/>
          <w:szCs w:val="21"/>
        </w:rPr>
        <w:t>、1</w:t>
      </w:r>
      <w:r>
        <w:rPr>
          <w:rFonts w:ascii="宋体" w:hAnsi="宋体"/>
          <w:szCs w:val="21"/>
        </w:rPr>
        <w:t>3.4</w:t>
      </w:r>
      <w:r>
        <w:rPr>
          <w:rFonts w:ascii="宋体" w:hAnsi="宋体" w:hint="eastAsia"/>
          <w:szCs w:val="21"/>
        </w:rPr>
        <w:t>款规定执行。</w:t>
      </w:r>
    </w:p>
    <w:p>
      <w:pPr>
        <w:rPr>
          <w:rFonts w:ascii="黑体" w:eastAsia="黑体" w:hAnsi="宋体"/>
          <w:sz w:val="24"/>
        </w:rPr>
      </w:pPr>
      <w:r>
        <w:rPr>
          <w:rFonts w:ascii="黑体" w:eastAsia="黑体" w:hAnsi="宋体"/>
          <w:sz w:val="24"/>
        </w:rPr>
        <w:t>1</w:t>
      </w:r>
      <w:r>
        <w:rPr>
          <w:rFonts w:ascii="黑体" w:eastAsia="黑体" w:hAnsi="宋体" w:hint="eastAsia"/>
          <w:sz w:val="24"/>
        </w:rPr>
        <w:t>3．招标文件的修改</w:t>
      </w:r>
    </w:p>
    <w:p>
      <w:pPr>
        <w:ind w:firstLine="412" w:firstLineChars="196"/>
        <w:rPr>
          <w:rFonts w:ascii="宋体" w:hAnsi="宋体"/>
          <w:szCs w:val="21"/>
        </w:rPr>
      </w:pPr>
      <w:r>
        <w:rPr>
          <w:rFonts w:ascii="宋体" w:hAnsi="宋体"/>
          <w:szCs w:val="21"/>
        </w:rPr>
        <w:t>1</w:t>
      </w:r>
      <w:r>
        <w:rPr>
          <w:rFonts w:ascii="宋体" w:hAnsi="宋体" w:hint="eastAsia"/>
          <w:szCs w:val="21"/>
        </w:rPr>
        <w:t>3.1招标文件发出后，在投标截止日期前任何时候，确需要变更招标文件内容的，政府集中采购机构可主动或在解答投标人提出的澄清问题时对招标文件进行修改。</w:t>
      </w:r>
    </w:p>
    <w:p>
      <w:pPr>
        <w:ind w:firstLine="412" w:firstLineChars="196"/>
        <w:rPr>
          <w:rFonts w:ascii="宋体" w:hAnsi="宋体"/>
          <w:szCs w:val="21"/>
        </w:rPr>
      </w:pPr>
      <w:r>
        <w:rPr>
          <w:rFonts w:ascii="宋体" w:hAnsi="宋体"/>
          <w:szCs w:val="21"/>
        </w:rPr>
        <w:t>1</w:t>
      </w:r>
      <w:r>
        <w:rPr>
          <w:rFonts w:ascii="宋体" w:hAnsi="宋体" w:hint="eastAsia"/>
          <w:szCs w:val="21"/>
        </w:rPr>
        <w:t>3.2招标文件的修改以书面形式（包括政府集中采购机构网站发布方式，如更正公告等）发送给所有投标人，招标文件的修改内容作为招标文件的组成部分，并具有约束力。</w:t>
      </w:r>
    </w:p>
    <w:p>
      <w:pPr>
        <w:ind w:firstLine="412" w:firstLineChars="196"/>
        <w:rPr>
          <w:rFonts w:ascii="宋体" w:hAnsi="宋体"/>
          <w:szCs w:val="21"/>
        </w:rPr>
      </w:pPr>
      <w:r>
        <w:rPr>
          <w:rFonts w:ascii="宋体" w:hAnsi="宋体"/>
          <w:szCs w:val="21"/>
        </w:rPr>
        <w:t>1</w:t>
      </w:r>
      <w:r>
        <w:rPr>
          <w:rFonts w:ascii="宋体" w:hAnsi="宋体" w:hint="eastAsia"/>
          <w:szCs w:val="21"/>
        </w:rPr>
        <w:t>3.3招标文件、招标文件澄清答复内容、招标文件修改补充内容均以书面形式（包括政府集中采购机构网站公开发布方式，如更正公告等）明确的内容为准。当招标文件、修改补充通知、招标文件澄清答复内容相互矛盾时，以最后发出的内容为准。</w:t>
      </w:r>
    </w:p>
    <w:p>
      <w:pPr>
        <w:ind w:firstLine="412" w:firstLineChars="196"/>
        <w:rPr>
          <w:rFonts w:ascii="宋体" w:hAnsi="宋体"/>
          <w:szCs w:val="21"/>
        </w:rPr>
      </w:pPr>
      <w:r>
        <w:rPr>
          <w:rFonts w:ascii="宋体" w:hAnsi="宋体"/>
          <w:szCs w:val="21"/>
        </w:rPr>
        <w:t>1</w:t>
      </w:r>
      <w:r>
        <w:rPr>
          <w:rFonts w:ascii="宋体" w:hAnsi="宋体" w:hint="eastAsia"/>
          <w:szCs w:val="21"/>
        </w:rPr>
        <w:t>3.4政府集中采购机构保证招标文件澄清答复内容和招标文件修改补充内容在投标截止时间前以书面形式（包括政府集中采购机构网站发布方式，如更正公告等）发送给所有投标人。为使投标人在编制投标文件时有充分时间对招标文件的修改部分进行研究，政府集中采购机构可以酌情延长递交投标文件的截止日期。</w:t>
      </w:r>
      <w:bookmarkEnd w:id="51"/>
    </w:p>
    <w:p>
      <w:pPr>
        <w:pStyle w:val="Heading2"/>
        <w:numPr>
          <w:ilvl w:val="0"/>
          <w:numId w:val="12"/>
        </w:numPr>
        <w:tabs>
          <w:tab w:val="left" w:pos="360"/>
          <w:tab w:val="clear" w:pos="720"/>
        </w:tabs>
        <w:spacing w:before="120" w:beforeLines="50" w:after="120" w:afterLines="50"/>
        <w:ind w:left="562" w:hanging="562"/>
        <w:rPr>
          <w:sz w:val="28"/>
          <w:szCs w:val="28"/>
        </w:rPr>
      </w:pPr>
      <w:r>
        <w:rPr>
          <w:rFonts w:hint="eastAsia"/>
          <w:sz w:val="28"/>
          <w:szCs w:val="28"/>
        </w:rPr>
        <w:t>投标文件的编制</w:t>
      </w:r>
    </w:p>
    <w:p>
      <w:pPr>
        <w:rPr>
          <w:rFonts w:ascii="黑体" w:eastAsia="黑体" w:hAnsi="宋体"/>
          <w:sz w:val="24"/>
        </w:rPr>
      </w:pPr>
      <w:r>
        <w:rPr>
          <w:rFonts w:ascii="黑体" w:eastAsia="黑体" w:hAnsi="宋体" w:hint="eastAsia"/>
          <w:sz w:val="24"/>
        </w:rPr>
        <w:t>14．</w:t>
      </w:r>
      <w:bookmarkStart w:id="52" w:name="_Hlk72400236"/>
      <w:r>
        <w:rPr>
          <w:rFonts w:ascii="黑体" w:eastAsia="黑体" w:hAnsi="宋体" w:hint="eastAsia"/>
          <w:sz w:val="24"/>
        </w:rPr>
        <w:t>投标文件的语言及度量单位</w:t>
      </w:r>
    </w:p>
    <w:p>
      <w:pPr>
        <w:ind w:firstLine="412" w:firstLineChars="196"/>
        <w:rPr>
          <w:rFonts w:ascii="宋体" w:hAnsi="宋体"/>
          <w:szCs w:val="21"/>
        </w:rPr>
      </w:pPr>
      <w:r>
        <w:rPr>
          <w:rFonts w:ascii="宋体" w:hAnsi="宋体" w:hint="eastAsia"/>
          <w:szCs w:val="21"/>
        </w:rPr>
        <w:t>14.1 投标人与政府集中采购机构之间与投标有关的所有往来通知、函件和投标文件均用中文表述。投标人随投标文件提供的证明文件和资料可以为其它语言，但必须附中文译文。翻译的中文资料与外文资料如果出现差异时，以中文为准，但翻译错误的除外。</w:t>
      </w:r>
    </w:p>
    <w:p>
      <w:pPr>
        <w:ind w:firstLine="412" w:firstLineChars="196"/>
        <w:rPr>
          <w:rFonts w:ascii="宋体" w:hAnsi="宋体"/>
          <w:szCs w:val="21"/>
        </w:rPr>
      </w:pPr>
      <w:r>
        <w:rPr>
          <w:rFonts w:ascii="宋体" w:hAnsi="宋体" w:hint="eastAsia"/>
          <w:szCs w:val="21"/>
        </w:rPr>
        <w:t>14.2 除技术规范另有规定外，投标文件使用的度量单位，均采用中华人民共和国法定计量单位。</w:t>
      </w:r>
    </w:p>
    <w:p>
      <w:pPr>
        <w:rPr>
          <w:rFonts w:ascii="黑体" w:eastAsia="黑体" w:hAnsi="宋体"/>
          <w:sz w:val="24"/>
        </w:rPr>
      </w:pPr>
      <w:bookmarkEnd w:id="52"/>
      <w:r>
        <w:rPr>
          <w:rFonts w:ascii="黑体" w:eastAsia="黑体" w:hAnsi="宋体" w:hint="eastAsia"/>
          <w:sz w:val="24"/>
        </w:rPr>
        <w:t>15．</w:t>
      </w:r>
      <w:bookmarkStart w:id="53" w:name="_Hlk72401567"/>
      <w:r>
        <w:rPr>
          <w:rFonts w:ascii="黑体" w:eastAsia="黑体" w:hAnsi="宋体" w:hint="eastAsia"/>
          <w:sz w:val="24"/>
        </w:rPr>
        <w:t>投标文件的组成</w:t>
      </w:r>
    </w:p>
    <w:p>
      <w:pPr>
        <w:ind w:firstLine="412" w:firstLineChars="196"/>
        <w:rPr>
          <w:rFonts w:ascii="宋体" w:hAnsi="宋体"/>
          <w:szCs w:val="21"/>
        </w:rPr>
      </w:pPr>
      <w:r>
        <w:rPr>
          <w:rFonts w:ascii="宋体" w:hAnsi="宋体" w:hint="eastAsia"/>
          <w:szCs w:val="21"/>
        </w:rPr>
        <w:t>具体内容在招标文件专用条款中进行规定。</w:t>
      </w:r>
    </w:p>
    <w:p>
      <w:pPr>
        <w:rPr>
          <w:rFonts w:ascii="黑体" w:eastAsia="黑体" w:hAnsi="宋体"/>
          <w:sz w:val="24"/>
        </w:rPr>
      </w:pPr>
      <w:r>
        <w:rPr>
          <w:rFonts w:ascii="黑体" w:eastAsia="黑体" w:hAnsi="宋体"/>
          <w:sz w:val="24"/>
        </w:rPr>
        <w:t>16．投标文件格式</w:t>
      </w:r>
    </w:p>
    <w:p>
      <w:pPr>
        <w:ind w:firstLine="412" w:firstLineChars="196"/>
        <w:rPr>
          <w:rFonts w:ascii="宋体" w:hAnsi="宋体"/>
          <w:szCs w:val="21"/>
        </w:rPr>
      </w:pPr>
      <w:r>
        <w:rPr>
          <w:rFonts w:ascii="宋体" w:hAnsi="宋体" w:hint="eastAsia"/>
          <w:szCs w:val="21"/>
        </w:rPr>
        <w:t>投标文件包括本通用条款第</w:t>
      </w:r>
      <w:r>
        <w:rPr>
          <w:rFonts w:ascii="宋体" w:hAnsi="宋体"/>
          <w:szCs w:val="21"/>
        </w:rPr>
        <w:t>15条中规定的内容。如招标文件提供了投标文件格式，则</w:t>
      </w:r>
      <w:r>
        <w:rPr>
          <w:rFonts w:ascii="宋体" w:hAnsi="宋体" w:hint="eastAsia"/>
          <w:b/>
          <w:bCs/>
          <w:szCs w:val="21"/>
        </w:rPr>
        <w:t>投标人提交的投标文件应毫无例外地使用招标文件所提供的相应格式</w:t>
      </w:r>
      <w:r>
        <w:rPr>
          <w:rFonts w:ascii="宋体" w:hAnsi="宋体" w:hint="eastAsia"/>
          <w:szCs w:val="21"/>
        </w:rPr>
        <w:t>（表格均可按同样格式扩展）。</w:t>
      </w:r>
    </w:p>
    <w:p>
      <w:pPr>
        <w:rPr>
          <w:rFonts w:ascii="黑体" w:eastAsia="黑体" w:hAnsi="宋体"/>
          <w:sz w:val="24"/>
        </w:rPr>
      </w:pPr>
      <w:r>
        <w:rPr>
          <w:rFonts w:ascii="黑体" w:eastAsia="黑体" w:hAnsi="宋体" w:hint="eastAsia"/>
          <w:sz w:val="24"/>
        </w:rPr>
        <w:t>17．投标货币</w:t>
      </w:r>
    </w:p>
    <w:p>
      <w:pPr>
        <w:ind w:firstLine="412" w:firstLineChars="196"/>
        <w:rPr>
          <w:rFonts w:ascii="宋体" w:hAnsi="宋体"/>
          <w:szCs w:val="21"/>
        </w:rPr>
      </w:pPr>
      <w:r>
        <w:rPr>
          <w:rFonts w:ascii="宋体" w:hAnsi="宋体" w:hint="eastAsia"/>
          <w:szCs w:val="21"/>
        </w:rPr>
        <w:t>本项目的投标报价应以人民币计。</w:t>
      </w:r>
    </w:p>
    <w:p>
      <w:pPr>
        <w:rPr>
          <w:rFonts w:ascii="黑体" w:eastAsia="黑体" w:hAnsi="宋体"/>
          <w:sz w:val="24"/>
        </w:rPr>
      </w:pPr>
      <w:bookmarkEnd w:id="53"/>
      <w:r>
        <w:rPr>
          <w:rFonts w:ascii="黑体" w:eastAsia="黑体" w:hAnsi="宋体" w:hint="eastAsia"/>
          <w:sz w:val="24"/>
        </w:rPr>
        <w:t>18．</w:t>
      </w:r>
      <w:bookmarkStart w:id="54" w:name="_Hlk72401735"/>
      <w:r>
        <w:rPr>
          <w:rFonts w:ascii="黑体" w:eastAsia="黑体" w:hAnsi="宋体" w:hint="eastAsia"/>
          <w:sz w:val="24"/>
        </w:rPr>
        <w:t>证明投标文件投标技术方案的合格性和符合招标文件规定的文件要求</w:t>
      </w:r>
    </w:p>
    <w:p>
      <w:pPr>
        <w:ind w:firstLine="412" w:firstLineChars="196"/>
        <w:rPr>
          <w:rFonts w:ascii="宋体" w:hAnsi="宋体"/>
          <w:szCs w:val="21"/>
        </w:rPr>
      </w:pPr>
      <w:r>
        <w:rPr>
          <w:rFonts w:ascii="宋体" w:hAnsi="宋体" w:hint="eastAsia"/>
          <w:szCs w:val="21"/>
        </w:rPr>
        <w:t>18</w:t>
      </w:r>
      <w:r>
        <w:rPr>
          <w:rFonts w:ascii="宋体" w:hAnsi="宋体"/>
          <w:szCs w:val="21"/>
        </w:rPr>
        <w:t xml:space="preserve">.1 </w:t>
      </w:r>
      <w:r>
        <w:rPr>
          <w:rFonts w:ascii="宋体" w:hAnsi="宋体" w:hint="eastAsia"/>
          <w:szCs w:val="21"/>
        </w:rPr>
        <w:t>投标人应提交证明文件，证明其投标技术方案项下的货物和服务的合格性符合招标文件规定。该投标技术方案及其证明文件均作为投标文件组成部分。</w:t>
      </w:r>
    </w:p>
    <w:p>
      <w:pPr>
        <w:ind w:firstLine="412"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 xml:space="preserve">.2 </w:t>
      </w:r>
      <w:r>
        <w:rPr>
          <w:rFonts w:ascii="宋体" w:hAnsi="宋体" w:hint="eastAsia"/>
          <w:szCs w:val="21"/>
        </w:rPr>
        <w:t>投标人提供证明投标技术方案与招标文件的要求相一致的文件，可以是文字资料、图纸、数据或数码照片、制造商公布的产品说明书、产品彩页和我国政府机构出具的产品检验和核准证件等，提供的文件应符合以下要求：</w:t>
      </w:r>
    </w:p>
    <w:p>
      <w:pPr>
        <w:ind w:firstLine="412" w:firstLineChars="196"/>
        <w:rPr>
          <w:rFonts w:ascii="宋体" w:hAnsi="宋体"/>
          <w:szCs w:val="21"/>
        </w:rPr>
      </w:pPr>
      <w:r>
        <w:rPr>
          <w:rFonts w:ascii="宋体" w:hAnsi="宋体" w:hint="eastAsia"/>
          <w:szCs w:val="21"/>
        </w:rPr>
        <w:t>18.2.1主要技术指标和性能的详细说明。</w:t>
      </w:r>
    </w:p>
    <w:p>
      <w:pPr>
        <w:ind w:firstLine="412" w:firstLineChars="196"/>
        <w:rPr>
          <w:rFonts w:ascii="宋体" w:hAnsi="宋体"/>
          <w:szCs w:val="21"/>
        </w:rPr>
      </w:pPr>
      <w:r>
        <w:rPr>
          <w:rFonts w:ascii="宋体" w:hAnsi="宋体" w:hint="eastAsia"/>
          <w:szCs w:val="21"/>
        </w:rPr>
        <w:t>18.2.</w:t>
      </w:r>
      <w:r>
        <w:rPr>
          <w:rFonts w:ascii="宋体" w:hAnsi="宋体"/>
          <w:szCs w:val="21"/>
        </w:rPr>
        <w:t>2</w:t>
      </w:r>
      <w:r>
        <w:rPr>
          <w:rFonts w:ascii="宋体" w:hAnsi="宋体" w:hint="eastAsia"/>
          <w:szCs w:val="21"/>
        </w:rPr>
        <w:t>投标产品从采购人开始使用至招标文件中规定的周期内正常、连续地使用所必须的备件和专用工具清单，包括备件和专用工具的货源及现行价格。</w:t>
      </w:r>
    </w:p>
    <w:p>
      <w:pPr>
        <w:ind w:firstLine="412" w:firstLineChars="196"/>
        <w:rPr>
          <w:rFonts w:ascii="宋体" w:hAnsi="宋体"/>
          <w:szCs w:val="21"/>
        </w:rPr>
      </w:pPr>
      <w:r>
        <w:rPr>
          <w:rFonts w:ascii="宋体" w:hAnsi="宋体" w:hint="eastAsia"/>
          <w:szCs w:val="21"/>
        </w:rPr>
        <w:t>18.2.</w:t>
      </w:r>
      <w:r>
        <w:rPr>
          <w:rFonts w:ascii="宋体" w:hAnsi="宋体"/>
          <w:szCs w:val="21"/>
        </w:rPr>
        <w:t>3</w:t>
      </w:r>
      <w:r>
        <w:rPr>
          <w:rFonts w:ascii="宋体" w:hAnsi="宋体" w:hint="eastAsia"/>
          <w:szCs w:val="21"/>
        </w:rPr>
        <w:t>对照招标文件技术规格，逐条说明投标技术方案已对采购人的技术规格做出了实质性的响应，或申明与技术规格条文的偏差和例外。投标人应详细说明投标技术方案中产品的具体参数，不得不合理照搬照抄招标文件的技术要求。</w:t>
      </w:r>
    </w:p>
    <w:p>
      <w:pPr>
        <w:ind w:firstLine="412" w:firstLineChars="196"/>
        <w:rPr>
          <w:rFonts w:ascii="宋体" w:hAnsi="宋体"/>
          <w:szCs w:val="21"/>
        </w:rPr>
      </w:pPr>
      <w:r>
        <w:rPr>
          <w:rFonts w:ascii="宋体" w:hAnsi="宋体" w:hint="eastAsia"/>
          <w:szCs w:val="21"/>
        </w:rPr>
        <w:t>18.2.4产品说明书或彩页应为制造商公布或出具的中文产品说明书或彩页；提供外文说明书或彩页的，必须同时提供加盖制造商公章的对应中文翻译说明，评标依据以中文翻译内容为准，外文说明书或彩页仅供参考；产品说明书或彩页的尺寸和</w:t>
      </w:r>
      <w:r>
        <w:rPr>
          <w:rFonts w:hint="eastAsia"/>
        </w:rPr>
        <w:t>清晰度要求能够使用电脑阅读、识别和判断</w:t>
      </w:r>
      <w:r>
        <w:rPr>
          <w:rFonts w:ascii="宋体" w:hAnsi="宋体" w:hint="eastAsia"/>
          <w:szCs w:val="21"/>
        </w:rPr>
        <w:t>；</w:t>
      </w:r>
    </w:p>
    <w:p>
      <w:pPr>
        <w:ind w:firstLine="412" w:firstLineChars="196"/>
        <w:rPr>
          <w:rFonts w:ascii="宋体" w:hAnsi="宋体"/>
          <w:szCs w:val="21"/>
        </w:rPr>
      </w:pPr>
      <w:r>
        <w:rPr>
          <w:rFonts w:ascii="宋体" w:hAnsi="宋体" w:hint="eastAsia"/>
          <w:szCs w:val="21"/>
        </w:rPr>
        <w:t>18.2.5我国政府机构出具的产品检验和核准证件应为证件正面、背面和附件标注的全部具体内容；产品检验和核准证件的尺寸和清晰度应该能够在电脑上被阅读、识别和判断，提供原件扫描件。</w:t>
      </w:r>
    </w:p>
    <w:p>
      <w:pPr>
        <w:ind w:firstLine="412" w:firstLineChars="196"/>
        <w:rPr>
          <w:rFonts w:ascii="宋体" w:hAnsi="宋体"/>
          <w:szCs w:val="21"/>
        </w:rPr>
      </w:pPr>
      <w:r>
        <w:rPr>
          <w:rFonts w:ascii="宋体" w:hAnsi="宋体" w:hint="eastAsia"/>
          <w:szCs w:val="21"/>
        </w:rPr>
        <w:t>18.3相关资料不符合18.2款要求的，评审委员会有权认定为投标技术方案不合格响应，其相关分数予以扣减或作投标无效处理。</w:t>
      </w:r>
    </w:p>
    <w:p>
      <w:pPr>
        <w:ind w:firstLine="412" w:firstLineChars="196"/>
        <w:rPr>
          <w:rFonts w:ascii="宋体" w:hAnsi="宋体"/>
          <w:szCs w:val="21"/>
        </w:rPr>
      </w:pPr>
      <w:r>
        <w:rPr>
          <w:rFonts w:ascii="宋体" w:hAnsi="宋体"/>
          <w:szCs w:val="21"/>
        </w:rPr>
        <w:t>1</w:t>
      </w:r>
      <w:r>
        <w:rPr>
          <w:rFonts w:ascii="宋体" w:hAnsi="宋体" w:hint="eastAsia"/>
          <w:szCs w:val="21"/>
        </w:rPr>
        <w:t>8</w:t>
      </w:r>
      <w:r>
        <w:rPr>
          <w:rFonts w:ascii="宋体" w:hAnsi="宋体"/>
          <w:szCs w:val="21"/>
        </w:rPr>
        <w:t>.</w:t>
      </w:r>
      <w:r>
        <w:rPr>
          <w:rFonts w:ascii="宋体" w:hAnsi="宋体" w:hint="eastAsia"/>
          <w:szCs w:val="21"/>
        </w:rPr>
        <w:t>4投标人在阐述上述第18.2时应注意采购人在技术规格中指出的工艺、材料和设备的标准以及参照的牌号或分类号仅起说明作用，并没有任何限制性。投标人在投标中可以选用替代标准、牌号或分类号，但这些替代要实质上满足招标文件中技术规格的要求，是否</w:t>
      </w:r>
      <w:r>
        <w:rPr>
          <w:rFonts w:hint="eastAsia"/>
        </w:rPr>
        <w:t>满足要求</w:t>
      </w:r>
      <w:r>
        <w:rPr>
          <w:rFonts w:ascii="宋体" w:hAnsi="宋体" w:hint="eastAsia"/>
          <w:szCs w:val="21"/>
        </w:rPr>
        <w:t>，由评审委员会来评判。</w:t>
      </w:r>
    </w:p>
    <w:p>
      <w:pPr>
        <w:ind w:firstLine="412" w:firstLineChars="196"/>
        <w:rPr>
          <w:rFonts w:ascii="宋体" w:hAnsi="宋体"/>
          <w:szCs w:val="21"/>
        </w:rPr>
      </w:pPr>
      <w:r>
        <w:rPr>
          <w:rFonts w:ascii="宋体" w:hAnsi="宋体" w:hint="eastAsia"/>
          <w:szCs w:val="21"/>
        </w:rPr>
        <w:t>18.5除非另有规定或说明，投标人对同一项目投标时，不得同时提供两套或两套以上的投标方案。</w:t>
      </w:r>
    </w:p>
    <w:p>
      <w:pPr>
        <w:rPr>
          <w:rFonts w:ascii="黑体" w:eastAsia="黑体" w:hAnsi="宋体"/>
          <w:sz w:val="24"/>
        </w:rPr>
      </w:pPr>
      <w:bookmarkEnd w:id="54"/>
      <w:r>
        <w:rPr>
          <w:rFonts w:ascii="黑体" w:eastAsia="黑体" w:hAnsi="宋体" w:hint="eastAsia"/>
          <w:sz w:val="24"/>
        </w:rPr>
        <w:t>19．</w:t>
      </w:r>
      <w:bookmarkStart w:id="55" w:name="_Hlk72402034"/>
      <w:r>
        <w:rPr>
          <w:rFonts w:ascii="黑体" w:eastAsia="黑体" w:hAnsi="宋体" w:hint="eastAsia"/>
          <w:sz w:val="24"/>
        </w:rPr>
        <w:t>投标文件其他证明文件的要求</w:t>
      </w:r>
    </w:p>
    <w:p>
      <w:pPr>
        <w:rPr>
          <w:rFonts w:ascii="宋体" w:hAnsi="宋体"/>
          <w:color w:val="FF0000"/>
          <w:szCs w:val="21"/>
        </w:rPr>
      </w:pPr>
      <w:r>
        <w:rPr>
          <w:rFonts w:ascii="宋体" w:hAnsi="宋体" w:hint="eastAsia"/>
          <w:szCs w:val="21"/>
        </w:rPr>
        <w:t>19.1采用综合评分法的项目，对项目招标文件《评标信息》评分项中涉及的相关业绩、社保情况等内容以及《资格性审查表》和《符合性审查表》中涉及的证明材料，投标人应提供相关部门出具的证明材料扫描件或照片，原件备查。有关扫描件（或照片）的尺寸和清晰度要求能够使用电脑阅读、识别和判断。若投标人未按要求提供证明材料或提供的是部分证明材料或提供不清晰的扫描件（或照片）的，评审委员会有权认定其投标文件未对招标文件有关需求进行响应，涉及资格性检查或符合性检查的予以投标无效处理，涉及《评标信息》打分项的则该项评分予以0分处理。评审委员会对供应商投标资料是否异常、是否有效问题进行核查和判定，如认为供应商投标资料有异常或无效的，若涉及资格性审查或符合性审查条款的，则应作投标无效处理；若涉及评分的，则作不得分处理。</w:t>
      </w:r>
      <w:bookmarkStart w:id="56" w:name="_Hlk71407299"/>
    </w:p>
    <w:p>
      <w:pPr>
        <w:ind w:firstLine="412" w:firstLineChars="196"/>
        <w:rPr>
          <w:rFonts w:ascii="宋体" w:hAnsi="宋体"/>
          <w:szCs w:val="21"/>
        </w:rPr>
      </w:pPr>
      <w:bookmarkEnd w:id="56"/>
      <w:r>
        <w:rPr>
          <w:rFonts w:ascii="宋体" w:hAnsi="宋体" w:hint="eastAsia"/>
          <w:szCs w:val="21"/>
        </w:rPr>
        <w:t>19.2本项目涉及提供的有关资质（资格）证书，若原有资质（资格）证书处于年审期间，须提供证书颁发部门提供的回执，并且回执须证明该证书依然有效（若在法规范围不需提供的，供应商应做书面说明并提供证明文件，否则该证书无效），则该投标人提供年审证明的可按原资质（资格）投标；若投标人正在申报上一级别资质（资格），在未获批准之前，仍按原级别资质（资格）投标。</w:t>
      </w:r>
    </w:p>
    <w:p>
      <w:pPr>
        <w:rPr>
          <w:rFonts w:ascii="黑体" w:eastAsia="黑体" w:hAnsi="宋体"/>
          <w:sz w:val="24"/>
        </w:rPr>
      </w:pPr>
      <w:r>
        <w:rPr>
          <w:rFonts w:ascii="黑体" w:eastAsia="黑体" w:hAnsi="宋体" w:hint="eastAsia"/>
          <w:sz w:val="24"/>
        </w:rPr>
        <w:t>20．投标有效期</w:t>
      </w:r>
    </w:p>
    <w:p>
      <w:pPr>
        <w:ind w:firstLine="412" w:firstLineChars="196"/>
        <w:rPr>
          <w:rFonts w:ascii="宋体" w:hAnsi="宋体"/>
          <w:szCs w:val="21"/>
        </w:rPr>
      </w:pPr>
      <w:bookmarkEnd w:id="55"/>
      <w:bookmarkStart w:id="57" w:name="_Hlk72402214"/>
      <w:r>
        <w:rPr>
          <w:rFonts w:ascii="宋体" w:hAnsi="宋体" w:hint="eastAsia"/>
          <w:szCs w:val="21"/>
        </w:rPr>
        <w:t>20.1 投标有效期为</w:t>
      </w:r>
      <w:r>
        <w:rPr>
          <w:rFonts w:ascii="Arial" w:hAnsi="Arial" w:cs="Arial" w:hint="eastAsia"/>
          <w:szCs w:val="21"/>
        </w:rPr>
        <w:t>从投标截止之日算起的日历天数。</w:t>
      </w:r>
      <w:r>
        <w:rPr>
          <w:rFonts w:ascii="宋体" w:hAnsi="宋体" w:hint="eastAsia"/>
          <w:szCs w:val="21"/>
        </w:rPr>
        <w:t>在此期限内，所有投标文件均保持有效。</w:t>
      </w:r>
    </w:p>
    <w:p>
      <w:pPr>
        <w:ind w:firstLine="412" w:firstLineChars="196"/>
        <w:rPr>
          <w:rFonts w:ascii="宋体" w:hAnsi="宋体"/>
          <w:szCs w:val="21"/>
        </w:rPr>
      </w:pPr>
      <w:r>
        <w:rPr>
          <w:rFonts w:ascii="宋体" w:hAnsi="宋体" w:hint="eastAsia"/>
          <w:szCs w:val="21"/>
        </w:rPr>
        <w:t>20.2 在特殊情况下，政府集中采购机构在原定的投标有效期满之前，政府集中采购机构可以根据需要以书面形式（包括政府集中采购机构网站公开发布方式）向投标人提出延长投标有效期的要求，对此要求投标人须以书面形式予以答复，投标人可以拒绝政府集中采购机构此项要求，其投标在原投标有效期满后不再有效。同意延长投标有效期的投标人不能要求也不允许修改其投标文件。</w:t>
      </w:r>
    </w:p>
    <w:p>
      <w:pPr>
        <w:ind w:firstLine="412" w:firstLineChars="196"/>
        <w:rPr>
          <w:rFonts w:ascii="宋体" w:hAnsi="宋体"/>
          <w:szCs w:val="21"/>
        </w:rPr>
      </w:pPr>
      <w:r>
        <w:rPr>
          <w:rFonts w:ascii="宋体" w:hAnsi="宋体" w:hint="eastAsia"/>
          <w:szCs w:val="21"/>
        </w:rPr>
        <w:t>20</w:t>
      </w:r>
      <w:r>
        <w:rPr>
          <w:rFonts w:ascii="宋体" w:hAnsi="宋体"/>
          <w:szCs w:val="21"/>
        </w:rPr>
        <w:t>.3</w:t>
      </w:r>
      <w:r>
        <w:rPr>
          <w:rFonts w:ascii="宋体" w:hAnsi="宋体" w:hint="eastAsia"/>
          <w:szCs w:val="21"/>
        </w:rPr>
        <w:t xml:space="preserve"> 中标供应商的投标文件有效期，截止于完成本招标文件规定的全部项目内容，并通过竣工验收及保修期结束。</w:t>
      </w:r>
    </w:p>
    <w:p>
      <w:pPr>
        <w:rPr>
          <w:rFonts w:ascii="黑体" w:eastAsia="黑体" w:hAnsi="宋体"/>
          <w:sz w:val="24"/>
        </w:rPr>
      </w:pPr>
      <w:bookmarkEnd w:id="57"/>
      <w:r>
        <w:rPr>
          <w:rFonts w:ascii="黑体" w:eastAsia="黑体" w:hAnsi="宋体" w:hint="eastAsia"/>
          <w:sz w:val="24"/>
        </w:rPr>
        <w:t>21．</w:t>
      </w:r>
      <w:bookmarkStart w:id="58" w:name="_Hlk72402325"/>
      <w:r>
        <w:rPr>
          <w:rFonts w:ascii="黑体" w:eastAsia="黑体" w:hAnsi="宋体" w:hint="eastAsia"/>
          <w:sz w:val="24"/>
        </w:rPr>
        <w:t xml:space="preserve">关于投标保证金 </w:t>
      </w:r>
    </w:p>
    <w:p>
      <w:pPr>
        <w:rPr>
          <w:rFonts w:ascii="宋体" w:hAnsi="宋体"/>
          <w:szCs w:val="21"/>
        </w:rPr>
      </w:pPr>
      <w:r>
        <w:rPr>
          <w:rFonts w:ascii="宋体" w:hAnsi="宋体" w:hint="eastAsia"/>
          <w:szCs w:val="21"/>
        </w:rPr>
        <w:t xml:space="preserve">    21.1 </w:t>
      </w:r>
      <w:r>
        <w:rPr>
          <w:rFonts w:hint="eastAsia"/>
        </w:rPr>
        <w:t>根据《</w:t>
      </w:r>
      <w:r>
        <w:t>深圳市财政局关于明确政府采购保证金管理工作的通知</w:t>
      </w:r>
      <w:r>
        <w:rPr>
          <w:rFonts w:hint="eastAsia"/>
        </w:rPr>
        <w:t>》（深财购[</w:t>
      </w:r>
      <w:r>
        <w:t>2019]42</w:t>
      </w:r>
      <w:r>
        <w:rPr>
          <w:rFonts w:hint="eastAsia"/>
        </w:rPr>
        <w:t>号）文的规定，本项目不收取投标保证金。</w:t>
      </w:r>
    </w:p>
    <w:p>
      <w:pPr>
        <w:rPr>
          <w:rFonts w:ascii="黑体" w:eastAsia="黑体" w:hAnsi="宋体"/>
          <w:sz w:val="24"/>
        </w:rPr>
      </w:pPr>
      <w:r>
        <w:rPr>
          <w:rFonts w:ascii="黑体" w:eastAsia="黑体" w:hAnsi="宋体" w:hint="eastAsia"/>
          <w:sz w:val="24"/>
        </w:rPr>
        <w:t>22．投标人的替代方案</w:t>
      </w:r>
    </w:p>
    <w:p>
      <w:pPr>
        <w:ind w:firstLine="412" w:firstLineChars="196"/>
        <w:rPr>
          <w:rFonts w:ascii="宋体" w:hAnsi="宋体"/>
          <w:szCs w:val="21"/>
        </w:rPr>
      </w:pPr>
      <w:r>
        <w:rPr>
          <w:rFonts w:ascii="宋体" w:hAnsi="宋体" w:hint="eastAsia"/>
          <w:szCs w:val="21"/>
        </w:rPr>
        <w:t>22.1投标人所提交的投标文件应完全满足招标文件（包括图纸和技术规范所示的基本技术设计）的要求。除非项目明确允许投标人提交替代方案，否则投标人有关替代方案的条款将初审不通过，作投标无效处理。</w:t>
      </w:r>
    </w:p>
    <w:p>
      <w:pPr>
        <w:ind w:firstLine="412" w:firstLineChars="196"/>
        <w:rPr>
          <w:rFonts w:ascii="宋体" w:hAnsi="宋体"/>
          <w:szCs w:val="21"/>
        </w:rPr>
      </w:pPr>
      <w:r>
        <w:rPr>
          <w:rFonts w:ascii="宋体" w:hAnsi="宋体" w:hint="eastAsia"/>
          <w:szCs w:val="21"/>
        </w:rPr>
        <w:t>22.2 如果允许投标人提交替代方案，则准备提交替代方案的投标人除应提交一份满足招标文件（包括图纸和技术规范所示的基本技术设计）要求的投标文件外，还应提交需评审其替代方案所需的全部资料，包括项目方案书、技术规范、替代方案报价书、所建议的项目方案及有关的其它详细资料。</w:t>
      </w:r>
    </w:p>
    <w:p>
      <w:pPr>
        <w:rPr>
          <w:rFonts w:ascii="黑体" w:eastAsia="黑体" w:hAnsi="宋体"/>
          <w:sz w:val="24"/>
        </w:rPr>
      </w:pPr>
      <w:bookmarkEnd w:id="58"/>
      <w:r>
        <w:rPr>
          <w:rFonts w:ascii="黑体" w:eastAsia="黑体" w:hAnsi="宋体" w:hint="eastAsia"/>
          <w:sz w:val="24"/>
        </w:rPr>
        <w:t>23．</w:t>
      </w:r>
      <w:bookmarkStart w:id="59" w:name="_Hlk72402860"/>
      <w:r>
        <w:rPr>
          <w:rFonts w:ascii="黑体" w:eastAsia="黑体" w:hAnsi="宋体"/>
          <w:sz w:val="24"/>
        </w:rPr>
        <w:t>投标文件的</w:t>
      </w:r>
      <w:r>
        <w:rPr>
          <w:rFonts w:ascii="黑体" w:eastAsia="黑体" w:hAnsi="宋体" w:hint="eastAsia"/>
          <w:sz w:val="24"/>
        </w:rPr>
        <w:t>制作</w:t>
      </w:r>
      <w:r>
        <w:rPr>
          <w:rFonts w:ascii="黑体" w:eastAsia="黑体" w:hAnsi="宋体"/>
          <w:sz w:val="24"/>
        </w:rPr>
        <w:t>要求</w:t>
      </w:r>
    </w:p>
    <w:p>
      <w:pPr>
        <w:ind w:firstLine="412" w:firstLineChars="196"/>
        <w:rPr>
          <w:rFonts w:ascii="宋体" w:hAnsi="宋体"/>
        </w:rPr>
      </w:pPr>
      <w:r>
        <w:rPr>
          <w:rFonts w:ascii="宋体" w:hAnsi="宋体" w:hint="eastAsia"/>
        </w:rPr>
        <w:t>23.1投标人应准备所投项目的电子投标文件一份。此电子投标文件须由投标人根据政府集中采购机构提供的后缀名为.szczf的电子招标文件，下载并使用相应的深圳智慧采购平台投标文件制作专用软件打开招标文件（.szczf格式）【下载地址：</w:t>
      </w:r>
      <w:r>
        <w:rPr>
          <w:rFonts w:hint="eastAsia"/>
        </w:rPr>
        <w:t>http://zfcg.szggzy.com:8081/cgxy/013002/20210923/173e0b2c-7a4c-4246-a0c7-e0ea75d84dd6.html</w:t>
      </w:r>
      <w:r>
        <w:rPr>
          <w:rFonts w:ascii="宋体" w:hAnsi="宋体" w:hint="eastAsia"/>
        </w:rPr>
        <w:t>】。</w:t>
      </w:r>
    </w:p>
    <w:p>
      <w:pPr>
        <w:ind w:firstLine="412" w:firstLineChars="196"/>
        <w:rPr>
          <w:rFonts w:ascii="宋体" w:hAnsi="宋体"/>
        </w:rPr>
      </w:pPr>
      <w:r>
        <w:rPr>
          <w:rFonts w:ascii="宋体" w:hAnsi="宋体" w:hint="eastAsia"/>
        </w:rPr>
        <w:t>23.2投标人在使用《投标文件制作软件》编制投标书时须注意：</w:t>
      </w:r>
    </w:p>
    <w:p>
      <w:pPr>
        <w:ind w:firstLine="412" w:firstLineChars="196"/>
        <w:rPr>
          <w:rFonts w:ascii="宋体" w:hAnsi="宋体"/>
        </w:rPr>
      </w:pPr>
      <w:r>
        <w:rPr>
          <w:rFonts w:ascii="宋体" w:hAnsi="宋体" w:hint="eastAsia"/>
        </w:rPr>
        <w:t>23.2.1导入《投标文件制作软件》的招标文件项目编号、包号应与以此制作的投标文件项目编号、包号一致。例如，不能将甲项目A包的招标书导入《投标文件制作软件》，制作乙项目B包的投标书。</w:t>
      </w:r>
    </w:p>
    <w:p>
      <w:pPr>
        <w:ind w:firstLine="412" w:firstLineChars="196"/>
        <w:rPr>
          <w:rFonts w:ascii="宋体" w:hAnsi="宋体"/>
        </w:rPr>
      </w:pPr>
      <w:r>
        <w:rPr>
          <w:rFonts w:ascii="宋体" w:hAnsi="宋体" w:hint="eastAsia"/>
        </w:rPr>
        <w:t>23.2.2不能用非本公司的电子密钥加密本公司的投标文件，或者用其它公司的登录用户上传本公司的投标文件。</w:t>
      </w:r>
    </w:p>
    <w:p>
      <w:pPr>
        <w:ind w:firstLine="412" w:firstLineChars="196"/>
        <w:rPr>
          <w:rFonts w:ascii="宋体" w:hAnsi="宋体"/>
        </w:rPr>
      </w:pPr>
      <w:r>
        <w:rPr>
          <w:rFonts w:ascii="宋体" w:hAnsi="宋体" w:hint="eastAsia"/>
        </w:rPr>
        <w:t>23.2.3要求用《投标文件制作软件》编制投标书的包，不能用其它方式编制投标书。编制投标文件时，电脑须连通互联网。</w:t>
      </w:r>
    </w:p>
    <w:p>
      <w:pPr>
        <w:ind w:firstLine="412" w:firstLineChars="196"/>
        <w:rPr>
          <w:rFonts w:ascii="宋体" w:hAnsi="宋体"/>
        </w:rPr>
      </w:pPr>
      <w:r>
        <w:rPr>
          <w:rFonts w:ascii="宋体" w:hAnsi="宋体" w:hint="eastAsia"/>
        </w:rPr>
        <w:t>23.2.4投标文件不能带病毒。政府集中采购机构将用专业杀毒软件对投标文件进行病毒检测，如果这两种软件均报告发现病毒，则政府集中采购机构认为该投标文件带病毒。</w:t>
      </w:r>
    </w:p>
    <w:p>
      <w:pPr>
        <w:ind w:firstLine="412" w:firstLineChars="196"/>
        <w:rPr>
          <w:rFonts w:ascii="宋体" w:hAnsi="宋体"/>
        </w:rPr>
      </w:pPr>
      <w:r>
        <w:rPr>
          <w:rFonts w:ascii="宋体" w:hAnsi="宋体" w:hint="eastAsia"/>
        </w:rPr>
        <w:t>23.2.5完整填写“投标关键信息”，如下图所示：</w:t>
      </w:r>
    </w:p>
    <w:p>
      <w:pPr>
        <w:ind w:firstLine="412" w:firstLineChars="196"/>
        <w:rPr>
          <w:rFonts w:ascii="宋体" w:hAnsi="宋体"/>
        </w:rPr>
      </w:pPr>
      <w:r>
        <w:rPr>
          <w:rFonts w:ascii="宋体" w:hAnsi="宋体"/>
        </w:rPr>
        <w:drawing>
          <wp:inline distT="0" distB="0" distL="0" distR="0">
            <wp:extent cx="5278755" cy="2721610"/>
            <wp:effectExtent l="0" t="0" r="0" b="2540"/>
            <wp:docPr id="9" name="图片 9"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形用户界面, 应用程序&#10;&#10;描述已自动生成"/>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ind w:firstLine="412" w:firstLineChars="196"/>
        <w:rPr>
          <w:rFonts w:ascii="宋体" w:hAnsi="宋体"/>
          <w:b/>
        </w:rPr>
      </w:pPr>
      <w:r>
        <w:rPr>
          <w:rFonts w:ascii="宋体" w:hAnsi="宋体" w:hint="eastAsia"/>
          <w:b/>
        </w:rPr>
        <w:t>备注：上述“开标一览表”中的“投标报价”将作为价格分计算依据；其它信息仅是对投标文件相关内容的概括性表述，不作为评审依据。</w:t>
      </w:r>
    </w:p>
    <w:p>
      <w:pPr>
        <w:ind w:firstLine="412" w:firstLineChars="196"/>
        <w:rPr>
          <w:rFonts w:ascii="宋体" w:hAnsi="宋体"/>
        </w:rPr>
      </w:pPr>
      <w:r>
        <w:rPr>
          <w:rFonts w:ascii="宋体" w:hAnsi="宋体" w:hint="eastAsia"/>
        </w:rPr>
        <w:t>23.2.6投标人在编辑投标文件时，</w:t>
      </w:r>
      <w:r>
        <w:rPr>
          <w:rFonts w:ascii="宋体" w:hAnsi="宋体" w:hint="eastAsia"/>
          <w:b/>
        </w:rPr>
        <w:t>在投标文件目录中属于本节点内容的必须在本节点中填写，填写到其他节点或附件，</w:t>
      </w:r>
      <w:r>
        <w:rPr>
          <w:rFonts w:ascii="宋体" w:hAnsi="宋体" w:hint="eastAsia"/>
        </w:rPr>
        <w:t>一切后果由供应商自行承担。</w:t>
      </w:r>
    </w:p>
    <w:p>
      <w:pPr>
        <w:ind w:firstLine="412" w:firstLineChars="196"/>
        <w:rPr>
          <w:rFonts w:ascii="宋体" w:hAnsi="宋体"/>
        </w:rPr>
      </w:pPr>
      <w:r>
        <w:rPr>
          <w:rFonts w:ascii="宋体" w:hAnsi="宋体" w:hint="eastAsia"/>
        </w:rPr>
        <w:t>23.2.7投标文件编写完成后，</w:t>
      </w:r>
      <w:r>
        <w:rPr>
          <w:rFonts w:ascii="宋体" w:hAnsi="宋体" w:hint="eastAsia"/>
          <w:b/>
        </w:rPr>
        <w:t>必须用属于投标人的电子密钥进行加密，否则视同未盖公章，将导致投标文件无效。</w:t>
      </w:r>
    </w:p>
    <w:p>
      <w:pPr>
        <w:ind w:firstLine="412" w:firstLineChars="196"/>
        <w:rPr>
          <w:rFonts w:ascii="宋体" w:hAnsi="宋体"/>
        </w:rPr>
      </w:pPr>
      <w:r>
        <w:rPr>
          <w:rFonts w:ascii="宋体" w:hAnsi="宋体" w:hint="eastAsia"/>
        </w:rPr>
        <w:t>23.2.8政府集中采购机构不接受投标截止时间后递交的纸质、电子、传真等所有形式的投标文件。由于对网上政府采购系统操作不熟悉或自身电脑、网络等原因导致不能在投标截止时间之前上传投标文件，政府集中采购机构概不负责。建议于开标前一个工作日完成投标文件的制作与上传，如上传确有困难，请及时咨询。</w:t>
      </w:r>
    </w:p>
    <w:p>
      <w:pPr>
        <w:ind w:firstLine="412" w:firstLineChars="196"/>
        <w:rPr>
          <w:rFonts w:ascii="宋体" w:hAnsi="宋体"/>
        </w:rPr>
      </w:pPr>
      <w:r>
        <w:rPr>
          <w:rFonts w:ascii="宋体" w:hAnsi="宋体" w:hint="eastAsia"/>
        </w:rPr>
        <w:t>23.2.9如果开标时出现网络故障、技术故障，影响了政府采购活动，政府集中采购机构有权采取措施如延期、接受无法从网上上传的投标书等，以保障政府采购活动的公开、公平和公正。</w:t>
      </w:r>
    </w:p>
    <w:p>
      <w:pPr>
        <w:ind w:firstLine="412" w:firstLineChars="196"/>
        <w:rPr>
          <w:rFonts w:ascii="宋体" w:hAnsi="宋体"/>
        </w:rPr>
      </w:pPr>
      <w:r>
        <w:rPr>
          <w:rFonts w:ascii="宋体" w:hAnsi="宋体" w:hint="eastAsia"/>
        </w:rPr>
        <w:t>23.3电报、电话、传真形式的投标概不接受。</w:t>
      </w:r>
    </w:p>
    <w:p>
      <w:pPr>
        <w:ind w:firstLine="412" w:firstLineChars="196"/>
        <w:rPr>
          <w:rFonts w:ascii="宋体" w:hAnsi="宋体"/>
          <w:b/>
        </w:rPr>
      </w:pPr>
      <w:r>
        <w:rPr>
          <w:rFonts w:ascii="宋体" w:hAnsi="宋体" w:hint="eastAsia"/>
          <w:b/>
        </w:rPr>
        <w:t>23.4经投标人电子密钥加密的投标文件无须盖章或签字，</w:t>
      </w:r>
      <w:r>
        <w:rPr>
          <w:rFonts w:ascii="宋体" w:hAnsi="宋体" w:hint="eastAsia"/>
        </w:rPr>
        <w:t>专用条款另有要求的除外。</w:t>
      </w:r>
    </w:p>
    <w:p>
      <w:pPr>
        <w:ind w:firstLine="412" w:firstLineChars="196"/>
        <w:rPr>
          <w:rFonts w:ascii="宋体" w:hAnsi="宋体"/>
        </w:rPr>
      </w:pPr>
      <w:r>
        <w:rPr>
          <w:rFonts w:ascii="宋体" w:hAnsi="宋体" w:hint="eastAsia"/>
          <w:b/>
        </w:rPr>
        <w:t>23.5</w:t>
      </w:r>
      <w:r>
        <w:rPr>
          <w:rFonts w:ascii="宋体" w:hAnsi="宋体" w:hint="eastAsia"/>
        </w:rPr>
        <w:t xml:space="preserve"> 各类资格（资质）文件提供扫描件，专用条款另有要求的除外。</w:t>
      </w:r>
      <w:bookmarkEnd w:id="59"/>
    </w:p>
    <w:p>
      <w:pPr>
        <w:pStyle w:val="Heading2"/>
        <w:numPr>
          <w:ilvl w:val="0"/>
          <w:numId w:val="12"/>
        </w:numPr>
        <w:tabs>
          <w:tab w:val="left" w:pos="360"/>
          <w:tab w:val="clear" w:pos="720"/>
        </w:tabs>
        <w:spacing w:before="120" w:beforeLines="50" w:after="120" w:afterLines="50"/>
        <w:ind w:left="562" w:hanging="562"/>
        <w:rPr>
          <w:sz w:val="28"/>
          <w:szCs w:val="28"/>
        </w:rPr>
      </w:pPr>
      <w:r>
        <w:rPr>
          <w:rFonts w:hint="eastAsia"/>
          <w:sz w:val="28"/>
          <w:szCs w:val="28"/>
        </w:rPr>
        <w:t>投标文件的递交</w:t>
      </w:r>
      <w:bookmarkStart w:id="60" w:name="_Hlk72405459"/>
    </w:p>
    <w:p>
      <w:pPr>
        <w:rPr>
          <w:rFonts w:ascii="黑体" w:eastAsia="黑体" w:hAnsi="宋体"/>
          <w:sz w:val="24"/>
        </w:rPr>
      </w:pPr>
      <w:r>
        <w:rPr>
          <w:rFonts w:ascii="黑体" w:eastAsia="黑体" w:hAnsi="宋体" w:hint="eastAsia"/>
          <w:sz w:val="24"/>
        </w:rPr>
        <w:t>24．投标书的保密</w:t>
      </w:r>
    </w:p>
    <w:p>
      <w:pPr>
        <w:ind w:firstLine="412" w:firstLineChars="196"/>
        <w:rPr>
          <w:rFonts w:ascii="宋体" w:hAnsi="宋体"/>
        </w:rPr>
      </w:pPr>
      <w:r>
        <w:rPr>
          <w:rFonts w:ascii="宋体" w:hAnsi="宋体" w:hint="eastAsia"/>
        </w:rPr>
        <w:t>24.1在投标文件制作完成后，在投标文件制作软件点击【生成标书】按钮进入【填写开标一览表界面】界面，在该界面填写完开标一览表信息后点击【确定】，进入投标文件生成环节。投标文件制作软件会在投标文件生成过程中，提示用户输入密码，输入密码后对标文件自动进行加密，此加密程序确保投标文件在到达开标时间后才能解密查看。在加密过程中，请按照软件提示进行操作。加密操作界面如下图所示：</w:t>
      </w:r>
    </w:p>
    <w:p>
      <w:pPr>
        <w:ind w:firstLine="412" w:firstLineChars="196"/>
        <w:rPr>
          <w:rFonts w:ascii="宋体" w:hAnsi="宋体"/>
        </w:rPr>
      </w:pPr>
      <w:r>
        <w:rPr>
          <w:rFonts w:ascii="宋体" w:hAnsi="宋体"/>
        </w:rPr>
        <w:drawing>
          <wp:inline distT="0" distB="0" distL="0" distR="0">
            <wp:extent cx="5278755" cy="2721610"/>
            <wp:effectExtent l="0" t="0" r="0" b="2540"/>
            <wp:docPr id="7" name="图片 7" descr="图形用户界面, 应用程序&#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形用户界面, 应用程序&#10;&#10;描述已自动生成"/>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21610"/>
                    </a:xfrm>
                    <a:prstGeom prst="rect">
                      <a:avLst/>
                    </a:prstGeom>
                    <a:noFill/>
                    <a:ln>
                      <a:noFill/>
                    </a:ln>
                  </pic:spPr>
                </pic:pic>
              </a:graphicData>
            </a:graphic>
          </wp:inline>
        </w:drawing>
      </w:r>
    </w:p>
    <w:p>
      <w:pPr>
        <w:ind w:firstLine="412" w:firstLineChars="196"/>
        <w:rPr>
          <w:rFonts w:ascii="宋体" w:hAnsi="宋体"/>
        </w:rPr>
      </w:pPr>
      <w:r>
        <w:rPr>
          <w:rFonts w:ascii="宋体" w:hAnsi="宋体" w:hint="eastAsia"/>
        </w:rPr>
        <w:t>在投标文件制作软件点击【生成标书】按钮进入【填写开标一览表界面】界面，在该界面填写完开标一览表信息后点击【确定】，进入投标文件生成环节。</w:t>
      </w:r>
      <w:r>
        <w:rPr>
          <w:rFonts w:ascii="宋体" w:hAnsi="宋体"/>
        </w:rPr>
        <w:drawing>
          <wp:inline distT="0" distB="0" distL="0" distR="0">
            <wp:extent cx="5278755" cy="2732405"/>
            <wp:effectExtent l="0" t="0" r="0" b="0"/>
            <wp:docPr id="8" name="图片 8" descr="图形用户界面&#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形用户界面&#10;&#10;描述已自动生成"/>
                    <pic:cNvPicPr>
                      <a:picLocks noChangeAspect="1" noChangeArrowheads="1"/>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5278755" cy="2732405"/>
                    </a:xfrm>
                    <a:prstGeom prst="rect">
                      <a:avLst/>
                    </a:prstGeom>
                    <a:noFill/>
                    <a:ln>
                      <a:noFill/>
                    </a:ln>
                  </pic:spPr>
                </pic:pic>
              </a:graphicData>
            </a:graphic>
          </wp:inline>
        </w:drawing>
      </w:r>
    </w:p>
    <w:p>
      <w:pPr>
        <w:ind w:firstLine="412" w:firstLineChars="196"/>
        <w:rPr>
          <w:rFonts w:ascii="宋体" w:hAnsi="宋体"/>
        </w:rPr>
      </w:pPr>
      <w:r>
        <w:rPr>
          <w:rFonts w:ascii="宋体" w:hAnsi="宋体" w:hint="eastAsia"/>
        </w:rPr>
        <w:t>投标文件制作软件会在投标文件生成过程中，提示用户输入密码，输入密码后对标文件自动进行加密。</w:t>
      </w:r>
    </w:p>
    <w:p>
      <w:pPr>
        <w:ind w:firstLine="420" w:firstLineChars="200"/>
        <w:rPr>
          <w:rFonts w:ascii="宋体" w:hAnsi="宋体"/>
          <w:b/>
        </w:rPr>
      </w:pPr>
      <w:r>
        <w:rPr>
          <w:rFonts w:ascii="宋体" w:hAnsi="宋体" w:hint="eastAsia"/>
          <w:b/>
        </w:rPr>
        <w:t>24.2若采购项目出现延期情况：</w:t>
      </w:r>
    </w:p>
    <w:p>
      <w:pPr>
        <w:ind w:firstLine="420" w:firstLineChars="200"/>
        <w:rPr>
          <w:rFonts w:ascii="黑体" w:eastAsia="黑体" w:hAnsi="宋体"/>
          <w:b/>
          <w:sz w:val="24"/>
        </w:rPr>
      </w:pPr>
      <w:r>
        <w:rPr>
          <w:rFonts w:ascii="宋体" w:hAnsi="宋体" w:hint="eastAsia"/>
          <w:b/>
        </w:rPr>
        <w:t>如果供下载的招标文件（后缀名为.</w:t>
      </w:r>
      <w:r>
        <w:rPr>
          <w:rFonts w:ascii="宋体" w:hAnsi="宋体"/>
          <w:b/>
        </w:rPr>
        <w:t>szczf</w:t>
      </w:r>
      <w:r>
        <w:rPr>
          <w:rFonts w:ascii="宋体" w:hAnsi="宋体" w:hint="eastAsia"/>
          <w:b/>
        </w:rPr>
        <w:t>）有更新，投标人必须重新下载招标文件、重新制作投标文件、重新加密投标文件、重新上传投标文件；如果供下载的招标文件（后缀名为.</w:t>
      </w:r>
      <w:r>
        <w:rPr>
          <w:rFonts w:ascii="宋体" w:hAnsi="宋体"/>
          <w:b/>
        </w:rPr>
        <w:t>szczf</w:t>
      </w:r>
      <w:r>
        <w:rPr>
          <w:rFonts w:ascii="宋体" w:hAnsi="宋体" w:hint="eastAsia"/>
          <w:b/>
        </w:rPr>
        <w:t>）没有更新，投标人必须重新加密投标文件、重新上传投标文件（是否重新制作投标文件根据项目实际情况定）。否则，投标人自行承担投标文件无法解密导致投标无效的后果。</w:t>
      </w:r>
    </w:p>
    <w:p>
      <w:pPr>
        <w:rPr>
          <w:rFonts w:ascii="黑体" w:eastAsia="黑体" w:hAnsi="宋体"/>
          <w:sz w:val="24"/>
        </w:rPr>
      </w:pPr>
      <w:r>
        <w:rPr>
          <w:rFonts w:ascii="黑体" w:eastAsia="黑体" w:hAnsi="宋体" w:hint="eastAsia"/>
          <w:sz w:val="24"/>
        </w:rPr>
        <w:t>25．上传投标文件及投标截止日期</w:t>
      </w:r>
    </w:p>
    <w:p>
      <w:pPr>
        <w:ind w:firstLine="412" w:firstLineChars="196"/>
        <w:rPr>
          <w:rFonts w:ascii="宋体" w:hAnsi="宋体"/>
        </w:rPr>
      </w:pPr>
      <w:r>
        <w:rPr>
          <w:rFonts w:ascii="宋体" w:hAnsi="宋体" w:hint="eastAsia"/>
        </w:rPr>
        <w:t>25</w:t>
      </w:r>
      <w:r>
        <w:rPr>
          <w:rFonts w:ascii="宋体" w:hAnsi="宋体"/>
        </w:rPr>
        <w:t>.</w:t>
      </w:r>
      <w:r>
        <w:rPr>
          <w:rFonts w:ascii="宋体" w:hAnsi="宋体" w:hint="eastAsia"/>
        </w:rPr>
        <w:t>1实行网上投标，</w:t>
      </w:r>
      <w:r>
        <w:rPr>
          <w:rFonts w:ascii="宋体" w:hAnsi="宋体"/>
        </w:rPr>
        <w:t>投标人必须</w:t>
      </w:r>
      <w:r>
        <w:rPr>
          <w:rFonts w:ascii="宋体" w:hAnsi="宋体" w:hint="eastAsia"/>
        </w:rPr>
        <w:t>在招标</w:t>
      </w:r>
      <w:r>
        <w:rPr>
          <w:rFonts w:ascii="宋体" w:hAnsi="宋体"/>
        </w:rPr>
        <w:t>文件规定的投标截止时间前</w:t>
      </w:r>
      <w:r>
        <w:rPr>
          <w:rFonts w:ascii="宋体" w:hAnsi="宋体" w:hint="eastAsia"/>
        </w:rPr>
        <w:t>用电子密钥登录“深圳政府采购智慧平台用户网上办事子系统（http://zfcg.szggzy.com:8081/TPBidder/memberLogin）”，用“【我的项目】→【项目流程】→【递交投标(应答)文件】”功能点上传投标文件。如上传过程中遇到问题，可拨打技术支持电话，联系方式：0755-88653300，转6。</w:t>
      </w:r>
    </w:p>
    <w:p>
      <w:pPr>
        <w:ind w:firstLine="412" w:firstLineChars="196"/>
        <w:rPr>
          <w:rFonts w:ascii="宋体" w:hAnsi="宋体"/>
        </w:rPr>
      </w:pPr>
      <w:r>
        <w:rPr>
          <w:rFonts w:ascii="宋体" w:hAnsi="宋体" w:hint="eastAsia"/>
        </w:rPr>
        <w:t>25.2政府集中采购机构可以按本通用条款第13条规定，通过修改招标文件自行决定酌情延长投标截止期。在此情况下，政府集中采购机构、采购人和投标人受投标截止期制约的所有权利和义务均应延长至新的截止期。</w:t>
      </w:r>
    </w:p>
    <w:p>
      <w:pPr>
        <w:ind w:firstLine="412" w:firstLineChars="196"/>
        <w:rPr>
          <w:rFonts w:ascii="宋体" w:hAnsi="宋体"/>
        </w:rPr>
      </w:pPr>
      <w:r>
        <w:rPr>
          <w:rFonts w:ascii="宋体" w:hAnsi="宋体" w:hint="eastAsia"/>
        </w:rPr>
        <w:t>25</w:t>
      </w:r>
      <w:r>
        <w:rPr>
          <w:rFonts w:ascii="宋体" w:hAnsi="宋体"/>
        </w:rPr>
        <w:t>.</w:t>
      </w:r>
      <w:r>
        <w:rPr>
          <w:rFonts w:ascii="宋体" w:hAnsi="宋体" w:hint="eastAsia"/>
        </w:rPr>
        <w:t>3投标截止时间以后不得上传投标文件。</w:t>
      </w:r>
    </w:p>
    <w:p>
      <w:pPr>
        <w:ind w:firstLine="412" w:firstLineChars="196"/>
        <w:rPr>
          <w:rFonts w:ascii="宋体" w:hAnsi="宋体"/>
        </w:rPr>
      </w:pPr>
      <w:r>
        <w:rPr>
          <w:rFonts w:ascii="宋体" w:hAnsi="宋体" w:hint="eastAsia"/>
        </w:rPr>
        <w:t>25.4.投标人须在开标当日的开标时间至解密截止时间内进行解密，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p>
    <w:p>
      <w:pPr>
        <w:rPr>
          <w:rFonts w:ascii="黑体" w:eastAsia="黑体" w:hAnsi="宋体"/>
          <w:sz w:val="24"/>
        </w:rPr>
      </w:pPr>
      <w:bookmarkEnd w:id="60"/>
      <w:r>
        <w:rPr>
          <w:rFonts w:ascii="黑体" w:eastAsia="黑体" w:hAnsi="宋体" w:hint="eastAsia"/>
          <w:sz w:val="24"/>
        </w:rPr>
        <w:t>26. 样品、演示、方案讲解</w:t>
      </w:r>
    </w:p>
    <w:p>
      <w:pPr>
        <w:ind w:firstLine="412" w:firstLineChars="196"/>
        <w:rPr>
          <w:rFonts w:ascii="宋体" w:hAnsi="宋体"/>
          <w:szCs w:val="21"/>
        </w:rPr>
      </w:pPr>
      <w:r>
        <w:rPr>
          <w:rFonts w:ascii="宋体" w:hAnsi="宋体" w:hint="eastAsia"/>
          <w:szCs w:val="21"/>
        </w:rPr>
        <w:t>26.1 样品、演示、方案讲解等事项在招标文件专用条款中进行规定。</w:t>
      </w:r>
    </w:p>
    <w:p>
      <w:pPr>
        <w:rPr>
          <w:rFonts w:ascii="黑体" w:eastAsia="黑体" w:hAnsi="宋体"/>
          <w:sz w:val="24"/>
        </w:rPr>
      </w:pPr>
      <w:bookmarkStart w:id="61" w:name="_Hlk72428346"/>
      <w:r>
        <w:rPr>
          <w:rFonts w:ascii="黑体" w:eastAsia="黑体" w:hAnsi="宋体"/>
          <w:sz w:val="24"/>
        </w:rPr>
        <w:t>2</w:t>
      </w:r>
      <w:r>
        <w:rPr>
          <w:rFonts w:ascii="黑体" w:eastAsia="黑体" w:hAnsi="宋体" w:hint="eastAsia"/>
          <w:sz w:val="24"/>
        </w:rPr>
        <w:t>7．</w:t>
      </w:r>
      <w:r>
        <w:rPr>
          <w:rFonts w:ascii="黑体" w:eastAsia="黑体" w:hAnsi="宋体"/>
          <w:sz w:val="24"/>
        </w:rPr>
        <w:t>投标文件的修改和撤销</w:t>
      </w:r>
    </w:p>
    <w:p>
      <w:pPr>
        <w:ind w:firstLine="412"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1</w:t>
      </w:r>
      <w:r>
        <w:rPr>
          <w:rFonts w:ascii="宋体" w:hAnsi="宋体"/>
        </w:rPr>
        <w:t>投标方在提交投标文件后可对其投标文件进行修改</w:t>
      </w:r>
      <w:r>
        <w:rPr>
          <w:rFonts w:ascii="宋体" w:hAnsi="宋体" w:hint="eastAsia"/>
        </w:rPr>
        <w:t>并重新上传投标文件</w:t>
      </w:r>
      <w:r>
        <w:rPr>
          <w:rFonts w:ascii="宋体" w:hAnsi="宋体"/>
        </w:rPr>
        <w:t>或</w:t>
      </w:r>
      <w:r>
        <w:rPr>
          <w:rFonts w:ascii="宋体" w:hAnsi="宋体" w:hint="eastAsia"/>
        </w:rPr>
        <w:t>在网上进行</w:t>
      </w:r>
      <w:r>
        <w:rPr>
          <w:rFonts w:ascii="宋体" w:hAnsi="宋体"/>
        </w:rPr>
        <w:t>撤销</w:t>
      </w:r>
      <w:r>
        <w:rPr>
          <w:rFonts w:ascii="宋体" w:hAnsi="宋体" w:hint="eastAsia"/>
        </w:rPr>
        <w:t>投标的操作</w:t>
      </w:r>
      <w:r>
        <w:rPr>
          <w:rFonts w:ascii="宋体" w:hAnsi="宋体"/>
        </w:rPr>
        <w:t>。</w:t>
      </w:r>
    </w:p>
    <w:p>
      <w:pPr>
        <w:ind w:firstLine="412"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2</w:t>
      </w:r>
      <w:r>
        <w:rPr>
          <w:rFonts w:ascii="宋体" w:hAnsi="宋体"/>
        </w:rPr>
        <w:t>投标截止时间以后不得修改投标文件。</w:t>
      </w:r>
    </w:p>
    <w:p>
      <w:pPr>
        <w:ind w:firstLine="412" w:firstLineChars="196"/>
        <w:rPr>
          <w:rFonts w:ascii="宋体" w:hAnsi="宋体"/>
        </w:rPr>
      </w:pPr>
      <w:r>
        <w:rPr>
          <w:rFonts w:ascii="宋体" w:hAnsi="宋体"/>
        </w:rPr>
        <w:t>2</w:t>
      </w:r>
      <w:r>
        <w:rPr>
          <w:rFonts w:ascii="宋体" w:hAnsi="宋体" w:hint="eastAsia"/>
        </w:rPr>
        <w:t>7</w:t>
      </w:r>
      <w:r>
        <w:rPr>
          <w:rFonts w:ascii="宋体" w:hAnsi="宋体"/>
        </w:rPr>
        <w:t>.</w:t>
      </w:r>
      <w:r>
        <w:rPr>
          <w:rFonts w:ascii="宋体" w:hAnsi="宋体" w:hint="eastAsia"/>
        </w:rPr>
        <w:t>3从投标截止期至投标人在投标文件中确定的投标有效期之间的这段时间内，投标人不得撤回其投标。</w:t>
      </w:r>
    </w:p>
    <w:p>
      <w:pPr>
        <w:ind w:firstLine="412" w:firstLineChars="196"/>
        <w:rPr>
          <w:rFonts w:ascii="宋体" w:hAnsi="宋体"/>
          <w:szCs w:val="21"/>
        </w:rPr>
      </w:pPr>
      <w:r>
        <w:rPr>
          <w:rFonts w:ascii="宋体" w:hAnsi="宋体" w:hint="eastAsia"/>
          <w:szCs w:val="21"/>
        </w:rPr>
        <w:t>27.4政府集中采购机构不退还投标文件，专用条款另有规定的除外。</w:t>
      </w:r>
    </w:p>
    <w:p>
      <w:pPr>
        <w:pStyle w:val="Heading2"/>
        <w:numPr>
          <w:ilvl w:val="0"/>
          <w:numId w:val="12"/>
        </w:numPr>
        <w:tabs>
          <w:tab w:val="left" w:pos="360"/>
          <w:tab w:val="clear" w:pos="720"/>
        </w:tabs>
        <w:spacing w:before="120" w:beforeLines="50" w:after="120" w:afterLines="50"/>
        <w:ind w:left="562" w:hanging="562"/>
        <w:rPr>
          <w:sz w:val="28"/>
          <w:szCs w:val="28"/>
        </w:rPr>
      </w:pPr>
      <w:bookmarkEnd w:id="61"/>
      <w:r>
        <w:rPr>
          <w:rFonts w:hint="eastAsia"/>
          <w:sz w:val="28"/>
          <w:szCs w:val="28"/>
        </w:rPr>
        <w:t>开标</w:t>
      </w:r>
    </w:p>
    <w:p>
      <w:pPr>
        <w:rPr>
          <w:rFonts w:ascii="黑体" w:eastAsia="黑体" w:hAnsi="宋体"/>
          <w:sz w:val="24"/>
        </w:rPr>
      </w:pPr>
      <w:r>
        <w:rPr>
          <w:rFonts w:ascii="黑体" w:eastAsia="黑体" w:hAnsi="宋体" w:hint="eastAsia"/>
          <w:sz w:val="24"/>
        </w:rPr>
        <w:t>28．开标</w:t>
      </w:r>
    </w:p>
    <w:p>
      <w:pPr>
        <w:ind w:firstLine="420" w:firstLineChars="200"/>
        <w:rPr>
          <w:rFonts w:ascii="宋体" w:hAnsi="宋体"/>
        </w:rPr>
      </w:pPr>
      <w:r>
        <w:rPr>
          <w:rFonts w:ascii="宋体" w:hAnsi="宋体"/>
          <w:szCs w:val="21"/>
        </w:rPr>
        <w:t>2</w:t>
      </w:r>
      <w:r>
        <w:rPr>
          <w:rFonts w:ascii="宋体" w:hAnsi="宋体" w:hint="eastAsia"/>
          <w:szCs w:val="21"/>
        </w:rPr>
        <w:t>8</w:t>
      </w:r>
      <w:r>
        <w:rPr>
          <w:rFonts w:ascii="宋体" w:hAnsi="宋体"/>
          <w:szCs w:val="21"/>
        </w:rPr>
        <w:t>.</w:t>
      </w:r>
      <w:r>
        <w:rPr>
          <w:rFonts w:ascii="宋体" w:hAnsi="宋体" w:hint="eastAsia"/>
          <w:szCs w:val="21"/>
        </w:rPr>
        <w:t>1</w:t>
      </w:r>
      <w:r>
        <w:rPr>
          <w:rFonts w:ascii="宋体" w:hAnsi="宋体" w:hint="eastAsia"/>
        </w:rPr>
        <w:t>投标人须在开标当日的开标时间至解密截止时间内进行解密，逾期未解密的作无效处理。解密方法：登录“深圳政府采购智慧平台用户网上办事子系统（http://zfcg.szggzy.com:8081/TPBidder/memberLogin）”，使用本单位制作电子投标文件同一个电子密钥，在“【我的项目】→【项目流程】→【开标及解密】”进行在线解密、查询开标情况。</w:t>
      </w:r>
    </w:p>
    <w:p>
      <w:pPr>
        <w:ind w:firstLine="359" w:firstLineChars="171"/>
        <w:rPr>
          <w:rFonts w:ascii="宋体" w:hAnsi="宋体"/>
          <w:szCs w:val="21"/>
        </w:rPr>
      </w:pPr>
      <w:r>
        <w:rPr>
          <w:rFonts w:ascii="宋体" w:hAnsi="宋体" w:hint="eastAsia"/>
          <w:szCs w:val="21"/>
        </w:rPr>
        <w:t>2</w:t>
      </w:r>
      <w:r>
        <w:rPr>
          <w:rFonts w:ascii="宋体" w:hAnsi="宋体"/>
          <w:szCs w:val="21"/>
        </w:rPr>
        <w:t xml:space="preserve">8.2 </w:t>
      </w:r>
      <w:r>
        <w:rPr>
          <w:rFonts w:ascii="宋体" w:hAnsi="宋体" w:hint="eastAsia"/>
          <w:szCs w:val="21"/>
        </w:rPr>
        <w:t>政府集中采购机构将在满足开标条件（</w:t>
      </w:r>
      <w:r>
        <w:rPr>
          <w:rFonts w:ascii="宋体" w:hAnsi="宋体" w:cs="宋体" w:hint="eastAsia"/>
          <w:color w:val="333333"/>
          <w:sz w:val="20"/>
          <w:szCs w:val="20"/>
          <w:shd w:val="clear" w:color="auto" w:fill="FFFFFF"/>
        </w:rPr>
        <w:t>①</w:t>
      </w:r>
      <w:r>
        <w:rPr>
          <w:rFonts w:ascii="宋体" w:hAnsi="宋体" w:hint="eastAsia"/>
          <w:szCs w:val="21"/>
        </w:rPr>
        <w:t>解密时间结束，解密后的投标供应商数量满足开标要求或</w:t>
      </w:r>
      <w:r>
        <w:rPr>
          <w:rFonts w:ascii="宋体" w:hAnsi="宋体" w:cs="宋体" w:hint="eastAsia"/>
          <w:color w:val="333333"/>
          <w:sz w:val="20"/>
          <w:szCs w:val="20"/>
          <w:shd w:val="clear" w:color="auto" w:fill="FFFFFF"/>
        </w:rPr>
        <w:t>②</w:t>
      </w:r>
      <w:r>
        <w:rPr>
          <w:rFonts w:ascii="宋体" w:hAnsi="宋体" w:hint="eastAsia"/>
          <w:szCs w:val="21"/>
        </w:rPr>
        <w:t>解密时间结束前所有投标供应商均完成投标文件解密）后，对投标文件进行开标，并在网上公布开标结果。</w:t>
      </w:r>
    </w:p>
    <w:p>
      <w:pPr>
        <w:pStyle w:val="Heading2"/>
        <w:numPr>
          <w:ilvl w:val="0"/>
          <w:numId w:val="12"/>
        </w:numPr>
        <w:tabs>
          <w:tab w:val="left" w:pos="360"/>
          <w:tab w:val="clear" w:pos="720"/>
        </w:tabs>
        <w:spacing w:before="120" w:beforeLines="50" w:after="120" w:afterLines="50"/>
        <w:ind w:left="562" w:hanging="562"/>
        <w:rPr>
          <w:sz w:val="28"/>
          <w:szCs w:val="28"/>
        </w:rPr>
      </w:pPr>
      <w:r>
        <w:rPr>
          <w:rFonts w:hint="eastAsia"/>
          <w:sz w:val="28"/>
          <w:szCs w:val="28"/>
        </w:rPr>
        <w:t>评审要求</w:t>
      </w:r>
    </w:p>
    <w:p>
      <w:pPr>
        <w:rPr>
          <w:rFonts w:ascii="黑体" w:eastAsia="黑体" w:hAnsi="宋体"/>
          <w:sz w:val="24"/>
        </w:rPr>
      </w:pPr>
      <w:r>
        <w:rPr>
          <w:rFonts w:ascii="黑体" w:eastAsia="黑体" w:hAnsi="宋体" w:hint="eastAsia"/>
          <w:sz w:val="24"/>
        </w:rPr>
        <w:t>29．评审委员会组成</w:t>
      </w:r>
    </w:p>
    <w:p>
      <w:pPr>
        <w:ind w:firstLine="412" w:firstLineChars="196"/>
        <w:rPr>
          <w:rFonts w:ascii="宋体" w:hAnsi="宋体"/>
        </w:rPr>
      </w:pPr>
      <w:r>
        <w:rPr>
          <w:rFonts w:ascii="宋体" w:hAnsi="宋体" w:hint="eastAsia"/>
        </w:rPr>
        <w:t>29.1网上开标结束后召开评审会议，</w:t>
      </w:r>
      <w:r>
        <w:rPr>
          <w:rFonts w:ascii="宋体" w:hAnsi="宋体" w:hint="eastAsia"/>
          <w:szCs w:val="21"/>
        </w:rPr>
        <w:t>评审委员会</w:t>
      </w:r>
      <w:r>
        <w:rPr>
          <w:rFonts w:ascii="宋体" w:hAnsi="宋体" w:hint="eastAsia"/>
        </w:rPr>
        <w:t>由政府集中采购机构依法组建，负责评审活动。</w:t>
      </w:r>
    </w:p>
    <w:p>
      <w:pPr>
        <w:ind w:firstLine="412" w:firstLineChars="196"/>
        <w:rPr>
          <w:rFonts w:ascii="宋体" w:hAnsi="宋体"/>
        </w:rPr>
      </w:pPr>
      <w:bookmarkStart w:id="62" w:name="_Hlk72436580"/>
      <w:r>
        <w:rPr>
          <w:rFonts w:ascii="宋体" w:hAnsi="宋体" w:hint="eastAsia"/>
        </w:rPr>
        <w:t>评审委员会由采购人代表和评审专家组成，成员人数应当为5人以上单数（部分条件下为7人以上单数），其中评审专家不得少于成员总数的三分之二。</w:t>
      </w:r>
      <w:bookmarkEnd w:id="62"/>
      <w:r>
        <w:rPr>
          <w:rFonts w:ascii="宋体" w:hAnsi="宋体" w:hint="eastAsia"/>
        </w:rPr>
        <w:t>评定</w:t>
      </w:r>
      <w:r>
        <w:rPr>
          <w:rFonts w:hint="eastAsia"/>
        </w:rPr>
        <w:t>分离项目</w:t>
      </w:r>
      <w:r>
        <w:t>评审专家</w:t>
      </w:r>
      <w:r>
        <w:rPr>
          <w:rFonts w:hint="eastAsia"/>
        </w:rPr>
        <w:t>均</w:t>
      </w:r>
      <w:r>
        <w:t>由</w:t>
      </w:r>
      <w:r>
        <w:rPr>
          <w:rFonts w:hint="eastAsia"/>
        </w:rPr>
        <w:t>评审专家组成。</w:t>
      </w:r>
      <w:r>
        <w:rPr>
          <w:rFonts w:ascii="宋体" w:hAnsi="宋体" w:hint="eastAsia"/>
          <w:szCs w:val="21"/>
        </w:rPr>
        <w:t>评审专家一般是</w:t>
      </w:r>
      <w:r>
        <w:rPr>
          <w:rFonts w:ascii="宋体" w:hAnsi="宋体" w:hint="eastAsia"/>
        </w:rPr>
        <w:t>从深圳市政府采购评审专家库中随机抽取。采购人代表须持采购人出具的《评审授权书》参加评审。</w:t>
      </w:r>
    </w:p>
    <w:p>
      <w:pPr>
        <w:ind w:firstLine="412" w:firstLineChars="196"/>
        <w:rPr>
          <w:rFonts w:ascii="宋体" w:hAnsi="宋体"/>
        </w:rPr>
      </w:pPr>
      <w:r>
        <w:rPr>
          <w:rFonts w:ascii="宋体" w:hAnsi="宋体" w:hint="eastAsia"/>
        </w:rPr>
        <w:t>29.2评审定标应当遵循公平、公正、科学、择优的原则。</w:t>
      </w:r>
    </w:p>
    <w:p>
      <w:pPr>
        <w:ind w:firstLine="412" w:firstLineChars="196"/>
        <w:rPr>
          <w:rFonts w:ascii="宋体" w:hAnsi="宋体"/>
        </w:rPr>
      </w:pPr>
      <w:r>
        <w:rPr>
          <w:rFonts w:ascii="宋体" w:hAnsi="宋体" w:hint="eastAsia"/>
        </w:rPr>
        <w:t>29.3评审活动依法进行，任何单位和个人不得非法干预评标过程和结果。</w:t>
      </w:r>
    </w:p>
    <w:p>
      <w:pPr>
        <w:ind w:firstLine="412" w:firstLineChars="196"/>
        <w:rPr>
          <w:rFonts w:ascii="宋体" w:hAnsi="宋体"/>
        </w:rPr>
      </w:pPr>
      <w:r>
        <w:rPr>
          <w:rFonts w:ascii="宋体" w:hAnsi="宋体" w:hint="eastAsia"/>
        </w:rPr>
        <w:t>29.4评审过程中不允许违背评标程序或采用招标文件未载明的评标方法或评标因素进行评标。</w:t>
      </w:r>
    </w:p>
    <w:p>
      <w:pPr>
        <w:ind w:firstLine="412" w:firstLineChars="196"/>
        <w:rPr>
          <w:rFonts w:ascii="宋体" w:hAnsi="宋体"/>
          <w:bCs/>
        </w:rPr>
      </w:pPr>
      <w:r>
        <w:rPr>
          <w:rFonts w:ascii="宋体" w:hAnsi="宋体" w:hint="eastAsia"/>
          <w:bCs/>
        </w:rPr>
        <w:t>29.5 开标后，直到签订合同为止，凡属于对投标文件的审查、澄清、评价和比较的有关资料以及中标候选人的推荐情况、与评审有关的其他任何情况均严格保密（</w:t>
      </w:r>
      <w:r>
        <w:rPr>
          <w:rFonts w:hint="eastAsia"/>
        </w:rPr>
        <w:t>信息公开的内容除外</w:t>
      </w:r>
      <w:r>
        <w:rPr>
          <w:rFonts w:ascii="宋体" w:hAnsi="宋体" w:hint="eastAsia"/>
          <w:bCs/>
        </w:rPr>
        <w:t>）。</w:t>
      </w:r>
    </w:p>
    <w:p>
      <w:pPr>
        <w:rPr>
          <w:rFonts w:ascii="黑体" w:eastAsia="黑体" w:hAnsi="宋体"/>
          <w:sz w:val="24"/>
        </w:rPr>
      </w:pPr>
      <w:r>
        <w:rPr>
          <w:rFonts w:ascii="黑体" w:eastAsia="黑体" w:hAnsi="宋体" w:hint="eastAsia"/>
          <w:sz w:val="24"/>
        </w:rPr>
        <w:t>30．向评审委员会提供的资料</w:t>
      </w:r>
    </w:p>
    <w:p>
      <w:pPr>
        <w:ind w:firstLine="412" w:firstLineChars="196"/>
        <w:rPr>
          <w:rFonts w:ascii="宋体" w:hAnsi="宋体"/>
        </w:rPr>
      </w:pPr>
      <w:r>
        <w:rPr>
          <w:rFonts w:ascii="宋体" w:hAnsi="宋体" w:hint="eastAsia"/>
        </w:rPr>
        <w:t>30.1公开发布的招标文件，包括图纸、服务清单、答疑文件等；</w:t>
      </w:r>
    </w:p>
    <w:p>
      <w:pPr>
        <w:ind w:firstLine="412" w:firstLineChars="196"/>
        <w:rPr>
          <w:rFonts w:ascii="宋体" w:hAnsi="宋体"/>
        </w:rPr>
      </w:pPr>
      <w:r>
        <w:rPr>
          <w:rFonts w:ascii="宋体" w:hAnsi="宋体" w:hint="eastAsia"/>
        </w:rPr>
        <w:t>30.2其他评标必须的资料。</w:t>
      </w:r>
    </w:p>
    <w:p>
      <w:pPr>
        <w:ind w:firstLine="412" w:firstLineChars="196"/>
        <w:rPr>
          <w:rFonts w:ascii="宋体" w:hAnsi="宋体"/>
        </w:rPr>
      </w:pPr>
      <w:r>
        <w:rPr>
          <w:rFonts w:ascii="宋体" w:hAnsi="宋体" w:hint="eastAsia"/>
        </w:rPr>
        <w:t>30.3</w:t>
      </w:r>
      <w:r>
        <w:rPr>
          <w:rFonts w:ascii="宋体" w:hAnsi="宋体" w:hint="eastAsia"/>
          <w:szCs w:val="21"/>
        </w:rPr>
        <w:t>评审委员会</w:t>
      </w:r>
      <w:r>
        <w:rPr>
          <w:rFonts w:ascii="宋体" w:hAnsi="宋体" w:hint="eastAsia"/>
        </w:rPr>
        <w:t>应当认真研究招标文件，至少应了解熟悉以下内容：</w:t>
      </w:r>
    </w:p>
    <w:p>
      <w:pPr>
        <w:ind w:firstLine="412" w:firstLineChars="196"/>
        <w:rPr>
          <w:rFonts w:ascii="宋体" w:hAnsi="宋体"/>
        </w:rPr>
      </w:pPr>
      <w:r>
        <w:rPr>
          <w:rFonts w:ascii="宋体" w:hAnsi="宋体" w:hint="eastAsia"/>
        </w:rPr>
        <w:t>（1）招标的目的；</w:t>
      </w:r>
    </w:p>
    <w:p>
      <w:pPr>
        <w:ind w:firstLine="412" w:firstLineChars="196"/>
        <w:rPr>
          <w:rFonts w:ascii="宋体" w:hAnsi="宋体"/>
        </w:rPr>
      </w:pPr>
      <w:r>
        <w:rPr>
          <w:rFonts w:ascii="宋体" w:hAnsi="宋体" w:hint="eastAsia"/>
        </w:rPr>
        <w:t>（2）招标项目需求的范围和性质；</w:t>
      </w:r>
    </w:p>
    <w:p>
      <w:pPr>
        <w:ind w:firstLine="412" w:firstLineChars="196"/>
        <w:rPr>
          <w:rFonts w:ascii="宋体" w:hAnsi="宋体"/>
        </w:rPr>
      </w:pPr>
      <w:r>
        <w:rPr>
          <w:rFonts w:ascii="宋体" w:hAnsi="宋体" w:hint="eastAsia"/>
        </w:rPr>
        <w:t>（3）招标文件规定的投标人的资格、预算金额、商务条款；</w:t>
      </w:r>
    </w:p>
    <w:p>
      <w:pPr>
        <w:ind w:firstLine="412" w:firstLineChars="196"/>
        <w:rPr>
          <w:rFonts w:ascii="宋体" w:hAnsi="宋体"/>
        </w:rPr>
      </w:pPr>
      <w:r>
        <w:rPr>
          <w:rFonts w:ascii="宋体" w:hAnsi="宋体" w:hint="eastAsia"/>
        </w:rPr>
        <w:t>（4）招标文件规定的评标程序、评标方法和评标因素；</w:t>
      </w:r>
    </w:p>
    <w:p>
      <w:pPr>
        <w:ind w:firstLine="412" w:firstLineChars="196"/>
        <w:rPr>
          <w:rFonts w:ascii="宋体" w:hAnsi="宋体"/>
        </w:rPr>
      </w:pPr>
      <w:r>
        <w:rPr>
          <w:rFonts w:ascii="宋体" w:hAnsi="宋体" w:hint="eastAsia"/>
        </w:rPr>
        <w:t>（5）招标文件所列示的资格性审查表及符合性审查表。</w:t>
      </w:r>
    </w:p>
    <w:p>
      <w:pPr>
        <w:rPr>
          <w:rFonts w:ascii="黑体" w:eastAsia="黑体" w:hAnsi="宋体"/>
          <w:sz w:val="24"/>
        </w:rPr>
      </w:pPr>
      <w:r>
        <w:rPr>
          <w:rFonts w:ascii="黑体" w:eastAsia="黑体" w:hAnsi="宋体" w:hint="eastAsia"/>
          <w:sz w:val="24"/>
        </w:rPr>
        <w:t>31．独立评审</w:t>
      </w:r>
    </w:p>
    <w:p>
      <w:pPr>
        <w:ind w:firstLine="412" w:firstLineChars="196"/>
        <w:rPr>
          <w:rFonts w:ascii="宋体" w:hAnsi="宋体"/>
          <w:bCs/>
        </w:rPr>
      </w:pPr>
      <w:r>
        <w:rPr>
          <w:rFonts w:ascii="宋体" w:hAnsi="宋体" w:hint="eastAsia"/>
          <w:bCs/>
        </w:rPr>
        <w:t>3</w:t>
      </w:r>
      <w:r>
        <w:rPr>
          <w:rFonts w:ascii="宋体" w:hAnsi="宋体"/>
          <w:bCs/>
        </w:rPr>
        <w:t>1</w:t>
      </w:r>
      <w:r>
        <w:rPr>
          <w:rFonts w:ascii="宋体" w:hAnsi="宋体" w:hint="eastAsia"/>
          <w:bCs/>
        </w:rPr>
        <w:t>.1</w:t>
      </w:r>
      <w:r>
        <w:rPr>
          <w:rFonts w:ascii="宋体" w:hAnsi="宋体" w:hint="eastAsia"/>
          <w:szCs w:val="21"/>
        </w:rPr>
        <w:t>评审委员会</w:t>
      </w:r>
      <w:r>
        <w:rPr>
          <w:rFonts w:ascii="宋体" w:hAnsi="宋体" w:hint="eastAsia"/>
          <w:bCs/>
        </w:rPr>
        <w:t>成员的评标活动应当独立进行，并应遵循投标文件初审、澄清有关问题、比较与评价、确定中标供应商、编写评审报告的工作程序。</w:t>
      </w:r>
    </w:p>
    <w:p>
      <w:pPr>
        <w:pStyle w:val="Heading2"/>
        <w:numPr>
          <w:ilvl w:val="0"/>
          <w:numId w:val="12"/>
        </w:numPr>
        <w:tabs>
          <w:tab w:val="left" w:pos="360"/>
          <w:tab w:val="clear" w:pos="720"/>
        </w:tabs>
        <w:spacing w:before="120" w:beforeLines="50" w:after="120" w:afterLines="50"/>
        <w:ind w:left="562" w:hanging="562"/>
        <w:rPr>
          <w:sz w:val="28"/>
          <w:szCs w:val="28"/>
        </w:rPr>
      </w:pPr>
      <w:r>
        <w:rPr>
          <w:rFonts w:hint="eastAsia"/>
          <w:sz w:val="28"/>
          <w:szCs w:val="28"/>
        </w:rPr>
        <w:t>评审程序及评审方法</w:t>
      </w:r>
    </w:p>
    <w:p>
      <w:pPr>
        <w:rPr>
          <w:rFonts w:ascii="黑体" w:eastAsia="黑体" w:hAnsi="宋体"/>
          <w:sz w:val="24"/>
        </w:rPr>
      </w:pPr>
      <w:r>
        <w:rPr>
          <w:rFonts w:ascii="黑体" w:eastAsia="黑体" w:hAnsi="宋体" w:hint="eastAsia"/>
          <w:sz w:val="24"/>
        </w:rPr>
        <w:t>32．投标文件初审</w:t>
      </w:r>
    </w:p>
    <w:p>
      <w:pPr>
        <w:ind w:firstLine="412" w:firstLineChars="196"/>
        <w:rPr>
          <w:rFonts w:ascii="宋体" w:hAnsi="宋体"/>
        </w:rPr>
      </w:pPr>
      <w:r>
        <w:rPr>
          <w:rFonts w:ascii="宋体" w:hAnsi="宋体" w:hint="eastAsia"/>
        </w:rPr>
        <w:t>32.1投标文件初审包括资格性审查和符合性审查。</w:t>
      </w:r>
    </w:p>
    <w:p>
      <w:pPr>
        <w:ind w:firstLine="412" w:firstLineChars="196"/>
        <w:rPr>
          <w:rFonts w:ascii="宋体" w:hAnsi="宋体"/>
        </w:rPr>
      </w:pPr>
      <w:r>
        <w:rPr>
          <w:rFonts w:ascii="宋体" w:hAnsi="宋体" w:hint="eastAsia"/>
        </w:rPr>
        <w:t>资格性审查：依据法律法规和招标文件的规定，对投标文件中的资格证明等进行审查，以确定投标供应商是否具备投标资格。</w:t>
      </w:r>
    </w:p>
    <w:p>
      <w:pPr>
        <w:ind w:firstLine="412" w:firstLineChars="196"/>
        <w:rPr>
          <w:rFonts w:ascii="宋体" w:hAnsi="宋体"/>
        </w:rPr>
      </w:pPr>
      <w:r>
        <w:rPr>
          <w:rFonts w:ascii="宋体" w:hAnsi="宋体" w:hint="eastAsia"/>
        </w:rPr>
        <w:t>符合性审查：依据招标文件的规定，对投标文件的有效性、完整性和对招标文件的响应程度进行审查，以确定是否满足符合性审查的要求。</w:t>
      </w:r>
    </w:p>
    <w:p>
      <w:pPr>
        <w:ind w:firstLine="412" w:firstLineChars="196"/>
        <w:rPr>
          <w:rFonts w:ascii="宋体" w:hAnsi="宋体"/>
        </w:rPr>
      </w:pPr>
      <w:r>
        <w:rPr>
          <w:rFonts w:ascii="宋体" w:hAnsi="宋体" w:hint="eastAsia"/>
        </w:rPr>
        <w:t>32.2 投标文件初审内容请详见《资格性审查表》和《符合性审查表》部分。投标人若有一条审查不通过则按投标无效处理。</w:t>
      </w:r>
    </w:p>
    <w:p>
      <w:pPr>
        <w:ind w:firstLine="412" w:firstLineChars="196"/>
        <w:rPr>
          <w:rFonts w:ascii="宋体" w:hAnsi="宋体"/>
          <w:bCs/>
        </w:rPr>
      </w:pPr>
      <w:r>
        <w:rPr>
          <w:rFonts w:ascii="宋体" w:hAnsi="宋体" w:hint="eastAsia"/>
          <w:bCs/>
        </w:rPr>
        <w:t>32.3 投标文件初审中关于供应商家数的计算:</w:t>
      </w:r>
    </w:p>
    <w:p>
      <w:pPr>
        <w:ind w:firstLine="412" w:firstLineChars="196"/>
        <w:rPr>
          <w:rFonts w:ascii="宋体" w:hAnsi="宋体"/>
          <w:bCs/>
        </w:rPr>
      </w:pPr>
      <w:r>
        <w:rPr>
          <w:rFonts w:ascii="宋体" w:hAnsi="宋体" w:hint="eastAsia"/>
          <w:bCs/>
        </w:rPr>
        <w:t>32.3.1采用最低评标价法的采购项目，提供相同品牌产品的不同投标人参加同一合同项下投标的，以其中通过资格审查、符合性审查且报价最低的参加评标；报价相同的，由采购人或者采购人委托评审委员会按照招标文件规定的方式确定一个参加评审的投标人，招标文件未规定的采取随机抽取方式确定，其他投标无效。</w:t>
      </w:r>
    </w:p>
    <w:p>
      <w:pPr>
        <w:ind w:firstLine="412" w:firstLineChars="196"/>
        <w:rPr>
          <w:rFonts w:ascii="宋体" w:hAnsi="宋体"/>
          <w:bCs/>
        </w:rPr>
      </w:pPr>
      <w:r>
        <w:rPr>
          <w:rFonts w:ascii="宋体" w:hAnsi="宋体" w:hint="eastAsia"/>
          <w:bCs/>
        </w:rPr>
        <w:t>32.3.2采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w:t>
      </w:r>
      <w:r>
        <w:rPr>
          <w:rFonts w:ascii="宋体" w:hAnsi="宋体" w:hint="eastAsia"/>
          <w:bCs/>
          <w:szCs w:val="21"/>
        </w:rPr>
        <w:t>评审委员会</w:t>
      </w:r>
      <w:r>
        <w:rPr>
          <w:rFonts w:ascii="宋体" w:hAnsi="宋体" w:hint="eastAsia"/>
          <w:bCs/>
        </w:rPr>
        <w:t>按照招标文件规定的方式确定一个投标人获得中标人推荐资格，招标文件未规定的采取随机抽取方式确定，其他同品牌投标人不作为中标候选人。</w:t>
      </w:r>
    </w:p>
    <w:p>
      <w:pPr>
        <w:ind w:firstLine="412" w:firstLineChars="196"/>
        <w:rPr>
          <w:rFonts w:ascii="宋体" w:hAnsi="宋体"/>
          <w:bCs/>
        </w:rPr>
      </w:pPr>
      <w:r>
        <w:rPr>
          <w:rFonts w:ascii="宋体" w:hAnsi="宋体" w:hint="eastAsia"/>
          <w:bCs/>
        </w:rPr>
        <w:t>32.3.3非单一产品采购项目，采购人应当根据采购项目技术构成、产品价格比重等合理确定核心产品，并在招标文件中载明。多家投标人提供的核心产品品牌相同的，按前两款规定处理。</w:t>
      </w:r>
    </w:p>
    <w:p>
      <w:pPr>
        <w:ind w:firstLine="412" w:firstLineChars="196"/>
        <w:rPr>
          <w:rFonts w:ascii="宋体" w:hAnsi="宋体"/>
        </w:rPr>
      </w:pPr>
      <w:r>
        <w:rPr>
          <w:rFonts w:ascii="宋体" w:hAnsi="宋体" w:hint="eastAsia"/>
        </w:rPr>
        <w:t>32.4投标人投标文件作无效处理的情形，具体包括但不限于以下：</w:t>
      </w:r>
    </w:p>
    <w:p>
      <w:pPr>
        <w:ind w:firstLine="412" w:firstLineChars="196"/>
      </w:pPr>
      <w:r>
        <w:rPr>
          <w:rFonts w:ascii="宋体" w:hAnsi="宋体" w:hint="eastAsia"/>
        </w:rPr>
        <w:t>32.4.1</w:t>
      </w:r>
      <w:r>
        <w:rPr>
          <w:rFonts w:hint="eastAsia"/>
        </w:rPr>
        <w:t>不同投标人的投标文件由同一单位或者同一个人编制，或者由同一个人分阶段参与编制；</w:t>
      </w:r>
    </w:p>
    <w:p>
      <w:pPr>
        <w:ind w:firstLine="412" w:firstLineChars="196"/>
      </w:pPr>
      <w:r>
        <w:rPr>
          <w:rFonts w:ascii="宋体" w:hAnsi="宋体"/>
        </w:rPr>
        <w:t>32.4.</w:t>
      </w:r>
      <w:r>
        <w:rPr>
          <w:rFonts w:ascii="宋体" w:hAnsi="宋体" w:hint="eastAsia"/>
        </w:rPr>
        <w:t>2</w:t>
      </w:r>
      <w:r>
        <w:rPr>
          <w:rFonts w:hint="eastAsia"/>
        </w:rPr>
        <w:t>不同投标人委托同一单位或者个人办理投标事宜；</w:t>
      </w:r>
    </w:p>
    <w:p>
      <w:pPr>
        <w:ind w:firstLine="412" w:firstLineChars="196"/>
        <w:rPr>
          <w:rFonts w:ascii="宋体" w:hAnsi="宋体"/>
        </w:rPr>
      </w:pPr>
      <w:r>
        <w:rPr>
          <w:rFonts w:ascii="宋体" w:hAnsi="宋体" w:hint="eastAsia"/>
        </w:rPr>
        <w:t>32.4.3不同投标人的投标文件载明的项目管理成员或者联系人员为同一人；</w:t>
      </w:r>
    </w:p>
    <w:p>
      <w:pPr>
        <w:ind w:firstLine="412" w:firstLineChars="196"/>
        <w:rPr>
          <w:rFonts w:ascii="宋体" w:hAnsi="宋体"/>
        </w:rPr>
      </w:pPr>
      <w:r>
        <w:rPr>
          <w:rFonts w:ascii="宋体" w:hAnsi="宋体" w:hint="eastAsia"/>
        </w:rPr>
        <w:t>32.4.4不同投标人的投标文件异常一致或者投标报价呈规律性差异；</w:t>
      </w:r>
    </w:p>
    <w:p>
      <w:pPr>
        <w:ind w:firstLine="412" w:firstLineChars="196"/>
        <w:rPr>
          <w:rFonts w:ascii="宋体" w:hAnsi="宋体"/>
        </w:rPr>
      </w:pPr>
      <w:r>
        <w:rPr>
          <w:rFonts w:ascii="宋体" w:hAnsi="宋体" w:hint="eastAsia"/>
        </w:rPr>
        <w:t>32.4.5</w:t>
      </w:r>
      <w:r>
        <w:rPr>
          <w:rFonts w:ascii="宋体" w:hAnsi="宋体"/>
        </w:rPr>
        <w:t>不同投标供应商的投标文件或部分投标文件相互混装</w:t>
      </w:r>
      <w:r>
        <w:rPr>
          <w:rFonts w:ascii="宋体" w:hAnsi="宋体" w:hint="eastAsia"/>
        </w:rPr>
        <w:t>；</w:t>
      </w:r>
    </w:p>
    <w:p>
      <w:pPr>
        <w:ind w:firstLine="412" w:firstLineChars="196"/>
        <w:rPr>
          <w:rFonts w:ascii="宋体" w:hAnsi="宋体"/>
        </w:rPr>
      </w:pPr>
      <w:r>
        <w:rPr>
          <w:rFonts w:ascii="宋体" w:hAnsi="宋体" w:hint="eastAsia"/>
        </w:rPr>
        <w:t>32.4.6投标供应商之间相互约定给予未中标的供应商利益补偿；</w:t>
      </w:r>
    </w:p>
    <w:p>
      <w:pPr>
        <w:ind w:firstLine="412" w:firstLineChars="196"/>
        <w:rPr>
          <w:rFonts w:ascii="宋体" w:hAnsi="宋体"/>
        </w:rPr>
      </w:pPr>
      <w:r>
        <w:rPr>
          <w:rFonts w:ascii="宋体" w:hAnsi="宋体" w:hint="eastAsia"/>
        </w:rPr>
        <w:t>32.4.7不同投标供应商的法定代表人、主要经营负责人、项目投标授权代表人、项目负责人、主要技术人员为同一人、属同一单位或者同一单位缴纳社会保险；</w:t>
      </w:r>
    </w:p>
    <w:p>
      <w:pPr>
        <w:ind w:firstLine="412" w:firstLineChars="196"/>
        <w:rPr>
          <w:rFonts w:ascii="宋体" w:hAnsi="宋体"/>
        </w:rPr>
      </w:pPr>
      <w:r>
        <w:rPr>
          <w:rFonts w:ascii="宋体" w:hAnsi="宋体" w:hint="eastAsia"/>
        </w:rPr>
        <w:t>32.4.8不同投标供应商的投标文件内容存在非正常一致；</w:t>
      </w:r>
    </w:p>
    <w:p>
      <w:pPr>
        <w:ind w:firstLine="412" w:firstLineChars="196"/>
        <w:rPr>
          <w:rFonts w:ascii="宋体" w:hAnsi="宋体"/>
        </w:rPr>
      </w:pPr>
      <w:r>
        <w:rPr>
          <w:rFonts w:ascii="宋体" w:hAnsi="宋体" w:hint="eastAsia"/>
        </w:rPr>
        <w:t>32.4.9在同一单位工作人员为两家以上（含两家）供应商进行同一项投标活动；</w:t>
      </w:r>
    </w:p>
    <w:p>
      <w:pPr>
        <w:ind w:firstLine="412" w:firstLineChars="196"/>
        <w:rPr>
          <w:rFonts w:ascii="宋体" w:hAnsi="宋体"/>
        </w:rPr>
      </w:pPr>
      <w:r>
        <w:rPr>
          <w:rFonts w:ascii="宋体" w:hAnsi="宋体" w:hint="eastAsia"/>
        </w:rPr>
        <w:t>32.4.10主管部门依照法律、法规认定的其他情形。</w:t>
      </w:r>
    </w:p>
    <w:p>
      <w:pPr>
        <w:ind w:firstLine="412" w:firstLineChars="196"/>
        <w:rPr>
          <w:rFonts w:ascii="宋体" w:hAnsi="宋体"/>
        </w:rPr>
      </w:pPr>
      <w:r>
        <w:rPr>
          <w:rFonts w:ascii="宋体" w:hAnsi="宋体" w:hint="eastAsia"/>
        </w:rPr>
        <w:t>32.5对不属于《资格性审查表》和《符合性审查表》所列的其他情形，除专用条款另有规定和32.4条款所列情形外，不得作为投标无效的理由。</w:t>
      </w:r>
    </w:p>
    <w:p>
      <w:pPr>
        <w:ind w:firstLine="420" w:firstLineChars="200"/>
        <w:rPr>
          <w:rFonts w:ascii="黑体" w:eastAsia="黑体" w:hAnsi="宋体"/>
          <w:sz w:val="24"/>
        </w:rPr>
      </w:pPr>
      <w:r>
        <w:t>32.6不同投标人的“文件制作时间”“文件制作机器码”“文件创建标识码”“IP”“上传时间”等信息异常一致的，不得作为投标无效的理由。如出现上述异常情况，应报主管部门处理。</w:t>
      </w:r>
      <w:r>
        <w:rPr>
          <w:rFonts w:ascii="黑体" w:eastAsia="黑体" w:hAnsi="宋体" w:hint="eastAsia"/>
          <w:sz w:val="24"/>
        </w:rPr>
        <w:t>33．澄清有关问题</w:t>
      </w:r>
    </w:p>
    <w:p>
      <w:pPr>
        <w:ind w:firstLine="412" w:firstLineChars="196"/>
        <w:rPr>
          <w:rFonts w:ascii="宋体" w:hAnsi="宋体"/>
        </w:rPr>
      </w:pPr>
      <w:bookmarkStart w:id="63" w:name="_Hlk71407321"/>
      <w:r>
        <w:rPr>
          <w:rFonts w:ascii="宋体" w:hAnsi="宋体" w:hint="eastAsia"/>
        </w:rPr>
        <w:t>3</w:t>
      </w:r>
      <w:r>
        <w:rPr>
          <w:rFonts w:ascii="宋体" w:hAnsi="宋体"/>
        </w:rPr>
        <w:t>3.1</w:t>
      </w:r>
      <w:r>
        <w:rPr>
          <w:rFonts w:ascii="宋体" w:hAnsi="宋体" w:hint="eastAsia"/>
        </w:rPr>
        <w:t>对招标文件中描述有歧义或前后不一致的地方（不含</w:t>
      </w:r>
      <w:r>
        <w:rPr>
          <w:szCs w:val="21"/>
        </w:rPr>
        <w:t>招标文件存在歧义、重大缺陷导致评</w:t>
      </w:r>
      <w:r>
        <w:rPr>
          <w:rFonts w:hint="eastAsia"/>
          <w:szCs w:val="21"/>
        </w:rPr>
        <w:t>审</w:t>
      </w:r>
      <w:r>
        <w:rPr>
          <w:szCs w:val="21"/>
        </w:rPr>
        <w:t>工作无法进行</w:t>
      </w:r>
      <w:r>
        <w:rPr>
          <w:rFonts w:hint="eastAsia"/>
          <w:szCs w:val="21"/>
        </w:rPr>
        <w:t>的情况）</w:t>
      </w:r>
      <w:r>
        <w:rPr>
          <w:rFonts w:ascii="宋体" w:hAnsi="宋体" w:hint="eastAsia"/>
        </w:rPr>
        <w:t>，评审委员会有权进行评判，但对同一条款的评判应适用于每个投标人。</w:t>
      </w:r>
      <w:bookmarkEnd w:id="63"/>
    </w:p>
    <w:p>
      <w:pPr>
        <w:ind w:firstLine="412" w:firstLineChars="196"/>
        <w:rPr>
          <w:rFonts w:ascii="宋体" w:hAnsi="宋体"/>
        </w:rPr>
      </w:pPr>
      <w:r>
        <w:rPr>
          <w:rFonts w:ascii="宋体" w:hAnsi="宋体" w:hint="eastAsia"/>
        </w:rPr>
        <w:t>3</w:t>
      </w:r>
      <w:r>
        <w:rPr>
          <w:rFonts w:ascii="宋体" w:hAnsi="宋体"/>
        </w:rPr>
        <w:t>3.2</w:t>
      </w:r>
      <w:r>
        <w:rPr>
          <w:szCs w:val="21"/>
        </w:rPr>
        <w:t>评</w:t>
      </w:r>
      <w:r>
        <w:rPr>
          <w:rFonts w:hint="eastAsia"/>
          <w:szCs w:val="21"/>
        </w:rPr>
        <w:t>审</w:t>
      </w:r>
      <w:r>
        <w:rPr>
          <w:szCs w:val="21"/>
        </w:rPr>
        <w:t>委员会发现招标文件存在歧义、重大缺陷导致评</w:t>
      </w:r>
      <w:r>
        <w:rPr>
          <w:rFonts w:hint="eastAsia"/>
          <w:szCs w:val="21"/>
        </w:rPr>
        <w:t>审</w:t>
      </w:r>
      <w:r>
        <w:rPr>
          <w:szCs w:val="21"/>
        </w:rPr>
        <w:t>工作无法进行，或者招标文件内容违反国家有关强制性规定的，应当停止评</w:t>
      </w:r>
      <w:r>
        <w:rPr>
          <w:rFonts w:hint="eastAsia"/>
          <w:szCs w:val="21"/>
        </w:rPr>
        <w:t>审</w:t>
      </w:r>
      <w:r>
        <w:rPr>
          <w:szCs w:val="21"/>
        </w:rPr>
        <w:t>工作，与</w:t>
      </w:r>
      <w:r>
        <w:rPr>
          <w:rFonts w:hint="eastAsia"/>
          <w:szCs w:val="21"/>
        </w:rPr>
        <w:t>政府集中采购机构</w:t>
      </w:r>
      <w:r>
        <w:rPr>
          <w:szCs w:val="21"/>
        </w:rPr>
        <w:t>沟通并作书面记录。</w:t>
      </w:r>
      <w:r>
        <w:rPr>
          <w:rFonts w:hint="eastAsia"/>
          <w:szCs w:val="21"/>
        </w:rPr>
        <w:t>经</w:t>
      </w:r>
      <w:r>
        <w:rPr>
          <w:szCs w:val="21"/>
        </w:rPr>
        <w:t>确认后，</w:t>
      </w:r>
      <w:r>
        <w:rPr>
          <w:rFonts w:hint="eastAsia"/>
          <w:szCs w:val="21"/>
        </w:rPr>
        <w:t>项目</w:t>
      </w:r>
      <w:r>
        <w:rPr>
          <w:szCs w:val="21"/>
        </w:rPr>
        <w:t>应当修改招标文件，重新组织采购活动。</w:t>
      </w:r>
    </w:p>
    <w:p>
      <w:pPr>
        <w:ind w:firstLine="412" w:firstLineChars="196"/>
        <w:rPr>
          <w:rFonts w:ascii="宋体" w:hAnsi="宋体"/>
        </w:rPr>
      </w:pPr>
      <w:r>
        <w:rPr>
          <w:rFonts w:ascii="宋体" w:hAnsi="宋体"/>
        </w:rPr>
        <w:t>33.3</w:t>
      </w:r>
      <w:r>
        <w:rPr>
          <w:rFonts w:ascii="宋体" w:hAnsi="宋体" w:hint="eastAsia"/>
        </w:rPr>
        <w:t>对于投标文件中含义不明确、同类问题表述不一致或者有明显文字和计算错误的内容，评审委员会应当以书面形式要求投标人作出必要的澄清、说明或者补正。</w:t>
      </w:r>
    </w:p>
    <w:p>
      <w:pPr>
        <w:ind w:firstLine="412" w:firstLineChars="196"/>
        <w:rPr>
          <w:rFonts w:ascii="宋体" w:hAnsi="宋体"/>
        </w:rPr>
      </w:pPr>
      <w:r>
        <w:rPr>
          <w:rFonts w:ascii="宋体" w:hAnsi="宋体" w:hint="eastAsia"/>
        </w:rPr>
        <w:t>投标人的澄清、说明或者补正应当采用书面形式【书面形式是指文书、信件（含电子邮件）、电报、电传、传真等形式】，并加盖公章（或者由法定代表人或其授权的代表签字）。投标人的澄清、说明或者补正不得超出投标文件的范围或者改变投标文件的实质性内容。</w:t>
      </w:r>
    </w:p>
    <w:p>
      <w:pPr>
        <w:ind w:firstLine="412" w:firstLineChars="196"/>
        <w:rPr>
          <w:rFonts w:ascii="宋体" w:hAnsi="宋体"/>
          <w:szCs w:val="21"/>
        </w:rPr>
      </w:pPr>
      <w:r>
        <w:rPr>
          <w:rFonts w:ascii="宋体" w:hAnsi="宋体" w:hint="eastAsia"/>
          <w:szCs w:val="21"/>
        </w:rPr>
        <w:t>根据本通用条款第34条，凡属于评审委员会在评审中发现的算术错误进行核实的修改不在此列。</w:t>
      </w:r>
    </w:p>
    <w:p>
      <w:pPr>
        <w:rPr>
          <w:rFonts w:ascii="黑体" w:eastAsia="黑体" w:hAnsi="宋体"/>
          <w:sz w:val="24"/>
        </w:rPr>
      </w:pPr>
      <w:bookmarkStart w:id="64" w:name="_Toc100052400"/>
      <w:bookmarkStart w:id="65" w:name="_Toc73521581"/>
      <w:bookmarkStart w:id="66" w:name="_Toc73517673"/>
      <w:bookmarkStart w:id="67" w:name="_Toc73518151"/>
      <w:bookmarkStart w:id="68" w:name="_Toc73521669"/>
      <w:r>
        <w:rPr>
          <w:rFonts w:ascii="黑体" w:eastAsia="黑体" w:hAnsi="宋体" w:hint="eastAsia"/>
          <w:sz w:val="24"/>
        </w:rPr>
        <w:t>34．错误的修正</w:t>
      </w:r>
      <w:bookmarkEnd w:id="64"/>
      <w:bookmarkEnd w:id="65"/>
      <w:bookmarkEnd w:id="66"/>
      <w:bookmarkEnd w:id="67"/>
      <w:bookmarkEnd w:id="68"/>
    </w:p>
    <w:p>
      <w:pPr>
        <w:ind w:firstLine="412" w:firstLineChars="196"/>
        <w:rPr>
          <w:rFonts w:ascii="宋体" w:hAnsi="宋体"/>
          <w:szCs w:val="21"/>
        </w:rPr>
      </w:pPr>
      <w:r>
        <w:rPr>
          <w:rFonts w:ascii="宋体" w:hAnsi="宋体" w:hint="eastAsia"/>
          <w:szCs w:val="21"/>
        </w:rPr>
        <w:t>投标文件报价出现前后不一致的，除专用条款另有规定外，按照下列规定修正：</w:t>
      </w:r>
    </w:p>
    <w:p>
      <w:pPr>
        <w:ind w:firstLine="412" w:firstLineChars="196"/>
        <w:rPr>
          <w:rFonts w:ascii="宋体" w:hAnsi="宋体"/>
          <w:szCs w:val="21"/>
        </w:rPr>
      </w:pPr>
      <w:r>
        <w:rPr>
          <w:rFonts w:ascii="宋体" w:hAnsi="宋体" w:hint="eastAsia"/>
          <w:szCs w:val="21"/>
        </w:rPr>
        <w:t>34.1投标文件中开标一览表投标报价内容与投标文件中投标报价相应内容不一致的，以开标一览表为准；</w:t>
      </w:r>
    </w:p>
    <w:p>
      <w:pPr>
        <w:ind w:firstLine="412" w:firstLineChars="196"/>
        <w:rPr>
          <w:rFonts w:ascii="宋体" w:hAnsi="宋体"/>
          <w:szCs w:val="21"/>
        </w:rPr>
      </w:pPr>
      <w:r>
        <w:rPr>
          <w:rFonts w:ascii="宋体" w:hAnsi="宋体" w:hint="eastAsia"/>
          <w:szCs w:val="21"/>
        </w:rPr>
        <w:t>34.2大写金额和小写金额不一致的，以大写金额为准；</w:t>
      </w:r>
    </w:p>
    <w:p>
      <w:pPr>
        <w:ind w:firstLine="412" w:firstLineChars="196"/>
        <w:rPr>
          <w:rFonts w:ascii="宋体" w:hAnsi="宋体"/>
          <w:szCs w:val="21"/>
        </w:rPr>
      </w:pPr>
      <w:r>
        <w:rPr>
          <w:rFonts w:ascii="宋体" w:hAnsi="宋体" w:hint="eastAsia"/>
          <w:szCs w:val="21"/>
        </w:rPr>
        <w:t>34.3单价金额小数点或者百分比有明显错位，以开标一览表的总价为准，并修改单价；</w:t>
      </w:r>
    </w:p>
    <w:p>
      <w:pPr>
        <w:ind w:firstLine="412" w:firstLineChars="196"/>
        <w:rPr>
          <w:rFonts w:ascii="宋体" w:hAnsi="宋体"/>
          <w:szCs w:val="21"/>
        </w:rPr>
      </w:pPr>
      <w:r>
        <w:rPr>
          <w:rFonts w:ascii="宋体" w:hAnsi="宋体" w:hint="eastAsia"/>
          <w:szCs w:val="21"/>
        </w:rPr>
        <w:t>34.4总价金额与按单价汇总金额不一致的，以单价金额计算结果为准。</w:t>
      </w:r>
    </w:p>
    <w:p>
      <w:pPr>
        <w:ind w:firstLine="412" w:firstLineChars="196"/>
        <w:rPr>
          <w:rFonts w:ascii="宋体" w:hAnsi="宋体"/>
          <w:szCs w:val="21"/>
        </w:rPr>
      </w:pPr>
      <w:r>
        <w:rPr>
          <w:rFonts w:ascii="宋体" w:hAnsi="宋体" w:hint="eastAsia"/>
          <w:szCs w:val="21"/>
        </w:rPr>
        <w:t>34.5同时出现两种以上不一致的，按照前款规定的顺序修正。修正后的报价按照本通用条款33条的规定，经投标人确认后产生约束力，投标人不确认的，其投标无效。</w:t>
      </w:r>
    </w:p>
    <w:p>
      <w:pPr>
        <w:rPr>
          <w:rFonts w:ascii="黑体" w:eastAsia="黑体" w:hAnsi="宋体"/>
          <w:sz w:val="24"/>
        </w:rPr>
      </w:pPr>
      <w:r>
        <w:rPr>
          <w:rFonts w:ascii="黑体" w:eastAsia="黑体" w:hAnsi="宋体" w:hint="eastAsia"/>
          <w:sz w:val="24"/>
        </w:rPr>
        <w:t>35．投标文件的比较与评价</w:t>
      </w:r>
    </w:p>
    <w:p>
      <w:pPr>
        <w:ind w:firstLine="412" w:firstLineChars="196"/>
        <w:rPr>
          <w:rFonts w:ascii="宋体" w:hAnsi="宋体"/>
          <w:szCs w:val="21"/>
        </w:rPr>
      </w:pPr>
      <w:r>
        <w:rPr>
          <w:rFonts w:ascii="宋体" w:hAnsi="宋体" w:hint="eastAsia"/>
          <w:szCs w:val="21"/>
        </w:rPr>
        <w:t>评审委员会将按照《深圳经济特区政府采购条例》、《深圳经济特区政府采购条例实施细则》、《深圳市政府采购评标定标分离管理办法》及政府采购其他法律法规，仅对通过资格性审查和符合性审查的投标文件进行综合比较与评价。</w:t>
      </w:r>
    </w:p>
    <w:p>
      <w:pPr>
        <w:ind w:firstLine="412" w:firstLineChars="196"/>
        <w:rPr>
          <w:rFonts w:ascii="宋体" w:hAnsi="宋体"/>
          <w:szCs w:val="21"/>
        </w:rPr>
      </w:pPr>
      <w:r>
        <w:rPr>
          <w:rFonts w:ascii="宋体" w:hAnsi="宋体" w:hint="eastAsia"/>
          <w:szCs w:val="21"/>
        </w:rPr>
        <w:t>评审委员会成员对需要共同认定的事项存在争议的，应当按照少数服从多数的原则作出结论。持不同意见的评审委员会成员应当书面作出说明，否则视为无异议。</w:t>
      </w:r>
    </w:p>
    <w:p>
      <w:pPr>
        <w:rPr>
          <w:rFonts w:ascii="黑体" w:eastAsia="黑体" w:hAnsi="宋体"/>
          <w:sz w:val="24"/>
        </w:rPr>
      </w:pPr>
      <w:r>
        <w:rPr>
          <w:rFonts w:ascii="黑体" w:eastAsia="黑体" w:hAnsi="宋体" w:hint="eastAsia"/>
          <w:sz w:val="24"/>
        </w:rPr>
        <w:t>36. 实地考察或资料查验</w:t>
      </w:r>
    </w:p>
    <w:p>
      <w:pPr>
        <w:ind w:firstLine="412" w:firstLineChars="196"/>
        <w:rPr>
          <w:rFonts w:ascii="宋体" w:hAnsi="宋体"/>
          <w:szCs w:val="21"/>
        </w:rPr>
      </w:pPr>
      <w:r>
        <w:rPr>
          <w:rFonts w:ascii="宋体" w:hAnsi="宋体" w:hint="eastAsia"/>
          <w:szCs w:val="21"/>
        </w:rPr>
        <w:t>36.1在评审过程中，评审委员会有权决定是否对本项目投标人进行实地考察或资料查验（原件）。投标人应随时做好接受实地考察或资料查验的准备。</w:t>
      </w:r>
    </w:p>
    <w:p>
      <w:pPr>
        <w:rPr>
          <w:rFonts w:ascii="黑体" w:eastAsia="黑体" w:hAnsi="宋体"/>
          <w:sz w:val="24"/>
        </w:rPr>
      </w:pPr>
      <w:r>
        <w:rPr>
          <w:rFonts w:ascii="黑体" w:eastAsia="黑体" w:hAnsi="宋体" w:hint="eastAsia"/>
          <w:sz w:val="24"/>
        </w:rPr>
        <w:t>37．评审方法</w:t>
      </w:r>
    </w:p>
    <w:p>
      <w:pPr>
        <w:ind w:firstLine="412" w:firstLineChars="196"/>
        <w:rPr>
          <w:rFonts w:ascii="宋体" w:hAnsi="宋体"/>
          <w:b/>
          <w:bCs/>
          <w:szCs w:val="21"/>
        </w:rPr>
      </w:pPr>
      <w:r>
        <w:rPr>
          <w:rFonts w:ascii="宋体" w:hAnsi="宋体" w:hint="eastAsia"/>
          <w:b/>
          <w:bCs/>
          <w:szCs w:val="21"/>
        </w:rPr>
        <w:t>37.1.1最低价法</w:t>
      </w:r>
    </w:p>
    <w:p>
      <w:pPr>
        <w:ind w:firstLine="412" w:firstLineChars="196"/>
        <w:rPr>
          <w:rFonts w:ascii="ˎ̥" w:hAnsi="ˎ̥"/>
        </w:rPr>
      </w:pPr>
      <w:bookmarkStart w:id="69" w:name="_Hlk72438142"/>
      <w:r>
        <w:rPr>
          <w:rFonts w:ascii="ˎ̥" w:hAnsi="ˎ̥"/>
        </w:rPr>
        <w:t>最低价法，是指</w:t>
      </w:r>
      <w:r>
        <w:rPr>
          <w:rFonts w:ascii="ˎ̥" w:hAnsi="ˎ̥" w:hint="eastAsia"/>
        </w:rPr>
        <w:t>完全</w:t>
      </w:r>
      <w:r>
        <w:rPr>
          <w:rFonts w:ascii="ˎ̥" w:hAnsi="ˎ̥"/>
        </w:rPr>
        <w:t>满足招标文件实质性要求，</w:t>
      </w:r>
      <w:r>
        <w:rPr>
          <w:rFonts w:ascii="ˎ̥" w:hAnsi="ˎ̥" w:hint="eastAsia"/>
        </w:rPr>
        <w:t>按照报价由低到高的顺序，依据招标文件中规定的数量或者比例推荐候选中标供应商。</w:t>
      </w:r>
    </w:p>
    <w:p>
      <w:pPr>
        <w:ind w:firstLine="412" w:firstLineChars="196"/>
        <w:rPr>
          <w:rFonts w:ascii="宋体" w:hAnsi="宋体"/>
          <w:b/>
          <w:bCs/>
          <w:szCs w:val="21"/>
        </w:rPr>
      </w:pPr>
      <w:r>
        <w:rPr>
          <w:rFonts w:ascii="宋体" w:hAnsi="宋体" w:hint="eastAsia"/>
          <w:b/>
          <w:bCs/>
          <w:szCs w:val="21"/>
        </w:rPr>
        <w:t>37.1.2综合评分法</w:t>
      </w:r>
    </w:p>
    <w:p>
      <w:pPr>
        <w:ind w:firstLine="412" w:firstLineChars="196"/>
        <w:rPr>
          <w:rFonts w:ascii="ˎ̥" w:hAnsi="ˎ̥"/>
        </w:rPr>
      </w:pPr>
      <w:r>
        <w:rPr>
          <w:rFonts w:ascii="ˎ̥" w:hAnsi="ˎ̥"/>
        </w:rPr>
        <w:t>综合评分法，是指</w:t>
      </w:r>
      <w:r>
        <w:rPr>
          <w:rFonts w:ascii="ˎ̥" w:hAnsi="ˎ̥" w:hint="eastAsia"/>
        </w:rPr>
        <w:t>在</w:t>
      </w:r>
      <w:r>
        <w:rPr>
          <w:rFonts w:ascii="ˎ̥" w:hAnsi="ˎ̥"/>
        </w:rPr>
        <w:t>满足招标文件全部实质性要求</w:t>
      </w:r>
      <w:r>
        <w:rPr>
          <w:rFonts w:ascii="ˎ̥" w:hAnsi="ˎ̥" w:hint="eastAsia"/>
        </w:rPr>
        <w:t>的前提下</w:t>
      </w:r>
      <w:r>
        <w:rPr>
          <w:rFonts w:ascii="ˎ̥" w:hAnsi="ˎ̥"/>
        </w:rPr>
        <w:t>，</w:t>
      </w:r>
      <w:r>
        <w:rPr>
          <w:rFonts w:ascii="ˎ̥" w:hAnsi="ˎ̥" w:hint="eastAsia"/>
        </w:rPr>
        <w:t>按照招标文件中规定的各项因素进行综合评审，评审总得分排名前列的投标人，作为推荐的候选中标供应商。</w:t>
      </w:r>
      <w:bookmarkEnd w:id="69"/>
    </w:p>
    <w:p>
      <w:pPr>
        <w:ind w:firstLine="412" w:firstLineChars="196"/>
        <w:rPr>
          <w:rFonts w:ascii="宋体" w:hAnsi="宋体"/>
          <w:b/>
          <w:bCs/>
          <w:szCs w:val="21"/>
        </w:rPr>
      </w:pPr>
      <w:r>
        <w:rPr>
          <w:rFonts w:ascii="宋体" w:hAnsi="宋体" w:hint="eastAsia"/>
          <w:b/>
          <w:bCs/>
          <w:szCs w:val="21"/>
        </w:rPr>
        <w:t>37.2 本项目采用的评审方法见本项目招标文件第一册“专用条款”的相关内容。</w:t>
      </w:r>
    </w:p>
    <w:p>
      <w:pPr>
        <w:ind w:firstLine="412" w:firstLineChars="196"/>
        <w:rPr>
          <w:rFonts w:ascii="宋体" w:hAnsi="宋体"/>
          <w:b/>
          <w:bCs/>
          <w:szCs w:val="21"/>
        </w:rPr>
      </w:pPr>
      <w:r>
        <w:rPr>
          <w:rFonts w:ascii="宋体" w:hAnsi="宋体" w:hint="eastAsia"/>
          <w:b/>
          <w:bCs/>
          <w:szCs w:val="21"/>
        </w:rPr>
        <w:t>37.3重新评审的情形</w:t>
      </w:r>
    </w:p>
    <w:p>
      <w:pPr>
        <w:ind w:firstLine="412" w:firstLineChars="196"/>
        <w:rPr>
          <w:rFonts w:ascii="宋体" w:hAnsi="宋体"/>
          <w:b/>
          <w:bCs/>
          <w:szCs w:val="21"/>
        </w:rPr>
      </w:pPr>
      <w:r>
        <w:rPr>
          <w:rFonts w:ascii="宋体" w:hAnsi="宋体" w:cs="宋体" w:hint="eastAsia"/>
          <w:kern w:val="0"/>
          <w:szCs w:val="21"/>
        </w:rPr>
        <w:t>评审结果汇总完成后，除下列情形外，任何人不得修改评审结果：</w:t>
      </w:r>
    </w:p>
    <w:p>
      <w:pPr>
        <w:ind w:firstLine="412" w:firstLineChars="196"/>
        <w:rPr>
          <w:rFonts w:ascii="宋体" w:hAnsi="宋体" w:cs="宋体"/>
          <w:kern w:val="0"/>
          <w:szCs w:val="21"/>
        </w:rPr>
      </w:pPr>
      <w:r>
        <w:rPr>
          <w:rFonts w:ascii="宋体" w:hAnsi="宋体" w:cs="宋体" w:hint="eastAsia"/>
          <w:kern w:val="0"/>
          <w:szCs w:val="21"/>
        </w:rPr>
        <w:t>37.3.1分值汇总计算错误的；</w:t>
      </w:r>
    </w:p>
    <w:p>
      <w:pPr>
        <w:ind w:firstLine="412" w:firstLineChars="196"/>
        <w:rPr>
          <w:rFonts w:ascii="宋体" w:hAnsi="宋体" w:cs="宋体"/>
          <w:kern w:val="0"/>
          <w:szCs w:val="21"/>
        </w:rPr>
      </w:pPr>
      <w:r>
        <w:rPr>
          <w:rFonts w:ascii="宋体" w:hAnsi="宋体" w:cs="宋体" w:hint="eastAsia"/>
          <w:kern w:val="0"/>
          <w:szCs w:val="21"/>
        </w:rPr>
        <w:t>37.3.2分项评分超出评分标准范围的；</w:t>
      </w:r>
    </w:p>
    <w:p>
      <w:pPr>
        <w:ind w:firstLine="412" w:firstLineChars="196"/>
        <w:rPr>
          <w:rFonts w:ascii="宋体" w:hAnsi="宋体" w:cs="宋体"/>
          <w:kern w:val="0"/>
          <w:szCs w:val="21"/>
        </w:rPr>
      </w:pPr>
      <w:r>
        <w:rPr>
          <w:rFonts w:ascii="宋体" w:hAnsi="宋体" w:cs="宋体" w:hint="eastAsia"/>
          <w:kern w:val="0"/>
          <w:szCs w:val="21"/>
        </w:rPr>
        <w:t>37.3.3评审委员会成员对客观评审因素评分不一致的；</w:t>
      </w:r>
    </w:p>
    <w:p>
      <w:pPr>
        <w:ind w:firstLine="412" w:firstLineChars="196"/>
        <w:rPr>
          <w:rFonts w:ascii="宋体" w:hAnsi="宋体" w:cs="宋体"/>
          <w:kern w:val="0"/>
          <w:szCs w:val="21"/>
        </w:rPr>
      </w:pPr>
      <w:r>
        <w:rPr>
          <w:rFonts w:ascii="宋体" w:hAnsi="宋体" w:cs="宋体" w:hint="eastAsia"/>
          <w:kern w:val="0"/>
          <w:szCs w:val="21"/>
        </w:rPr>
        <w:t>37.3.4经评审委员会认定评分畸高、畸低的。</w:t>
      </w:r>
    </w:p>
    <w:p>
      <w:pPr>
        <w:ind w:firstLine="412" w:firstLineChars="196"/>
        <w:rPr>
          <w:rFonts w:ascii="宋体" w:hAnsi="宋体" w:cs="宋体"/>
          <w:kern w:val="0"/>
          <w:szCs w:val="21"/>
        </w:rPr>
      </w:pPr>
      <w:r>
        <w:rPr>
          <w:rFonts w:ascii="宋体" w:hAnsi="宋体" w:cs="宋体" w:hint="eastAsia"/>
          <w:kern w:val="0"/>
          <w:szCs w:val="21"/>
        </w:rPr>
        <w:t>评审报告签署前，经复核发现存在以上情形之一的，评审委员会应当当场修改评审结果，并进行书面记载；评审报告签署后，采购人或者采购代理机构发现存在以上情形之一的，应当组织原评审委员会进行重新评审，重新评审改变评审结果的，书面报告本级财政部门。</w:t>
      </w:r>
    </w:p>
    <w:p>
      <w:pPr>
        <w:ind w:firstLine="412" w:firstLineChars="196"/>
        <w:rPr>
          <w:rFonts w:ascii="宋体" w:hAnsi="宋体" w:cs="宋体"/>
          <w:kern w:val="0"/>
          <w:szCs w:val="21"/>
        </w:rPr>
      </w:pPr>
      <w:r>
        <w:rPr>
          <w:rFonts w:ascii="宋体" w:hAnsi="宋体" w:cs="宋体" w:hint="eastAsia"/>
          <w:kern w:val="0"/>
          <w:szCs w:val="21"/>
        </w:rPr>
        <w:t>投标人对本条第一款情形提出质疑的，采购人或者采购代理机构可以组织原评审委员会进行重新评审，重新评审改变评审结果的，应当书面报告本级财政部门。</w:t>
      </w:r>
    </w:p>
    <w:p>
      <w:pPr>
        <w:ind w:firstLine="412" w:firstLineChars="196"/>
        <w:rPr>
          <w:rFonts w:ascii="宋体" w:hAnsi="宋体"/>
          <w:b/>
          <w:bCs/>
          <w:szCs w:val="21"/>
        </w:rPr>
      </w:pPr>
      <w:r>
        <w:rPr>
          <w:rFonts w:ascii="宋体" w:hAnsi="宋体" w:hint="eastAsia"/>
          <w:b/>
          <w:bCs/>
          <w:szCs w:val="21"/>
        </w:rPr>
        <w:t xml:space="preserve"> 37.4重新组建评审委员会的情形</w:t>
      </w:r>
    </w:p>
    <w:p>
      <w:pPr>
        <w:ind w:firstLine="412" w:firstLineChars="196"/>
        <w:rPr>
          <w:rFonts w:ascii="宋体" w:hAnsi="宋体" w:cs="宋体"/>
          <w:kern w:val="0"/>
          <w:szCs w:val="21"/>
        </w:rPr>
      </w:pPr>
      <w:r>
        <w:rPr>
          <w:rFonts w:ascii="宋体" w:hAnsi="宋体" w:cs="宋体" w:hint="eastAsia"/>
          <w:kern w:val="0"/>
          <w:szCs w:val="21"/>
        </w:rPr>
        <w:t>评审委员会或者其成员存在下列情形导致评审结果无效的，重新组建评审委员会进行评标，并书面报告本级财政部门：</w:t>
      </w:r>
    </w:p>
    <w:p>
      <w:pPr>
        <w:ind w:firstLine="412" w:firstLineChars="196"/>
        <w:rPr>
          <w:rFonts w:ascii="宋体" w:hAnsi="宋体" w:cs="宋体"/>
          <w:kern w:val="0"/>
          <w:szCs w:val="21"/>
        </w:rPr>
      </w:pPr>
      <w:r>
        <w:rPr>
          <w:rFonts w:ascii="宋体" w:hAnsi="宋体" w:cs="宋体" w:hint="eastAsia"/>
          <w:kern w:val="0"/>
          <w:szCs w:val="21"/>
        </w:rPr>
        <w:t>37.4.1评审委员会组成不符合《政府采购货物和服务招标投标管理办法》规定的；</w:t>
      </w:r>
    </w:p>
    <w:p>
      <w:pPr>
        <w:ind w:firstLine="412" w:firstLineChars="196"/>
        <w:rPr>
          <w:rFonts w:ascii="宋体" w:hAnsi="宋体" w:cs="宋体"/>
          <w:kern w:val="0"/>
          <w:szCs w:val="21"/>
        </w:rPr>
      </w:pPr>
      <w:r>
        <w:rPr>
          <w:rFonts w:ascii="宋体" w:hAnsi="宋体" w:cs="宋体" w:hint="eastAsia"/>
          <w:kern w:val="0"/>
          <w:szCs w:val="21"/>
        </w:rPr>
        <w:t>37.4.2有《政府采购货物和服务招标投标管理办法》第六十二条第一至五项情形的；</w:t>
      </w:r>
    </w:p>
    <w:p>
      <w:pPr>
        <w:ind w:firstLine="412" w:firstLineChars="196"/>
        <w:rPr>
          <w:rFonts w:ascii="宋体" w:hAnsi="宋体" w:cs="宋体"/>
          <w:kern w:val="0"/>
          <w:szCs w:val="21"/>
        </w:rPr>
      </w:pPr>
      <w:r>
        <w:rPr>
          <w:rFonts w:ascii="宋体" w:hAnsi="宋体" w:cs="宋体" w:hint="eastAsia"/>
          <w:kern w:val="0"/>
          <w:szCs w:val="21"/>
        </w:rPr>
        <w:t>37.4.3评审委员会及其成员独立评标受到非法干预的；</w:t>
      </w:r>
    </w:p>
    <w:p>
      <w:pPr>
        <w:ind w:firstLine="412" w:firstLineChars="196"/>
        <w:rPr>
          <w:rFonts w:ascii="宋体" w:hAnsi="宋体" w:cs="宋体"/>
          <w:kern w:val="0"/>
          <w:szCs w:val="21"/>
        </w:rPr>
      </w:pPr>
      <w:r>
        <w:rPr>
          <w:rFonts w:ascii="宋体" w:hAnsi="宋体" w:cs="宋体" w:hint="eastAsia"/>
          <w:kern w:val="0"/>
          <w:szCs w:val="21"/>
        </w:rPr>
        <w:t>37.4.4有政府采购法实施条例第七十五条规定的违法行为的。</w:t>
      </w:r>
    </w:p>
    <w:p>
      <w:pPr>
        <w:ind w:firstLine="412" w:firstLineChars="196"/>
        <w:rPr>
          <w:rFonts w:ascii="宋体" w:hAnsi="宋体" w:cs="宋体"/>
          <w:kern w:val="0"/>
          <w:szCs w:val="21"/>
        </w:rPr>
      </w:pPr>
      <w:r>
        <w:rPr>
          <w:rFonts w:ascii="宋体" w:hAnsi="宋体" w:cs="宋体" w:hint="eastAsia"/>
          <w:kern w:val="0"/>
          <w:szCs w:val="21"/>
        </w:rPr>
        <w:t>有违法违规行为的原评审委员会成员不得参加重新组建的评审委员会。</w:t>
      </w:r>
    </w:p>
    <w:p>
      <w:pPr>
        <w:pStyle w:val="Heading2"/>
        <w:numPr>
          <w:ilvl w:val="0"/>
          <w:numId w:val="12"/>
        </w:numPr>
        <w:tabs>
          <w:tab w:val="left" w:pos="360"/>
          <w:tab w:val="clear" w:pos="720"/>
        </w:tabs>
        <w:spacing w:before="120" w:beforeLines="50" w:after="120" w:afterLines="50"/>
        <w:ind w:left="562" w:hanging="562"/>
        <w:rPr>
          <w:sz w:val="28"/>
          <w:szCs w:val="28"/>
        </w:rPr>
      </w:pPr>
      <w:r>
        <w:rPr>
          <w:rFonts w:hint="eastAsia"/>
          <w:sz w:val="28"/>
          <w:szCs w:val="28"/>
        </w:rPr>
        <w:t>定标及公示</w:t>
      </w:r>
    </w:p>
    <w:p>
      <w:pPr>
        <w:rPr>
          <w:rFonts w:ascii="黑体" w:eastAsia="黑体" w:hAnsi="宋体"/>
          <w:sz w:val="24"/>
        </w:rPr>
      </w:pPr>
      <w:r>
        <w:rPr>
          <w:rFonts w:ascii="黑体" w:eastAsia="黑体" w:hAnsi="宋体" w:hint="eastAsia"/>
          <w:sz w:val="24"/>
        </w:rPr>
        <w:t>38．定标方法</w:t>
      </w:r>
    </w:p>
    <w:p>
      <w:pPr>
        <w:ind w:firstLine="412" w:firstLineChars="196"/>
        <w:rPr>
          <w:rFonts w:ascii="宋体" w:hAnsi="宋体"/>
          <w:szCs w:val="21"/>
        </w:rPr>
      </w:pPr>
      <w:bookmarkStart w:id="70" w:name="_Hlk73782795"/>
      <w:r>
        <w:rPr>
          <w:rFonts w:ascii="宋体" w:hAnsi="宋体" w:hint="eastAsia"/>
          <w:szCs w:val="21"/>
        </w:rPr>
        <w:t>38.1非评定分离项目定标方法</w:t>
      </w:r>
    </w:p>
    <w:p>
      <w:pPr>
        <w:ind w:firstLine="412" w:firstLineChars="196"/>
        <w:rPr>
          <w:rFonts w:ascii="宋体" w:hAnsi="宋体"/>
          <w:szCs w:val="21"/>
        </w:rPr>
      </w:pPr>
      <w:r>
        <w:rPr>
          <w:rFonts w:ascii="宋体" w:hAnsi="宋体" w:hint="eastAsia"/>
          <w:szCs w:val="21"/>
        </w:rPr>
        <w:t>38</w:t>
      </w:r>
      <w:r>
        <w:rPr>
          <w:rFonts w:ascii="宋体" w:hAnsi="宋体"/>
          <w:szCs w:val="21"/>
        </w:rPr>
        <w:t>.</w:t>
      </w:r>
      <w:r>
        <w:rPr>
          <w:rFonts w:ascii="宋体" w:hAnsi="宋体" w:hint="eastAsia"/>
          <w:szCs w:val="21"/>
        </w:rPr>
        <w:t>1.1评审委员会依据本项目招标文件所约定的评审方法进行评审和比较，向政府集中采购机构提交书面评审报告，并根据评审方法比较评价结果从优到劣进行排序，确定候选中标供应商。</w:t>
      </w:r>
    </w:p>
    <w:p>
      <w:pPr>
        <w:ind w:firstLine="412" w:firstLineChars="196"/>
        <w:rPr>
          <w:rFonts w:ascii="ˎ̥" w:hAnsi="ˎ̥"/>
        </w:rPr>
      </w:pPr>
      <w:r>
        <w:rPr>
          <w:rFonts w:ascii="宋体" w:hAnsi="宋体" w:hint="eastAsia"/>
          <w:szCs w:val="21"/>
        </w:rPr>
        <w:t>38</w:t>
      </w:r>
      <w:r>
        <w:rPr>
          <w:rFonts w:ascii="宋体" w:hAnsi="宋体"/>
          <w:szCs w:val="21"/>
        </w:rPr>
        <w:t>.</w:t>
      </w:r>
      <w:r>
        <w:rPr>
          <w:rFonts w:ascii="宋体" w:hAnsi="宋体" w:hint="eastAsia"/>
          <w:szCs w:val="21"/>
        </w:rPr>
        <w:t>1.2</w:t>
      </w:r>
      <w:r>
        <w:rPr>
          <w:rFonts w:ascii="ˎ̥" w:hAnsi="ˎ̥"/>
        </w:rPr>
        <w:t>采用最低价法的，评</w:t>
      </w:r>
      <w:r>
        <w:rPr>
          <w:rFonts w:ascii="ˎ̥" w:hAnsi="ˎ̥" w:hint="eastAsia"/>
        </w:rPr>
        <w:t>审</w:t>
      </w:r>
      <w:r>
        <w:rPr>
          <w:rFonts w:ascii="ˎ̥" w:hAnsi="ˎ̥"/>
        </w:rPr>
        <w:t>结果按投标报价由低到高顺序排列。投标报价相同的并列。投标文件满足招标文件全部实质性要求且投标报价最低的</w:t>
      </w:r>
      <w:r>
        <w:rPr>
          <w:rFonts w:ascii="ˎ̥" w:hAnsi="ˎ̥" w:hint="eastAsia"/>
        </w:rPr>
        <w:t>投标人为</w:t>
      </w:r>
      <w:bookmarkStart w:id="71" w:name="_Hlk73821177"/>
      <w:r>
        <w:rPr>
          <w:rFonts w:ascii="ˎ̥" w:hAnsi="ˎ̥" w:hint="eastAsia"/>
        </w:rPr>
        <w:t>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bookmarkEnd w:id="71"/>
      <w:r>
        <w:rPr>
          <w:rFonts w:ascii="ˎ̥" w:hAnsi="ˎ̥"/>
        </w:rPr>
        <w:t>）。</w:t>
      </w:r>
    </w:p>
    <w:p>
      <w:pPr>
        <w:ind w:firstLine="412" w:firstLineChars="196"/>
        <w:rPr>
          <w:rFonts w:ascii="ˎ̥" w:hAnsi="ˎ̥"/>
        </w:rPr>
      </w:pPr>
      <w:r>
        <w:rPr>
          <w:rFonts w:ascii="宋体" w:hAnsi="宋体" w:hint="eastAsia"/>
          <w:szCs w:val="21"/>
        </w:rPr>
        <w:t>38</w:t>
      </w:r>
      <w:r>
        <w:rPr>
          <w:rFonts w:ascii="宋体" w:hAnsi="宋体"/>
          <w:szCs w:val="21"/>
        </w:rPr>
        <w:t>.</w:t>
      </w:r>
      <w:r>
        <w:rPr>
          <w:rFonts w:ascii="宋体" w:hAnsi="宋体" w:hint="eastAsia"/>
          <w:szCs w:val="21"/>
        </w:rPr>
        <w:t>1.3</w:t>
      </w:r>
      <w:r>
        <w:rPr>
          <w:rFonts w:ascii="宋体" w:hAnsi="宋体"/>
          <w:szCs w:val="21"/>
        </w:rPr>
        <w:t>采</w:t>
      </w:r>
      <w:r>
        <w:rPr>
          <w:rFonts w:ascii="ˎ̥" w:hAnsi="ˎ̥"/>
        </w:rPr>
        <w:t>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w:t>
      </w:r>
      <w:r>
        <w:rPr>
          <w:rFonts w:ascii="ˎ̥" w:hAnsi="ˎ̥" w:hint="eastAsia"/>
        </w:rPr>
        <w:t>为中标供应商</w:t>
      </w:r>
      <w:r>
        <w:rPr>
          <w:rFonts w:ascii="ˎ̥" w:hAnsi="ˎ̥"/>
        </w:rPr>
        <w:t>（</w:t>
      </w:r>
      <w:r>
        <w:rPr>
          <w:rFonts w:ascii="ˎ̥" w:hAnsi="ˎ̥" w:hint="eastAsia"/>
        </w:rPr>
        <w:t>排名</w:t>
      </w:r>
      <w:r>
        <w:rPr>
          <w:rFonts w:ascii="ˎ̥" w:hAnsi="ˎ̥"/>
        </w:rPr>
        <w:t>第二</w:t>
      </w:r>
      <w:r>
        <w:rPr>
          <w:rFonts w:ascii="ˎ̥" w:hAnsi="ˎ̥" w:hint="eastAsia"/>
        </w:rPr>
        <w:t>的投标人为第一替补中标候选人、排名</w:t>
      </w:r>
      <w:r>
        <w:rPr>
          <w:rFonts w:ascii="ˎ̥" w:hAnsi="ˎ̥"/>
        </w:rPr>
        <w:t>第</w:t>
      </w:r>
      <w:r>
        <w:rPr>
          <w:rFonts w:ascii="ˎ̥" w:hAnsi="ˎ̥" w:hint="eastAsia"/>
        </w:rPr>
        <w:t>三的投标人为第二替补中标候选人</w:t>
      </w:r>
      <w:r>
        <w:rPr>
          <w:rFonts w:ascii="ˎ̥" w:hAnsi="ˎ̥"/>
        </w:rPr>
        <w:t>）。</w:t>
      </w:r>
      <w:r>
        <w:rPr>
          <w:rFonts w:ascii="ˎ̥" w:hAnsi="ˎ̥" w:hint="eastAsia"/>
        </w:rPr>
        <w:t>出现</w:t>
      </w:r>
      <w:r>
        <w:rPr>
          <w:rFonts w:ascii="ˎ̥" w:hAnsi="ˎ̥"/>
        </w:rPr>
        <w:t>得分且投标报价相同的并列</w:t>
      </w:r>
      <w:r>
        <w:rPr>
          <w:rFonts w:ascii="ˎ̥" w:hAnsi="ˎ̥" w:hint="eastAsia"/>
        </w:rPr>
        <w:t>情况时，采取随机抽取的方式确定，具体操作办法及流程由评审委员会确定。</w:t>
      </w:r>
    </w:p>
    <w:p>
      <w:pPr>
        <w:ind w:firstLine="412" w:firstLineChars="196"/>
        <w:rPr>
          <w:rFonts w:ascii="宋体" w:hAnsi="宋体"/>
          <w:szCs w:val="21"/>
        </w:rPr>
      </w:pPr>
      <w:r>
        <w:rPr>
          <w:rFonts w:ascii="宋体" w:hAnsi="宋体" w:hint="eastAsia"/>
          <w:szCs w:val="21"/>
        </w:rPr>
        <w:t>38.2评定分离项目定标方法</w:t>
      </w:r>
    </w:p>
    <w:p>
      <w:pPr>
        <w:ind w:firstLine="412" w:firstLineChars="196"/>
        <w:rPr>
          <w:rFonts w:ascii="宋体" w:hAnsi="宋体"/>
          <w:szCs w:val="21"/>
        </w:rPr>
      </w:pPr>
      <w:r>
        <w:rPr>
          <w:rFonts w:ascii="宋体" w:hAnsi="宋体" w:hint="eastAsia"/>
          <w:szCs w:val="21"/>
        </w:rPr>
        <w:t>38.2.1评定分离是指在政府集中采购程序中，以公开招标方式执行采购，评审委员会负责对投标文件进行评审、推荐候选中标供应商并出具书面评审报告，由采购人根据评审委员会出具的评审报告从推荐的候选中标供应商中确定中标供应商。单个项目需要确定多家中标供应商的，不适用评定分离。</w:t>
      </w:r>
    </w:p>
    <w:p>
      <w:pPr>
        <w:ind w:firstLine="412" w:firstLineChars="196"/>
      </w:pPr>
      <w:r>
        <w:rPr>
          <w:rFonts w:ascii="宋体" w:hAnsi="宋体"/>
          <w:szCs w:val="21"/>
        </w:rPr>
        <w:t xml:space="preserve">38.2.2 </w:t>
      </w:r>
      <w:bookmarkStart w:id="72" w:name="_Hlk71469733"/>
      <w:r>
        <w:t>适用评定分离的政府采购项目，采用综合评分法评</w:t>
      </w:r>
      <w:r>
        <w:rPr>
          <w:rFonts w:hint="eastAsia"/>
        </w:rPr>
        <w:t>审。</w:t>
      </w:r>
      <w:r>
        <w:rPr>
          <w:rFonts w:ascii="宋体" w:hAnsi="宋体" w:hint="eastAsia"/>
          <w:szCs w:val="21"/>
        </w:rPr>
        <w:t>评审委员会按照评审结果，推荐</w:t>
      </w:r>
      <w:r>
        <w:t>三个合格的候选中标供应商。</w:t>
      </w:r>
    </w:p>
    <w:p>
      <w:pPr>
        <w:ind w:firstLine="412" w:firstLineChars="196"/>
        <w:rPr>
          <w:rFonts w:ascii="宋体" w:hAnsi="宋体"/>
          <w:szCs w:val="21"/>
        </w:rPr>
      </w:pPr>
      <w:r>
        <w:rPr>
          <w:rFonts w:ascii="宋体" w:hAnsi="宋体" w:hint="eastAsia"/>
          <w:szCs w:val="21"/>
        </w:rPr>
        <w:t>38.2.3</w:t>
      </w:r>
      <w:bookmarkStart w:id="73" w:name="_Hlk71469688"/>
      <w:r>
        <w:t>适用评定分离的政府采购项目，</w:t>
      </w:r>
      <w:r>
        <w:rPr>
          <w:rFonts w:ascii="宋体" w:hAnsi="宋体" w:hint="eastAsia"/>
          <w:szCs w:val="21"/>
        </w:rPr>
        <w:t>按照自定法确定中标供应商：自定法是指采购人组织定标委员会，由定标委员会在三家候选中标供应商中确定中标供应商。</w:t>
      </w:r>
      <w:bookmarkEnd w:id="72"/>
      <w:bookmarkEnd w:id="73"/>
    </w:p>
    <w:p>
      <w:pPr>
        <w:ind w:firstLine="412" w:firstLineChars="196"/>
        <w:rPr>
          <w:rFonts w:ascii="宋体" w:hAnsi="宋体"/>
          <w:szCs w:val="21"/>
        </w:rPr>
      </w:pPr>
      <w:r>
        <w:rPr>
          <w:rFonts w:ascii="宋体" w:hAnsi="宋体"/>
          <w:szCs w:val="21"/>
        </w:rPr>
        <w:t>38.2.4</w:t>
      </w:r>
      <w:r>
        <w:rPr>
          <w:rFonts w:ascii="宋体" w:hAnsi="宋体" w:hint="eastAsia"/>
          <w:szCs w:val="21"/>
        </w:rPr>
        <w:t>政府集中采购机构</w:t>
      </w:r>
      <w:r>
        <w:t>应当自评审结束之日起两个工作日内将候选中标供应商名单及其投标文件、评审报告送交采购人</w:t>
      </w:r>
      <w:r>
        <w:rPr>
          <w:rFonts w:ascii="宋体" w:hAnsi="宋体" w:hint="eastAsia"/>
          <w:szCs w:val="21"/>
        </w:rPr>
        <w:t>。</w:t>
      </w:r>
      <w:r>
        <w:t>采购人应当安排专人对定标过程进行书面记录，形成定标报告，作为采购文件的组成部分存档，并及时将定标结果反馈</w:t>
      </w:r>
      <w:r>
        <w:rPr>
          <w:rFonts w:hint="eastAsia"/>
        </w:rPr>
        <w:t>政府集中采购机构。具体定标程序及相关要求以按照《</w:t>
      </w:r>
      <w:r>
        <w:t>深圳市财政局关于印发</w:t>
      </w:r>
      <w:r>
        <w:rPr>
          <w:rFonts w:ascii="宋体" w:hAnsi="宋体" w:hint="eastAsia"/>
        </w:rPr>
        <w:t>〈</w:t>
      </w:r>
      <w:r>
        <w:t>深圳市政府采购评标定标分离管理办法</w:t>
      </w:r>
      <w:r>
        <w:rPr>
          <w:rFonts w:ascii="宋体" w:hAnsi="宋体" w:hint="eastAsia"/>
        </w:rPr>
        <w:t>〉</w:t>
      </w:r>
      <w:r>
        <w:t>的通知</w:t>
      </w:r>
      <w:r>
        <w:rPr>
          <w:rFonts w:hint="eastAsia"/>
        </w:rPr>
        <w:t>》（深财规【2</w:t>
      </w:r>
      <w:r>
        <w:t>020</w:t>
      </w:r>
      <w:r>
        <w:rPr>
          <w:rFonts w:hint="eastAsia"/>
        </w:rPr>
        <w:t>】1号）执行。</w:t>
      </w:r>
    </w:p>
    <w:p>
      <w:pPr>
        <w:ind w:firstLine="412" w:firstLineChars="196"/>
        <w:rPr>
          <w:rFonts w:ascii="宋体" w:hAnsi="宋体"/>
          <w:szCs w:val="21"/>
        </w:rPr>
      </w:pPr>
      <w:r>
        <w:rPr>
          <w:rFonts w:ascii="宋体" w:hAnsi="宋体" w:hint="eastAsia"/>
          <w:szCs w:val="21"/>
        </w:rPr>
        <w:t>说明：采购人及投标供应商应按照上述方法提前做好相关准备。</w:t>
      </w:r>
    </w:p>
    <w:p>
      <w:pPr>
        <w:ind w:firstLine="412" w:firstLineChars="196"/>
        <w:rPr>
          <w:rFonts w:ascii="宋体" w:hAnsi="宋体"/>
          <w:szCs w:val="21"/>
        </w:rPr>
      </w:pPr>
      <w:r>
        <w:rPr>
          <w:rFonts w:ascii="宋体" w:hAnsi="宋体" w:hint="eastAsia"/>
          <w:szCs w:val="21"/>
        </w:rPr>
        <w:t>38.3专用条款另有规定的，按专用条款相关要求定标。</w:t>
      </w:r>
      <w:bookmarkEnd w:id="70"/>
    </w:p>
    <w:p>
      <w:pPr>
        <w:rPr>
          <w:rFonts w:ascii="黑体" w:eastAsia="黑体" w:hAnsi="宋体"/>
          <w:sz w:val="24"/>
        </w:rPr>
      </w:pPr>
      <w:r>
        <w:rPr>
          <w:rFonts w:ascii="黑体" w:eastAsia="黑体" w:hAnsi="宋体" w:hint="eastAsia"/>
          <w:sz w:val="24"/>
        </w:rPr>
        <w:t>39．编写评审报告</w:t>
      </w:r>
    </w:p>
    <w:p>
      <w:pPr>
        <w:ind w:firstLine="412" w:firstLineChars="196"/>
        <w:rPr>
          <w:rFonts w:ascii="宋体" w:hAnsi="宋体"/>
          <w:szCs w:val="21"/>
        </w:rPr>
      </w:pPr>
      <w:r>
        <w:rPr>
          <w:rFonts w:ascii="宋体" w:hAnsi="宋体" w:hint="eastAsia"/>
          <w:szCs w:val="21"/>
        </w:rPr>
        <w:t>评审报告是评审委员会根据全体评标成员签字的原始评审记录和评审结果编写的报告，评审报告由评审委员会全体成员签字。对评审结论持有异议的评审委员会成员可以书面方式阐述其不同意见和理由。评审委员会成员拒绝在评审报告上签字且不陈述其不同意见和理由的，视为同意评审结论。评审委员会应当对此作出书面说明并记录存档。</w:t>
      </w:r>
    </w:p>
    <w:p>
      <w:pPr>
        <w:rPr>
          <w:rFonts w:ascii="黑体" w:eastAsia="黑体" w:hAnsi="宋体"/>
          <w:sz w:val="24"/>
        </w:rPr>
      </w:pPr>
      <w:r>
        <w:rPr>
          <w:rFonts w:ascii="黑体" w:eastAsia="黑体" w:hAnsi="宋体" w:hint="eastAsia"/>
          <w:sz w:val="24"/>
        </w:rPr>
        <w:t>40．中标公告</w:t>
      </w:r>
    </w:p>
    <w:p>
      <w:pPr>
        <w:ind w:firstLine="412" w:firstLineChars="196"/>
        <w:rPr>
          <w:rFonts w:ascii="宋体" w:hAnsi="宋体"/>
          <w:szCs w:val="21"/>
        </w:rPr>
      </w:pPr>
      <w:r>
        <w:rPr>
          <w:rFonts w:ascii="宋体" w:hAnsi="宋体" w:hint="eastAsia"/>
          <w:szCs w:val="21"/>
        </w:rPr>
        <w:t>40.1</w:t>
      </w:r>
      <w:bookmarkStart w:id="74" w:name="_Hlk72438709"/>
      <w:r>
        <w:rPr>
          <w:rFonts w:ascii="宋体" w:hAnsi="宋体" w:hint="eastAsia"/>
          <w:szCs w:val="21"/>
        </w:rPr>
        <w:t>为体现“公开、公平、公正”的原则，评审结束后经采购人确认（确定）评审结果，政府集中采购机构将在“深圳政府采购智慧平台（http://zfcg.szggzy.com:8081/）”上发布中标结果公告。</w:t>
      </w:r>
      <w:bookmarkEnd w:id="74"/>
      <w:bookmarkStart w:id="75" w:name="_Hlk72438751"/>
      <w:r>
        <w:rPr>
          <w:rFonts w:ascii="宋体" w:hAnsi="宋体" w:hint="eastAsia"/>
          <w:szCs w:val="21"/>
        </w:rPr>
        <w:t>供应商如对评审结果有异议，</w:t>
      </w:r>
      <w:r>
        <w:rPr>
          <w:rFonts w:ascii="宋体" w:hAnsi="宋体"/>
          <w:szCs w:val="21"/>
        </w:rPr>
        <w:t>可在发布公示日期起</w:t>
      </w:r>
      <w:r>
        <w:rPr>
          <w:rFonts w:ascii="宋体" w:hAnsi="宋体" w:hint="eastAsia"/>
          <w:szCs w:val="21"/>
        </w:rPr>
        <w:t>七</w:t>
      </w:r>
      <w:r>
        <w:rPr>
          <w:rFonts w:ascii="宋体" w:hAnsi="宋体"/>
          <w:szCs w:val="21"/>
        </w:rPr>
        <w:t>个工作日内向</w:t>
      </w:r>
      <w:r>
        <w:rPr>
          <w:rFonts w:ascii="宋体" w:hAnsi="宋体" w:hint="eastAsia"/>
          <w:szCs w:val="21"/>
        </w:rPr>
        <w:t>政府集中采购机构</w:t>
      </w:r>
      <w:r>
        <w:rPr>
          <w:rFonts w:ascii="宋体" w:hAnsi="宋体"/>
          <w:szCs w:val="21"/>
        </w:rPr>
        <w:t>提出。 监督电话：0755-</w:t>
      </w:r>
      <w:r>
        <w:rPr>
          <w:rFonts w:ascii="宋体" w:hAnsi="宋体" w:hint="eastAsia"/>
          <w:szCs w:val="21"/>
        </w:rPr>
        <w:t>86500050</w:t>
      </w:r>
      <w:r>
        <w:rPr>
          <w:rFonts w:ascii="宋体" w:hAnsi="宋体"/>
          <w:szCs w:val="21"/>
        </w:rPr>
        <w:t>。</w:t>
      </w:r>
      <w:r>
        <w:rPr>
          <w:rFonts w:ascii="宋体" w:hAnsi="宋体" w:hint="eastAsia"/>
          <w:szCs w:val="21"/>
        </w:rPr>
        <w:t>若在公示期内未提出质疑，则视为认同该评审结果。</w:t>
      </w:r>
    </w:p>
    <w:p>
      <w:pPr>
        <w:ind w:firstLine="412" w:firstLineChars="196"/>
        <w:rPr>
          <w:rFonts w:ascii="宋体" w:hAnsi="宋体"/>
          <w:szCs w:val="21"/>
        </w:rPr>
      </w:pPr>
      <w:bookmarkEnd w:id="75"/>
      <w:r>
        <w:rPr>
          <w:rFonts w:ascii="宋体" w:hAnsi="宋体" w:hint="eastAsia"/>
          <w:szCs w:val="21"/>
        </w:rPr>
        <w:t>40.2质疑、投诉供应商应保证质疑、投诉内容的真实性和可靠性，并承担相应的法律责任。</w:t>
      </w:r>
    </w:p>
    <w:p>
      <w:pPr>
        <w:rPr>
          <w:rFonts w:ascii="黑体" w:eastAsia="黑体" w:hAnsi="宋体"/>
          <w:sz w:val="24"/>
        </w:rPr>
      </w:pPr>
      <w:r>
        <w:rPr>
          <w:rFonts w:ascii="黑体" w:eastAsia="黑体" w:hAnsi="宋体" w:hint="eastAsia"/>
          <w:sz w:val="24"/>
        </w:rPr>
        <w:t>41．中标通知书</w:t>
      </w:r>
    </w:p>
    <w:p>
      <w:pPr>
        <w:ind w:firstLine="412" w:firstLineChars="196"/>
        <w:rPr>
          <w:rFonts w:ascii="宋体" w:hAnsi="宋体"/>
          <w:szCs w:val="21"/>
        </w:rPr>
      </w:pPr>
      <w:r>
        <w:rPr>
          <w:rFonts w:ascii="宋体" w:hAnsi="宋体" w:hint="eastAsia"/>
          <w:szCs w:val="21"/>
        </w:rPr>
        <w:t>41</w:t>
      </w:r>
      <w:r>
        <w:rPr>
          <w:rFonts w:ascii="宋体" w:hAnsi="宋体"/>
          <w:szCs w:val="21"/>
        </w:rPr>
        <w:t>.</w:t>
      </w:r>
      <w:r>
        <w:rPr>
          <w:rFonts w:ascii="宋体" w:hAnsi="宋体" w:hint="eastAsia"/>
          <w:szCs w:val="21"/>
        </w:rPr>
        <w:t>1</w:t>
      </w:r>
      <w:bookmarkStart w:id="76" w:name="_Hlk72438863"/>
      <w:r>
        <w:rPr>
          <w:rFonts w:ascii="宋体" w:hAnsi="宋体" w:hint="eastAsia"/>
          <w:szCs w:val="21"/>
        </w:rPr>
        <w:t>中标公告公布以后无异常的情况下,中标供应商和采购人可自行在“深圳政府采购智慧平台（http://zfcg.szggzy.com:8081/）”上打印</w:t>
      </w:r>
      <w:r>
        <w:rPr>
          <w:rFonts w:ascii="宋体" w:hAnsi="宋体" w:hint="eastAsia"/>
          <w:b/>
          <w:szCs w:val="21"/>
        </w:rPr>
        <w:t>《数字中标通知书》（</w:t>
      </w:r>
      <w:r>
        <w:rPr>
          <w:rFonts w:ascii="宋体" w:hAnsi="宋体" w:hint="eastAsia"/>
          <w:szCs w:val="21"/>
        </w:rPr>
        <w:t>咨询电话：</w:t>
      </w:r>
      <w:r>
        <w:rPr>
          <w:rFonts w:ascii="宋体" w:hAnsi="宋体" w:hint="eastAsia"/>
          <w:b/>
          <w:bCs/>
          <w:szCs w:val="21"/>
        </w:rPr>
        <w:t>0755-88653300，转6</w:t>
      </w:r>
      <w:r>
        <w:rPr>
          <w:rFonts w:ascii="宋体" w:hAnsi="宋体" w:hint="eastAsia"/>
          <w:szCs w:val="21"/>
        </w:rPr>
        <w:t>）。</w:t>
      </w:r>
      <w:bookmarkEnd w:id="76"/>
    </w:p>
    <w:p>
      <w:pPr>
        <w:ind w:firstLine="412" w:firstLineChars="196"/>
        <w:rPr>
          <w:rFonts w:ascii="宋体" w:hAnsi="宋体"/>
          <w:szCs w:val="21"/>
        </w:rPr>
      </w:pPr>
      <w:r>
        <w:rPr>
          <w:rFonts w:ascii="宋体" w:hAnsi="宋体" w:hint="eastAsia"/>
          <w:szCs w:val="21"/>
        </w:rPr>
        <w:t>41</w:t>
      </w:r>
      <w:r>
        <w:rPr>
          <w:rFonts w:ascii="宋体" w:hAnsi="宋体"/>
          <w:szCs w:val="21"/>
        </w:rPr>
        <w:t>.2</w:t>
      </w:r>
      <w:r>
        <w:rPr>
          <w:rFonts w:ascii="宋体" w:hAnsi="宋体" w:hint="eastAsia"/>
          <w:szCs w:val="21"/>
        </w:rPr>
        <w:t>中标通知书是合同的重要组成部分。</w:t>
      </w:r>
    </w:p>
    <w:p>
      <w:pPr>
        <w:ind w:firstLine="412" w:firstLineChars="196"/>
        <w:rPr>
          <w:rFonts w:ascii="宋体" w:hAnsi="宋体"/>
          <w:szCs w:val="21"/>
        </w:rPr>
      </w:pPr>
      <w:bookmarkStart w:id="77" w:name="_Hlk71407340"/>
      <w:r>
        <w:rPr>
          <w:rFonts w:ascii="宋体" w:hAnsi="宋体" w:hint="eastAsia"/>
          <w:szCs w:val="21"/>
        </w:rPr>
        <w:t>41.3因质疑投诉或其它原因导致项目结果变更或采购终止的，政府集中采购机构有权吊销中标通知书。</w:t>
      </w:r>
    </w:p>
    <w:p>
      <w:pPr>
        <w:pStyle w:val="Heading2"/>
        <w:numPr>
          <w:ilvl w:val="0"/>
          <w:numId w:val="12"/>
        </w:numPr>
        <w:tabs>
          <w:tab w:val="left" w:pos="360"/>
          <w:tab w:val="clear" w:pos="720"/>
        </w:tabs>
        <w:spacing w:before="120" w:beforeLines="50" w:after="120" w:afterLines="50"/>
        <w:ind w:left="562" w:hanging="562"/>
        <w:rPr>
          <w:sz w:val="28"/>
          <w:szCs w:val="28"/>
        </w:rPr>
      </w:pPr>
      <w:bookmarkEnd w:id="77"/>
      <w:r>
        <w:rPr>
          <w:rFonts w:hint="eastAsia"/>
          <w:sz w:val="28"/>
          <w:szCs w:val="28"/>
        </w:rPr>
        <w:t>公开招标失败的后续处理</w:t>
      </w:r>
    </w:p>
    <w:p>
      <w:pPr>
        <w:rPr>
          <w:rFonts w:ascii="黑体" w:eastAsia="黑体" w:hAnsi="宋体"/>
          <w:sz w:val="24"/>
        </w:rPr>
      </w:pPr>
      <w:r>
        <w:rPr>
          <w:rFonts w:ascii="黑体" w:eastAsia="黑体" w:hAnsi="宋体" w:hint="eastAsia"/>
          <w:sz w:val="24"/>
        </w:rPr>
        <w:t>42．公开招标失败的处理</w:t>
      </w:r>
    </w:p>
    <w:p>
      <w:pPr>
        <w:ind w:firstLine="412" w:firstLineChars="196"/>
        <w:rPr>
          <w:rFonts w:ascii="宋体" w:hAnsi="宋体"/>
        </w:rPr>
      </w:pPr>
      <w:r>
        <w:rPr>
          <w:rFonts w:ascii="宋体" w:hAnsi="宋体" w:hint="eastAsia"/>
          <w:szCs w:val="21"/>
        </w:rPr>
        <w:t>42.1本项目公开招标过程中若由于投标截止后</w:t>
      </w:r>
      <w:r>
        <w:rPr>
          <w:rFonts w:ascii="宋体" w:hAnsi="宋体" w:hint="eastAsia"/>
        </w:rPr>
        <w:t>实际递交</w:t>
      </w:r>
      <w:r>
        <w:rPr>
          <w:rFonts w:ascii="宋体" w:hAnsi="宋体"/>
        </w:rPr>
        <w:t>投标</w:t>
      </w:r>
      <w:r>
        <w:rPr>
          <w:rFonts w:ascii="宋体" w:hAnsi="宋体" w:hint="eastAsia"/>
        </w:rPr>
        <w:t>文件的供应商数量不足、经</w:t>
      </w:r>
      <w:r>
        <w:rPr>
          <w:rFonts w:ascii="宋体" w:hAnsi="宋体" w:hint="eastAsia"/>
          <w:szCs w:val="21"/>
        </w:rPr>
        <w:t>评审委员会</w:t>
      </w:r>
      <w:r>
        <w:rPr>
          <w:rFonts w:ascii="宋体" w:hAnsi="宋体" w:hint="eastAsia"/>
        </w:rPr>
        <w:t>评审对招标文件作实质响应的供应商不足等原因造成公开招标失败，可由</w:t>
      </w:r>
      <w:r>
        <w:rPr>
          <w:rFonts w:ascii="宋体" w:hAnsi="宋体" w:cs="宋体" w:hint="eastAsia"/>
        </w:rPr>
        <w:t>政府集中采购机构</w:t>
      </w:r>
      <w:r>
        <w:rPr>
          <w:rFonts w:ascii="宋体" w:hAnsi="宋体" w:hint="eastAsia"/>
        </w:rPr>
        <w:t>重新组织采购。</w:t>
      </w:r>
    </w:p>
    <w:p>
      <w:pPr>
        <w:ind w:firstLine="412" w:firstLineChars="196"/>
        <w:rPr>
          <w:rFonts w:ascii="宋体" w:hAnsi="宋体"/>
          <w:szCs w:val="21"/>
        </w:rPr>
      </w:pPr>
      <w:r>
        <w:rPr>
          <w:rFonts w:ascii="宋体" w:hAnsi="宋体" w:hint="eastAsia"/>
          <w:szCs w:val="21"/>
        </w:rPr>
        <w:t>42.2对公开招标失败的项目，评审委员会在出具该项目招标失败结论的同时，可以提出重新采购组织形式的建议，以及进一步完善招标文件的资格、技术、商务要求的修改建议。</w:t>
      </w:r>
    </w:p>
    <w:p>
      <w:pPr>
        <w:ind w:firstLine="412" w:firstLineChars="196"/>
        <w:rPr>
          <w:rFonts w:ascii="宋体" w:hAnsi="宋体"/>
          <w:szCs w:val="21"/>
        </w:rPr>
      </w:pPr>
      <w:r>
        <w:rPr>
          <w:rFonts w:ascii="宋体" w:hAnsi="宋体" w:hint="eastAsia"/>
          <w:szCs w:val="21"/>
        </w:rPr>
        <w:t>42.3重新组织采购有以下两种组织形式：</w:t>
      </w:r>
    </w:p>
    <w:p>
      <w:pPr>
        <w:ind w:firstLine="412" w:firstLineChars="196"/>
        <w:rPr>
          <w:rFonts w:ascii="宋体" w:hAnsi="宋体"/>
        </w:rPr>
      </w:pPr>
      <w:r>
        <w:rPr>
          <w:rFonts w:ascii="宋体" w:hAnsi="宋体" w:hint="eastAsia"/>
        </w:rPr>
        <w:t>（1）由政府集中采购机构重新组织公开招标；</w:t>
      </w:r>
    </w:p>
    <w:p>
      <w:pPr>
        <w:ind w:firstLine="412" w:firstLineChars="196"/>
        <w:rPr>
          <w:rFonts w:ascii="宋体" w:hAnsi="宋体"/>
        </w:rPr>
      </w:pPr>
      <w:r>
        <w:rPr>
          <w:rFonts w:ascii="宋体" w:hAnsi="宋体" w:hint="eastAsia"/>
        </w:rPr>
        <w:t>（2）根据实际情况需要向同级财政部门提出非公开招标方式申请，经同级财政部门批准，公开招标失败采购项目可转为竞争性谈判或单一来源谈判方式采购。</w:t>
      </w:r>
    </w:p>
    <w:p>
      <w:pPr>
        <w:ind w:firstLine="412" w:firstLineChars="196"/>
        <w:rPr>
          <w:rFonts w:ascii="宋体" w:hAnsi="宋体"/>
        </w:rPr>
      </w:pPr>
      <w:r>
        <w:rPr>
          <w:rFonts w:ascii="宋体" w:hAnsi="宋体" w:hint="eastAsia"/>
        </w:rPr>
        <w:t>42.4公开招标失败的采购项目重新组织公开招标，由政府集中采购机构重新按公开招标流程组织采购活动。</w:t>
      </w:r>
    </w:p>
    <w:p>
      <w:pPr>
        <w:rPr>
          <w:rFonts w:ascii="宋体" w:hAnsi="宋体"/>
        </w:rPr>
      </w:pPr>
      <w:r>
        <w:rPr>
          <w:rFonts w:ascii="宋体" w:hAnsi="宋体" w:hint="eastAsia"/>
        </w:rPr>
        <w:t>42.5公开招标失败的采购项目经同级财政部门批准转为竞争性谈判或单一来源谈判方式采购的，按规定要求组织政府采购工作。</w:t>
      </w:r>
    </w:p>
    <w:p>
      <w:pPr>
        <w:pStyle w:val="Heading2"/>
        <w:numPr>
          <w:ilvl w:val="0"/>
          <w:numId w:val="12"/>
        </w:numPr>
        <w:tabs>
          <w:tab w:val="left" w:pos="360"/>
          <w:tab w:val="clear" w:pos="720"/>
        </w:tabs>
        <w:spacing w:before="120" w:beforeLines="50" w:after="120" w:afterLines="50"/>
        <w:ind w:left="562" w:hanging="562"/>
        <w:rPr>
          <w:sz w:val="28"/>
          <w:szCs w:val="28"/>
        </w:rPr>
      </w:pPr>
      <w:bookmarkStart w:id="78" w:name="_Hlk72439043"/>
      <w:r>
        <w:rPr>
          <w:rFonts w:hint="eastAsia"/>
          <w:sz w:val="28"/>
          <w:szCs w:val="28"/>
        </w:rPr>
        <w:t>合同的授予与备案</w:t>
      </w:r>
      <w:bookmarkEnd w:id="78"/>
    </w:p>
    <w:p>
      <w:pPr>
        <w:rPr>
          <w:rFonts w:ascii="黑体" w:eastAsia="黑体" w:hAnsi="宋体"/>
          <w:sz w:val="24"/>
        </w:rPr>
      </w:pPr>
      <w:bookmarkStart w:id="79" w:name="_Toc73517679"/>
      <w:bookmarkStart w:id="80" w:name="_Toc73518157"/>
      <w:bookmarkStart w:id="81" w:name="_Toc100052408"/>
      <w:bookmarkStart w:id="82" w:name="_Toc73521586"/>
      <w:bookmarkStart w:id="83" w:name="_Toc73521674"/>
      <w:bookmarkStart w:id="84" w:name="_Hlk72439088"/>
      <w:r>
        <w:rPr>
          <w:rFonts w:ascii="黑体" w:eastAsia="黑体" w:hAnsi="宋体" w:hint="eastAsia"/>
          <w:sz w:val="24"/>
        </w:rPr>
        <w:t>43．合同授予标准</w:t>
      </w:r>
      <w:bookmarkEnd w:id="79"/>
      <w:bookmarkEnd w:id="80"/>
      <w:bookmarkEnd w:id="81"/>
      <w:bookmarkEnd w:id="82"/>
      <w:bookmarkEnd w:id="83"/>
    </w:p>
    <w:p>
      <w:pPr>
        <w:ind w:firstLine="412" w:firstLineChars="196"/>
        <w:rPr>
          <w:rFonts w:ascii="宋体" w:hAnsi="宋体"/>
          <w:szCs w:val="21"/>
        </w:rPr>
      </w:pPr>
      <w:r>
        <w:rPr>
          <w:rFonts w:ascii="宋体" w:hAnsi="宋体" w:hint="eastAsia"/>
          <w:szCs w:val="21"/>
        </w:rPr>
        <w:t>本项目的合同将授予经本招标文件规定评审确定的中标供应商。</w:t>
      </w:r>
    </w:p>
    <w:p>
      <w:pPr>
        <w:rPr>
          <w:rFonts w:ascii="黑体" w:eastAsia="黑体" w:hAnsi="宋体"/>
          <w:sz w:val="24"/>
        </w:rPr>
      </w:pPr>
      <w:bookmarkStart w:id="85" w:name="_Toc73517680"/>
      <w:bookmarkStart w:id="86" w:name="_Toc100052409"/>
      <w:bookmarkStart w:id="87" w:name="_Toc73521675"/>
      <w:bookmarkStart w:id="88" w:name="_Toc73521587"/>
      <w:bookmarkStart w:id="89" w:name="_Toc73518158"/>
      <w:r>
        <w:rPr>
          <w:rFonts w:ascii="黑体" w:eastAsia="黑体" w:hAnsi="宋体" w:hint="eastAsia"/>
          <w:sz w:val="24"/>
        </w:rPr>
        <w:t>44．</w:t>
      </w:r>
      <w:bookmarkEnd w:id="85"/>
      <w:bookmarkEnd w:id="86"/>
      <w:bookmarkEnd w:id="87"/>
      <w:bookmarkEnd w:id="88"/>
      <w:bookmarkEnd w:id="89"/>
      <w:r>
        <w:rPr>
          <w:rFonts w:ascii="黑体" w:eastAsia="黑体" w:hAnsi="宋体" w:hint="eastAsia"/>
          <w:sz w:val="24"/>
        </w:rPr>
        <w:t>接受和拒绝任何或所有投标的权力</w:t>
      </w:r>
    </w:p>
    <w:p>
      <w:pPr>
        <w:ind w:firstLine="412" w:firstLineChars="196"/>
        <w:rPr>
          <w:rFonts w:ascii="宋体" w:hAnsi="宋体"/>
          <w:szCs w:val="21"/>
        </w:rPr>
      </w:pPr>
      <w:r>
        <w:rPr>
          <w:rFonts w:ascii="宋体" w:hAnsi="宋体" w:hint="eastAsia"/>
          <w:szCs w:val="21"/>
        </w:rPr>
        <w:t>政府集中采购机构和采购人保留在投标之前任何时候接受或拒绝任何投标或所有投标，以及宣布招标无效的权力，对受影响的投标人不承担任何责任，也无义务向受影响的投标人解释采取这一行动的理由。</w:t>
      </w:r>
    </w:p>
    <w:p>
      <w:pPr>
        <w:rPr>
          <w:rFonts w:ascii="黑体" w:eastAsia="黑体" w:hAnsi="宋体"/>
          <w:sz w:val="24"/>
        </w:rPr>
      </w:pPr>
      <w:bookmarkStart w:id="90" w:name="_Toc73521677"/>
      <w:bookmarkStart w:id="91" w:name="_Toc73518160"/>
      <w:bookmarkStart w:id="92" w:name="_Toc100052410"/>
      <w:bookmarkStart w:id="93" w:name="_Toc73517682"/>
      <w:bookmarkStart w:id="94" w:name="_Toc73521589"/>
      <w:r>
        <w:rPr>
          <w:rFonts w:ascii="黑体" w:eastAsia="黑体" w:hAnsi="宋体" w:hint="eastAsia"/>
          <w:sz w:val="24"/>
        </w:rPr>
        <w:t>45．合同的签订</w:t>
      </w:r>
      <w:bookmarkEnd w:id="90"/>
      <w:bookmarkEnd w:id="91"/>
      <w:bookmarkEnd w:id="92"/>
      <w:bookmarkEnd w:id="93"/>
      <w:bookmarkEnd w:id="94"/>
    </w:p>
    <w:p>
      <w:pPr>
        <w:ind w:firstLine="412" w:firstLineChars="196"/>
        <w:rPr>
          <w:rFonts w:ascii="宋体" w:hAnsi="宋体"/>
          <w:szCs w:val="21"/>
        </w:rPr>
      </w:pPr>
      <w:r>
        <w:rPr>
          <w:rFonts w:ascii="宋体" w:hAnsi="宋体" w:hint="eastAsia"/>
          <w:szCs w:val="21"/>
        </w:rPr>
        <w:t>45.1中标人将于中标通知书发出之日起十个工作日内，按照采购文件（招标文件和投标文件等）内容与采购人签订政府采购合同；合同的实质性内容应当符合招标文件的规定；</w:t>
      </w:r>
    </w:p>
    <w:p>
      <w:pPr>
        <w:ind w:firstLine="412" w:firstLineChars="196"/>
        <w:rPr>
          <w:rFonts w:ascii="宋体" w:hAnsi="宋体"/>
          <w:szCs w:val="21"/>
        </w:rPr>
      </w:pPr>
      <w:r>
        <w:rPr>
          <w:rFonts w:ascii="宋体" w:hAnsi="宋体" w:hint="eastAsia"/>
          <w:szCs w:val="21"/>
        </w:rPr>
        <w:t>45.2中标人如不按本通用条款第45</w:t>
      </w:r>
      <w:r>
        <w:rPr>
          <w:rFonts w:ascii="宋体" w:hAnsi="宋体"/>
          <w:szCs w:val="21"/>
        </w:rPr>
        <w:t>.1</w:t>
      </w:r>
      <w:r>
        <w:rPr>
          <w:rFonts w:ascii="宋体" w:hAnsi="宋体" w:hint="eastAsia"/>
          <w:szCs w:val="21"/>
        </w:rPr>
        <w:t>款的规定与采购人签订合同，</w:t>
      </w:r>
      <w:r>
        <w:rPr>
          <w:rFonts w:ascii="宋体" w:hAnsi="宋体" w:cs="宋体"/>
          <w:kern w:val="0"/>
          <w:szCs w:val="21"/>
        </w:rPr>
        <w:t>情节严重的，由</w:t>
      </w:r>
      <w:r>
        <w:rPr>
          <w:rFonts w:ascii="宋体" w:hAnsi="宋体" w:cs="宋体" w:hint="eastAsia"/>
          <w:kern w:val="0"/>
          <w:szCs w:val="21"/>
        </w:rPr>
        <w:t>同级财政</w:t>
      </w:r>
      <w:r>
        <w:rPr>
          <w:rFonts w:ascii="宋体" w:hAnsi="宋体" w:cs="宋体"/>
          <w:kern w:val="0"/>
          <w:szCs w:val="21"/>
        </w:rPr>
        <w:t>部门记入供应商诚信档案，予以通报</w:t>
      </w:r>
      <w:r>
        <w:rPr>
          <w:rFonts w:ascii="宋体" w:hAnsi="宋体" w:hint="eastAsia"/>
          <w:szCs w:val="21"/>
        </w:rPr>
        <w:t>；</w:t>
      </w:r>
    </w:p>
    <w:p>
      <w:pPr>
        <w:ind w:firstLine="412" w:firstLineChars="196"/>
        <w:rPr>
          <w:rFonts w:ascii="宋体" w:hAnsi="宋体"/>
          <w:szCs w:val="21"/>
        </w:rPr>
      </w:pPr>
      <w:r>
        <w:rPr>
          <w:rFonts w:ascii="宋体" w:hAnsi="宋体" w:hint="eastAsia"/>
          <w:szCs w:val="21"/>
        </w:rPr>
        <w:t>45.3中标人应当按照合同约定履行义务，完成中标项目，不得将中标项目转让（转包）给他人。</w:t>
      </w:r>
    </w:p>
    <w:p>
      <w:pPr>
        <w:rPr>
          <w:rFonts w:ascii="黑体" w:eastAsia="黑体" w:hAnsi="宋体"/>
          <w:sz w:val="24"/>
        </w:rPr>
      </w:pPr>
      <w:bookmarkStart w:id="95" w:name="_Toc73518161"/>
      <w:bookmarkStart w:id="96" w:name="_Toc73521678"/>
      <w:bookmarkStart w:id="97" w:name="_Toc73517683"/>
      <w:bookmarkStart w:id="98" w:name="_Toc73521590"/>
      <w:bookmarkStart w:id="99" w:name="_Toc100052411"/>
      <w:r>
        <w:rPr>
          <w:rFonts w:ascii="黑体" w:eastAsia="黑体" w:hAnsi="宋体" w:hint="eastAsia"/>
          <w:sz w:val="24"/>
        </w:rPr>
        <w:t>46．履约担保</w:t>
      </w:r>
      <w:bookmarkEnd w:id="95"/>
      <w:bookmarkEnd w:id="96"/>
      <w:bookmarkEnd w:id="97"/>
      <w:bookmarkEnd w:id="98"/>
      <w:bookmarkEnd w:id="99"/>
    </w:p>
    <w:p>
      <w:pPr>
        <w:ind w:firstLine="412" w:firstLineChars="196"/>
        <w:rPr>
          <w:rFonts w:ascii="宋体" w:hAnsi="宋体"/>
          <w:szCs w:val="21"/>
        </w:rPr>
      </w:pPr>
      <w:r>
        <w:rPr>
          <w:rFonts w:ascii="宋体" w:hAnsi="宋体" w:hint="eastAsia"/>
          <w:szCs w:val="21"/>
        </w:rPr>
        <w:t>46.1在签订项目合同的同时，中标人应按“对通用条款的补充内容”中规定的金额向采购人提交履约担保；</w:t>
      </w:r>
    </w:p>
    <w:p>
      <w:pPr>
        <w:ind w:firstLine="412" w:firstLineChars="196"/>
        <w:rPr>
          <w:rFonts w:ascii="宋体" w:hAnsi="宋体"/>
          <w:szCs w:val="21"/>
        </w:rPr>
      </w:pPr>
      <w:r>
        <w:rPr>
          <w:rFonts w:ascii="宋体" w:hAnsi="宋体" w:hint="eastAsia"/>
          <w:szCs w:val="21"/>
        </w:rPr>
        <w:t>46.2，允许供应商自主选择以支票、汇票、本票、保函等非现金方式提交履约担保；</w:t>
      </w:r>
      <w:r>
        <w:t>中标</w:t>
      </w:r>
      <w:r>
        <w:rPr>
          <w:rFonts w:hint="eastAsia"/>
        </w:rPr>
        <w:t>人</w:t>
      </w:r>
      <w:r>
        <w:t>提交履约</w:t>
      </w:r>
      <w:r>
        <w:rPr>
          <w:rFonts w:hint="eastAsia"/>
        </w:rPr>
        <w:t>担保不是</w:t>
      </w:r>
      <w:r>
        <w:t>合同签订的</w:t>
      </w:r>
      <w:r>
        <w:rPr>
          <w:rFonts w:hint="eastAsia"/>
        </w:rPr>
        <w:t>前提</w:t>
      </w:r>
      <w:r>
        <w:t>条件，不要求中标</w:t>
      </w:r>
      <w:r>
        <w:rPr>
          <w:rFonts w:hint="eastAsia"/>
        </w:rPr>
        <w:t>人</w:t>
      </w:r>
      <w:r>
        <w:t>提供除法律、法规明确规定外的其他担保</w:t>
      </w:r>
      <w:r>
        <w:rPr>
          <w:rFonts w:hint="eastAsia"/>
        </w:rPr>
        <w:t>。</w:t>
      </w:r>
    </w:p>
    <w:p>
      <w:pPr>
        <w:rPr>
          <w:rFonts w:ascii="黑体" w:eastAsia="黑体" w:hAnsi="宋体"/>
          <w:sz w:val="24"/>
        </w:rPr>
      </w:pPr>
      <w:r>
        <w:rPr>
          <w:rFonts w:ascii="黑体" w:eastAsia="黑体" w:hAnsi="宋体" w:hint="eastAsia"/>
          <w:sz w:val="24"/>
        </w:rPr>
        <w:t>47. 合同备案</w:t>
      </w:r>
    </w:p>
    <w:p>
      <w:pPr>
        <w:ind w:firstLine="412" w:firstLineChars="196"/>
        <w:rPr>
          <w:rFonts w:ascii="宋体" w:hAnsi="宋体"/>
          <w:szCs w:val="21"/>
        </w:rPr>
      </w:pPr>
      <w:r>
        <w:rPr>
          <w:rFonts w:ascii="宋体" w:hAnsi="宋体" w:hint="eastAsia"/>
          <w:szCs w:val="21"/>
        </w:rPr>
        <w:t>采购人与中标人应于合同签订之日起十日内，由采购人或委托中标人将采购合同副本抄送合同备案工作实施机构备案。</w:t>
      </w:r>
    </w:p>
    <w:p>
      <w:pPr>
        <w:rPr>
          <w:rFonts w:ascii="黑体" w:eastAsia="黑体" w:hAnsi="宋体"/>
          <w:sz w:val="24"/>
        </w:rPr>
      </w:pPr>
      <w:r>
        <w:rPr>
          <w:rFonts w:ascii="黑体" w:eastAsia="黑体" w:hAnsi="宋体" w:hint="eastAsia"/>
          <w:sz w:val="24"/>
        </w:rPr>
        <w:t>48. 合同变更</w:t>
      </w:r>
    </w:p>
    <w:p>
      <w:pPr>
        <w:ind w:firstLine="412" w:firstLineChars="196"/>
        <w:rPr>
          <w:rFonts w:ascii="宋体" w:hAnsi="宋体"/>
          <w:szCs w:val="21"/>
        </w:rPr>
      </w:pPr>
      <w:r>
        <w:rPr>
          <w:rFonts w:ascii="宋体" w:hAnsi="宋体" w:hint="eastAsia"/>
          <w:szCs w:val="21"/>
        </w:rPr>
        <w:t>合同变更事宜按《深圳市财政局关于优化政府采购合同备案的通知》（深财发保〔2022〕2号）相关规定执行。</w:t>
      </w:r>
    </w:p>
    <w:p>
      <w:pPr>
        <w:rPr>
          <w:rFonts w:ascii="黑体" w:eastAsia="黑体" w:hAnsi="宋体"/>
          <w:sz w:val="24"/>
        </w:rPr>
      </w:pPr>
      <w:r>
        <w:rPr>
          <w:rFonts w:ascii="黑体" w:eastAsia="黑体" w:hAnsi="宋体" w:hint="eastAsia"/>
          <w:sz w:val="24"/>
        </w:rPr>
        <w:t>49. 项目验收</w:t>
      </w:r>
    </w:p>
    <w:p>
      <w:pPr>
        <w:widowControl/>
        <w:ind w:right="176" w:firstLine="420"/>
        <w:jc w:val="left"/>
        <w:rPr>
          <w:rFonts w:ascii="宋体" w:hAnsi="宋体"/>
        </w:rPr>
      </w:pPr>
      <w:r>
        <w:rPr>
          <w:rFonts w:ascii="宋体" w:hAnsi="宋体" w:hint="eastAsia"/>
        </w:rPr>
        <w:t>49.1采购人应当按照招标文件和合同规定的标准和方法，及时组织验收。</w:t>
      </w:r>
    </w:p>
    <w:p>
      <w:pPr>
        <w:rPr>
          <w:rFonts w:ascii="黑体" w:eastAsia="黑体" w:hAnsi="宋体"/>
          <w:sz w:val="24"/>
        </w:rPr>
      </w:pPr>
      <w:r>
        <w:rPr>
          <w:rFonts w:ascii="黑体" w:eastAsia="黑体" w:hAnsi="宋体" w:hint="eastAsia"/>
          <w:sz w:val="24"/>
        </w:rPr>
        <w:t>50. 宣传</w:t>
      </w:r>
    </w:p>
    <w:p>
      <w:pPr>
        <w:ind w:left="210" w:firstLine="412" w:leftChars="100" w:firstLineChars="196"/>
        <w:rPr>
          <w:rFonts w:ascii="宋体" w:hAnsi="宋体"/>
        </w:rPr>
      </w:pPr>
      <w:r>
        <w:rPr>
          <w:rFonts w:ascii="宋体" w:hAnsi="宋体" w:hint="eastAsia"/>
        </w:rPr>
        <w:t>凡与政府采购活动有关的宣传或广告，若当中提及政府采购，</w:t>
      </w:r>
      <w:r>
        <w:rPr>
          <w:rFonts w:ascii="宋体" w:hAnsi="宋体"/>
        </w:rPr>
        <w:t>必须事先将具体对外宣传方案报</w:t>
      </w:r>
      <w:r>
        <w:rPr>
          <w:rFonts w:ascii="宋体" w:hAnsi="宋体" w:hint="eastAsia"/>
        </w:rPr>
        <w:t>同级财政部门</w:t>
      </w:r>
      <w:r>
        <w:rPr>
          <w:rFonts w:ascii="宋体" w:hAnsi="宋体"/>
        </w:rPr>
        <w:t>和</w:t>
      </w:r>
      <w:r>
        <w:rPr>
          <w:rFonts w:ascii="宋体" w:hAnsi="宋体" w:hint="eastAsia"/>
        </w:rPr>
        <w:t>政府集中采购机构</w:t>
      </w:r>
      <w:r>
        <w:rPr>
          <w:rFonts w:ascii="宋体" w:hAnsi="宋体"/>
        </w:rPr>
        <w:t>，并征得其同意。对外市场宣传包括但不限于以下形式：</w:t>
      </w:r>
    </w:p>
    <w:p>
      <w:pPr>
        <w:ind w:left="210" w:firstLine="412" w:leftChars="100" w:firstLineChars="196"/>
        <w:rPr>
          <w:rFonts w:ascii="宋体" w:hAnsi="宋体"/>
        </w:rPr>
      </w:pPr>
      <w:r>
        <w:rPr>
          <w:rFonts w:ascii="宋体" w:hAnsi="宋体"/>
        </w:rPr>
        <w:t>a.名片、宣传册、广告标语等；</w:t>
      </w:r>
    </w:p>
    <w:p>
      <w:pPr>
        <w:ind w:left="210" w:firstLine="412" w:leftChars="100" w:firstLineChars="196"/>
        <w:rPr>
          <w:rFonts w:ascii="宋体" w:hAnsi="宋体"/>
        </w:rPr>
      </w:pPr>
      <w:r>
        <w:rPr>
          <w:rFonts w:ascii="宋体" w:hAnsi="宋体"/>
        </w:rPr>
        <w:t>b.案例介绍、推广等；</w:t>
      </w:r>
    </w:p>
    <w:p>
      <w:pPr>
        <w:ind w:left="210" w:firstLine="412" w:leftChars="100" w:firstLineChars="196"/>
        <w:rPr>
          <w:rFonts w:ascii="宋体" w:hAnsi="宋体"/>
        </w:rPr>
      </w:pPr>
      <w:r>
        <w:rPr>
          <w:rFonts w:ascii="宋体" w:hAnsi="宋体" w:hint="eastAsia"/>
        </w:rPr>
        <w:t>c.工作</w:t>
      </w:r>
      <w:r>
        <w:rPr>
          <w:rFonts w:ascii="宋体" w:hAnsi="宋体"/>
        </w:rPr>
        <w:t>人员向其他消费群体宣传。</w:t>
      </w:r>
    </w:p>
    <w:p>
      <w:pPr>
        <w:rPr>
          <w:rFonts w:ascii="黑体" w:eastAsia="黑体" w:hAnsi="宋体"/>
          <w:sz w:val="24"/>
        </w:rPr>
      </w:pPr>
      <w:r>
        <w:rPr>
          <w:rFonts w:ascii="黑体" w:eastAsia="黑体" w:hAnsi="宋体" w:hint="eastAsia"/>
          <w:sz w:val="24"/>
        </w:rPr>
        <w:t>51. 供应商违法责任</w:t>
      </w:r>
    </w:p>
    <w:p>
      <w:pPr>
        <w:ind w:firstLine="412" w:firstLineChars="196"/>
        <w:rPr>
          <w:rFonts w:ascii="宋体" w:hAnsi="宋体"/>
          <w:szCs w:val="21"/>
        </w:rPr>
      </w:pPr>
      <w:r>
        <w:rPr>
          <w:rFonts w:ascii="宋体" w:hAnsi="宋体" w:hint="eastAsia"/>
          <w:szCs w:val="21"/>
        </w:rPr>
        <w:t>5</w:t>
      </w:r>
      <w:r>
        <w:rPr>
          <w:rFonts w:ascii="宋体" w:hAnsi="宋体"/>
          <w:szCs w:val="21"/>
        </w:rPr>
        <w:t>1.1</w:t>
      </w:r>
      <w:r>
        <w:rPr>
          <w:rFonts w:ascii="宋体" w:hAnsi="宋体" w:hint="eastAsia"/>
          <w:szCs w:val="21"/>
        </w:rPr>
        <w:t>《深圳经济特区政府采购条例》第五十七条 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ind w:firstLine="412" w:firstLineChars="196"/>
        <w:rPr>
          <w:rFonts w:ascii="宋体" w:hAnsi="宋体"/>
          <w:szCs w:val="21"/>
        </w:rPr>
      </w:pPr>
      <w:r>
        <w:rPr>
          <w:rFonts w:ascii="宋体" w:hAnsi="宋体" w:hint="eastAsia"/>
          <w:szCs w:val="21"/>
        </w:rPr>
        <w:t>（1）在采购活动中应当回避而未回避的；</w:t>
      </w:r>
    </w:p>
    <w:p>
      <w:pPr>
        <w:ind w:firstLine="412" w:firstLineChars="196"/>
        <w:rPr>
          <w:rFonts w:ascii="宋体" w:hAnsi="宋体"/>
          <w:szCs w:val="21"/>
        </w:rPr>
      </w:pPr>
      <w:r>
        <w:rPr>
          <w:rFonts w:ascii="宋体" w:hAnsi="宋体" w:hint="eastAsia"/>
          <w:szCs w:val="21"/>
        </w:rPr>
        <w:t>（2）未按本条例规定签订、履行采购合同，造成严重后果的；</w:t>
      </w:r>
    </w:p>
    <w:p>
      <w:pPr>
        <w:ind w:firstLine="412" w:firstLineChars="196"/>
        <w:rPr>
          <w:rFonts w:ascii="宋体" w:hAnsi="宋体"/>
          <w:szCs w:val="21"/>
        </w:rPr>
      </w:pPr>
      <w:r>
        <w:rPr>
          <w:rFonts w:ascii="宋体" w:hAnsi="宋体" w:hint="eastAsia"/>
          <w:szCs w:val="21"/>
        </w:rPr>
        <w:t>（3）隐瞒真实情况，提供虚假资料的；</w:t>
      </w:r>
    </w:p>
    <w:p>
      <w:pPr>
        <w:ind w:firstLine="412" w:firstLineChars="196"/>
        <w:rPr>
          <w:rFonts w:ascii="宋体" w:hAnsi="宋体"/>
          <w:szCs w:val="21"/>
        </w:rPr>
      </w:pPr>
      <w:r>
        <w:rPr>
          <w:rFonts w:ascii="宋体" w:hAnsi="宋体" w:hint="eastAsia"/>
          <w:szCs w:val="21"/>
        </w:rPr>
        <w:t>（4）以非法手段排斥其他供应商参与竞争的；</w:t>
      </w:r>
    </w:p>
    <w:p>
      <w:pPr>
        <w:ind w:firstLine="412" w:firstLineChars="196"/>
        <w:rPr>
          <w:rFonts w:ascii="宋体" w:hAnsi="宋体"/>
          <w:szCs w:val="21"/>
        </w:rPr>
      </w:pPr>
      <w:r>
        <w:rPr>
          <w:rFonts w:ascii="宋体" w:hAnsi="宋体" w:hint="eastAsia"/>
          <w:szCs w:val="21"/>
        </w:rPr>
        <w:t>（5）与其他采购参加人串通投标的；</w:t>
      </w:r>
    </w:p>
    <w:p>
      <w:pPr>
        <w:ind w:firstLine="412" w:firstLineChars="196"/>
        <w:rPr>
          <w:rFonts w:ascii="宋体" w:hAnsi="宋体"/>
          <w:szCs w:val="21"/>
        </w:rPr>
      </w:pPr>
      <w:r>
        <w:rPr>
          <w:rFonts w:ascii="宋体" w:hAnsi="宋体" w:hint="eastAsia"/>
          <w:szCs w:val="21"/>
        </w:rPr>
        <w:t>（6）恶意投诉的；</w:t>
      </w:r>
    </w:p>
    <w:p>
      <w:pPr>
        <w:ind w:firstLine="412" w:firstLineChars="196"/>
        <w:rPr>
          <w:rFonts w:ascii="宋体" w:hAnsi="宋体"/>
          <w:szCs w:val="21"/>
        </w:rPr>
      </w:pPr>
      <w:r>
        <w:rPr>
          <w:rFonts w:ascii="宋体" w:hAnsi="宋体" w:hint="eastAsia"/>
          <w:szCs w:val="21"/>
        </w:rPr>
        <w:t>（7）向采购项目相关人行贿或者提供其他不当利益的；</w:t>
      </w:r>
    </w:p>
    <w:p>
      <w:pPr>
        <w:ind w:firstLine="412" w:firstLineChars="196"/>
        <w:rPr>
          <w:rFonts w:ascii="宋体" w:hAnsi="宋体"/>
          <w:szCs w:val="21"/>
        </w:rPr>
      </w:pPr>
      <w:r>
        <w:rPr>
          <w:rFonts w:ascii="宋体" w:hAnsi="宋体" w:hint="eastAsia"/>
          <w:szCs w:val="21"/>
        </w:rPr>
        <w:t>（8）阻碍、抗拒主管部门监督检查的；</w:t>
      </w:r>
    </w:p>
    <w:p>
      <w:pPr>
        <w:ind w:firstLine="412" w:firstLineChars="196"/>
        <w:rPr>
          <w:rFonts w:ascii="宋体" w:hAnsi="宋体"/>
          <w:szCs w:val="21"/>
        </w:rPr>
      </w:pPr>
      <w:r>
        <w:rPr>
          <w:rFonts w:ascii="宋体" w:hAnsi="宋体" w:hint="eastAsia"/>
          <w:szCs w:val="21"/>
        </w:rPr>
        <w:t>（9）其他违反本条例规定的行为。</w:t>
      </w:r>
    </w:p>
    <w:p>
      <w:pPr>
        <w:ind w:firstLine="412" w:firstLineChars="196"/>
        <w:rPr>
          <w:rFonts w:ascii="宋体" w:hAnsi="宋体"/>
          <w:szCs w:val="21"/>
        </w:rPr>
      </w:pPr>
      <w:r>
        <w:rPr>
          <w:rFonts w:ascii="宋体" w:hAnsi="宋体" w:hint="eastAsia"/>
          <w:szCs w:val="21"/>
        </w:rPr>
        <w:t>5</w:t>
      </w:r>
      <w:r>
        <w:rPr>
          <w:rFonts w:ascii="宋体" w:hAnsi="宋体"/>
          <w:szCs w:val="21"/>
        </w:rPr>
        <w:t xml:space="preserve">1.2 </w:t>
      </w:r>
      <w:r>
        <w:rPr>
          <w:rFonts w:ascii="宋体" w:hAnsi="宋体" w:hint="eastAsia"/>
          <w:szCs w:val="21"/>
        </w:rPr>
        <w:t>根据《深圳市财政局关于明确政府采购保证金管理工作的通知》（深财购[2019]42号）的要求，供应商在政府采购活动中出现《深圳经济特区政府采购条例实施细则》第八十四条所列情形的，</w:t>
      </w:r>
      <w:bookmarkStart w:id="100" w:name="_Hlk72440769"/>
      <w:r>
        <w:rPr>
          <w:rFonts w:ascii="宋体" w:hAnsi="宋体" w:hint="eastAsia"/>
          <w:szCs w:val="21"/>
        </w:rPr>
        <w:t>采购人或政府集中采购机构</w:t>
      </w:r>
      <w:bookmarkEnd w:id="100"/>
      <w:r>
        <w:rPr>
          <w:rFonts w:ascii="宋体" w:hAnsi="宋体" w:hint="eastAsia"/>
          <w:szCs w:val="21"/>
        </w:rPr>
        <w:t>可将有关情况报同级财政部门，由财政部门根据实际情况记入供应商诚信档案，予以通报：</w:t>
      </w:r>
    </w:p>
    <w:p>
      <w:pPr>
        <w:ind w:firstLine="412" w:firstLineChars="196"/>
        <w:rPr>
          <w:rFonts w:ascii="宋体" w:hAnsi="宋体"/>
          <w:szCs w:val="21"/>
        </w:rPr>
      </w:pPr>
      <w:r>
        <w:rPr>
          <w:rFonts w:ascii="宋体" w:hAnsi="宋体" w:hint="eastAsia"/>
          <w:szCs w:val="21"/>
        </w:rPr>
        <w:t>（1</w:t>
      </w:r>
      <w:r>
        <w:rPr>
          <w:rFonts w:ascii="宋体" w:hAnsi="宋体"/>
          <w:szCs w:val="21"/>
        </w:rPr>
        <w:t>）投标截止后，撤销投标的；</w:t>
      </w:r>
    </w:p>
    <w:p>
      <w:pPr>
        <w:ind w:firstLine="412" w:firstLineChars="196"/>
        <w:rPr>
          <w:rFonts w:ascii="宋体" w:hAnsi="宋体"/>
          <w:szCs w:val="21"/>
        </w:rPr>
      </w:pPr>
      <w:r>
        <w:rPr>
          <w:rFonts w:ascii="宋体" w:hAnsi="宋体"/>
          <w:szCs w:val="21"/>
        </w:rPr>
        <w:t>（</w:t>
      </w:r>
      <w:r>
        <w:rPr>
          <w:rFonts w:ascii="宋体" w:hAnsi="宋体" w:hint="eastAsia"/>
          <w:szCs w:val="21"/>
        </w:rPr>
        <w:t>2</w:t>
      </w:r>
      <w:r>
        <w:rPr>
          <w:rFonts w:ascii="宋体" w:hAnsi="宋体"/>
          <w:szCs w:val="21"/>
        </w:rPr>
        <w:t>）中标后无正当理由未在规定期限内签订合同的；</w:t>
      </w:r>
    </w:p>
    <w:p>
      <w:pPr>
        <w:ind w:firstLine="412" w:firstLineChars="196"/>
        <w:rPr>
          <w:rFonts w:ascii="宋体" w:hAnsi="宋体"/>
          <w:szCs w:val="21"/>
        </w:rPr>
      </w:pPr>
      <w:r>
        <w:rPr>
          <w:rFonts w:ascii="宋体" w:hAnsi="宋体"/>
          <w:szCs w:val="21"/>
        </w:rPr>
        <w:t>（</w:t>
      </w:r>
      <w:r>
        <w:rPr>
          <w:rFonts w:ascii="宋体" w:hAnsi="宋体" w:hint="eastAsia"/>
          <w:szCs w:val="21"/>
        </w:rPr>
        <w:t>3</w:t>
      </w:r>
      <w:r>
        <w:rPr>
          <w:rFonts w:ascii="宋体" w:hAnsi="宋体"/>
          <w:szCs w:val="21"/>
        </w:rPr>
        <w:t>）将中标项目转让给他人、或者在投标文件中未说明且未经采购人、采购招标机构同意，将中标项目分包给他人的；</w:t>
      </w:r>
    </w:p>
    <w:p>
      <w:pPr>
        <w:ind w:firstLine="412" w:firstLineChars="196"/>
        <w:rPr>
          <w:rFonts w:ascii="宋体" w:hAnsi="宋体"/>
          <w:szCs w:val="21"/>
        </w:rPr>
      </w:pPr>
      <w:r>
        <w:rPr>
          <w:rFonts w:ascii="宋体" w:hAnsi="宋体"/>
          <w:szCs w:val="21"/>
        </w:rPr>
        <w:t>（</w:t>
      </w:r>
      <w:r>
        <w:rPr>
          <w:rFonts w:ascii="宋体" w:hAnsi="宋体" w:hint="eastAsia"/>
          <w:szCs w:val="21"/>
        </w:rPr>
        <w:t>4</w:t>
      </w:r>
      <w:r>
        <w:rPr>
          <w:rFonts w:ascii="宋体" w:hAnsi="宋体"/>
          <w:szCs w:val="21"/>
        </w:rPr>
        <w:t>）拒绝履行合同义务的</w:t>
      </w:r>
      <w:r>
        <w:rPr>
          <w:rFonts w:ascii="宋体" w:hAnsi="宋体" w:hint="eastAsia"/>
          <w:szCs w:val="21"/>
        </w:rPr>
        <w:t>。</w:t>
      </w:r>
    </w:p>
    <w:p>
      <w:pPr>
        <w:pStyle w:val="Heading2"/>
        <w:numPr>
          <w:ilvl w:val="0"/>
          <w:numId w:val="12"/>
        </w:numPr>
        <w:tabs>
          <w:tab w:val="left" w:pos="360"/>
          <w:tab w:val="clear" w:pos="720"/>
        </w:tabs>
        <w:spacing w:before="120" w:beforeLines="50" w:after="120" w:afterLines="50"/>
        <w:ind w:left="562" w:hanging="562"/>
        <w:rPr>
          <w:sz w:val="28"/>
          <w:szCs w:val="28"/>
        </w:rPr>
      </w:pPr>
      <w:bookmarkEnd w:id="84"/>
      <w:r>
        <w:rPr>
          <w:rFonts w:hint="eastAsia"/>
          <w:sz w:val="28"/>
          <w:szCs w:val="28"/>
        </w:rPr>
        <w:t>质疑处理</w:t>
      </w:r>
    </w:p>
    <w:p>
      <w:pPr>
        <w:rPr>
          <w:rFonts w:ascii="黑体" w:eastAsia="黑体" w:hAnsi="宋体"/>
          <w:sz w:val="24"/>
        </w:rPr>
      </w:pPr>
      <w:bookmarkStart w:id="101" w:name="_Hlk72439706"/>
      <w:r>
        <w:rPr>
          <w:rFonts w:ascii="黑体" w:eastAsia="黑体" w:hAnsi="宋体" w:hint="eastAsia"/>
          <w:sz w:val="24"/>
        </w:rPr>
        <w:t>52.质疑提出与答复</w:t>
      </w:r>
    </w:p>
    <w:p>
      <w:pPr>
        <w:rPr>
          <w:rFonts w:ascii="宋体" w:hAnsi="宋体"/>
          <w:szCs w:val="21"/>
        </w:rPr>
      </w:pPr>
      <w:r>
        <w:rPr>
          <w:rFonts w:ascii="宋体" w:hAnsi="宋体" w:hint="eastAsia"/>
          <w:szCs w:val="21"/>
        </w:rPr>
        <w:t xml:space="preserve">    52.1提出质疑</w:t>
      </w:r>
    </w:p>
    <w:p>
      <w:pPr>
        <w:rPr>
          <w:rFonts w:ascii="宋体" w:hAnsi="宋体"/>
          <w:szCs w:val="21"/>
        </w:rPr>
      </w:pPr>
      <w:r>
        <w:rPr>
          <w:rFonts w:ascii="宋体" w:hAnsi="宋体" w:hint="eastAsia"/>
          <w:szCs w:val="21"/>
        </w:rPr>
        <w:t xml:space="preserve">    参与政府采购活动的供应商认为自己的权益在采购活动中受到损害的，应当自知道或者应当知道其权益受到损害之日起七个工作日内向采购人、政府集中采购机构以书面形式提出质疑。</w:t>
      </w:r>
    </w:p>
    <w:p>
      <w:pPr>
        <w:rPr>
          <w:rFonts w:ascii="宋体" w:hAnsi="宋体"/>
          <w:szCs w:val="21"/>
        </w:rPr>
      </w:pPr>
      <w:r>
        <w:rPr>
          <w:rFonts w:ascii="宋体" w:hAnsi="宋体" w:hint="eastAsia"/>
          <w:szCs w:val="21"/>
        </w:rPr>
        <w:t xml:space="preserve">    52.2</w:t>
      </w:r>
      <w:r>
        <w:rPr>
          <w:rFonts w:ascii="宋体" w:hAnsi="宋体"/>
          <w:szCs w:val="21"/>
        </w:rPr>
        <w:t>法律依据</w:t>
      </w:r>
    </w:p>
    <w:p>
      <w:pPr>
        <w:rPr>
          <w:rFonts w:ascii="宋体" w:hAnsi="宋体"/>
          <w:szCs w:val="21"/>
        </w:rPr>
      </w:pPr>
      <w:r>
        <w:rPr>
          <w:rFonts w:ascii="宋体" w:hAnsi="宋体" w:hint="eastAsia"/>
          <w:szCs w:val="21"/>
        </w:rPr>
        <w:t xml:space="preserve">    《中华人民共和国政府采购法》、《中华人民共和国政府采购法实施条例》、</w:t>
      </w:r>
      <w:r>
        <w:rPr>
          <w:rFonts w:ascii="宋体" w:hAnsi="宋体"/>
          <w:szCs w:val="21"/>
        </w:rPr>
        <w:t>《</w:t>
      </w:r>
      <w:r>
        <w:rPr>
          <w:rFonts w:ascii="宋体" w:hAnsi="宋体" w:hint="eastAsia"/>
          <w:szCs w:val="21"/>
        </w:rPr>
        <w:t>深圳经济特区政府采购</w:t>
      </w:r>
      <w:r>
        <w:rPr>
          <w:rFonts w:ascii="宋体" w:hAnsi="宋体"/>
          <w:szCs w:val="21"/>
        </w:rPr>
        <w:t>条例</w:t>
      </w:r>
      <w:r>
        <w:rPr>
          <w:rFonts w:ascii="宋体" w:hAnsi="宋体" w:hint="eastAsia"/>
          <w:szCs w:val="21"/>
        </w:rPr>
        <w:t>》、《深圳经济特区政府采购条例实施细则》、《政府采购质疑和投诉办法》（财政部令第94号）和其他有关法律法规规定。</w:t>
      </w:r>
    </w:p>
    <w:p>
      <w:pPr>
        <w:rPr>
          <w:rFonts w:ascii="宋体" w:hAnsi="宋体"/>
          <w:szCs w:val="21"/>
        </w:rPr>
      </w:pPr>
      <w:r>
        <w:rPr>
          <w:rFonts w:ascii="宋体" w:hAnsi="宋体" w:hint="eastAsia"/>
          <w:szCs w:val="21"/>
        </w:rPr>
        <w:t>52.3质疑条件</w:t>
      </w:r>
    </w:p>
    <w:p>
      <w:pPr>
        <w:rPr>
          <w:rFonts w:ascii="宋体" w:hAnsi="宋体"/>
          <w:szCs w:val="21"/>
        </w:rPr>
      </w:pPr>
      <w:r>
        <w:rPr>
          <w:rFonts w:ascii="宋体" w:hAnsi="宋体" w:hint="eastAsia"/>
          <w:szCs w:val="21"/>
        </w:rPr>
        <w:t xml:space="preserve">    52.3.1提出质疑的供应商应当是参与所质疑项目采购活动的供应商；</w:t>
      </w:r>
      <w:bookmarkStart w:id="102" w:name="_Hlk75374941"/>
      <w:r>
        <w:rPr>
          <w:rFonts w:ascii="宋体" w:hAnsi="宋体" w:hint="eastAsia"/>
          <w:szCs w:val="21"/>
        </w:rPr>
        <w:t>以联合体形式参与的，质疑应当由组成联合体的所有成员共同提出</w:t>
      </w:r>
      <w:bookmarkEnd w:id="102"/>
      <w:r>
        <w:rPr>
          <w:rFonts w:ascii="宋体" w:hAnsi="宋体" w:hint="eastAsia"/>
          <w:szCs w:val="21"/>
        </w:rPr>
        <w:t>；</w:t>
      </w:r>
    </w:p>
    <w:p>
      <w:pPr>
        <w:rPr>
          <w:rFonts w:ascii="宋体" w:hAnsi="宋体"/>
          <w:szCs w:val="21"/>
        </w:rPr>
      </w:pPr>
      <w:r>
        <w:rPr>
          <w:rFonts w:ascii="宋体" w:hAnsi="宋体" w:hint="eastAsia"/>
          <w:szCs w:val="21"/>
        </w:rPr>
        <w:t xml:space="preserve">    52.3.2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ind w:firstLine="420"/>
        <w:rPr>
          <w:rFonts w:ascii="宋体" w:hAnsi="宋体"/>
          <w:szCs w:val="21"/>
        </w:rPr>
      </w:pPr>
      <w:r>
        <w:rPr>
          <w:rFonts w:ascii="宋体" w:hAnsi="宋体" w:hint="eastAsia"/>
          <w:szCs w:val="21"/>
        </w:rPr>
        <w:t>52.3.3应提交书面质疑函，质疑函应当包括以下内容：</w:t>
      </w:r>
    </w:p>
    <w:p>
      <w:pPr>
        <w:ind w:firstLine="420"/>
        <w:rPr>
          <w:rFonts w:ascii="宋体" w:hAnsi="宋体"/>
          <w:szCs w:val="21"/>
        </w:rPr>
      </w:pPr>
      <w:r>
        <w:rPr>
          <w:rFonts w:ascii="宋体" w:hAnsi="宋体" w:hint="eastAsia"/>
          <w:szCs w:val="21"/>
        </w:rPr>
        <w:t>（1）供应商的名称（或者姓名）、地址、邮编、邮箱、联系人及联系电话；</w:t>
      </w:r>
    </w:p>
    <w:p>
      <w:pPr>
        <w:ind w:firstLine="420" w:firstLineChars="200"/>
        <w:rPr>
          <w:rFonts w:ascii="宋体" w:hAnsi="宋体"/>
          <w:szCs w:val="21"/>
        </w:rPr>
      </w:pPr>
      <w:r>
        <w:rPr>
          <w:rFonts w:ascii="宋体" w:hAnsi="宋体" w:hint="eastAsia"/>
          <w:szCs w:val="21"/>
        </w:rPr>
        <w:t>（2）质疑项目的名称、编号；</w:t>
      </w:r>
    </w:p>
    <w:p>
      <w:pPr>
        <w:ind w:firstLine="420" w:firstLineChars="200"/>
        <w:rPr>
          <w:rFonts w:ascii="宋体" w:hAnsi="宋体"/>
          <w:szCs w:val="21"/>
        </w:rPr>
      </w:pPr>
      <w:r>
        <w:rPr>
          <w:rFonts w:ascii="宋体" w:hAnsi="宋体" w:hint="eastAsia"/>
          <w:szCs w:val="21"/>
        </w:rPr>
        <w:t>（3）具体、明确的质疑对象、质疑事项和质疑请求；</w:t>
      </w:r>
    </w:p>
    <w:p>
      <w:pPr>
        <w:ind w:firstLine="420" w:firstLineChars="200"/>
        <w:rPr>
          <w:rFonts w:ascii="宋体" w:hAnsi="宋体"/>
          <w:szCs w:val="21"/>
        </w:rPr>
      </w:pPr>
      <w:r>
        <w:rPr>
          <w:rFonts w:ascii="宋体" w:hAnsi="宋体" w:hint="eastAsia"/>
          <w:szCs w:val="21"/>
        </w:rPr>
        <w:t>（4）因质疑事项而受损害的权益；</w:t>
      </w:r>
    </w:p>
    <w:p>
      <w:pPr>
        <w:ind w:firstLine="420" w:firstLineChars="200"/>
        <w:rPr>
          <w:rFonts w:ascii="宋体" w:hAnsi="宋体"/>
          <w:szCs w:val="21"/>
        </w:rPr>
      </w:pPr>
      <w:r>
        <w:rPr>
          <w:rFonts w:ascii="宋体" w:hAnsi="宋体" w:hint="eastAsia"/>
          <w:szCs w:val="21"/>
        </w:rPr>
        <w:t>（5）事实依据；</w:t>
      </w:r>
    </w:p>
    <w:p>
      <w:pPr>
        <w:ind w:firstLine="420" w:firstLineChars="200"/>
        <w:rPr>
          <w:rFonts w:ascii="宋体" w:hAnsi="宋体"/>
          <w:szCs w:val="21"/>
        </w:rPr>
      </w:pPr>
      <w:r>
        <w:rPr>
          <w:rFonts w:ascii="宋体" w:hAnsi="宋体" w:hint="eastAsia"/>
          <w:szCs w:val="21"/>
        </w:rPr>
        <w:t>（6）必要的法律依据；</w:t>
      </w:r>
    </w:p>
    <w:p>
      <w:pPr>
        <w:ind w:firstLine="420" w:firstLineChars="200"/>
        <w:rPr>
          <w:rFonts w:ascii="宋体" w:hAnsi="宋体"/>
          <w:szCs w:val="21"/>
        </w:rPr>
      </w:pPr>
      <w:r>
        <w:rPr>
          <w:rFonts w:ascii="宋体" w:hAnsi="宋体" w:hint="eastAsia"/>
          <w:szCs w:val="21"/>
        </w:rPr>
        <w:t>（7）提出质疑的日期。</w:t>
      </w:r>
    </w:p>
    <w:p>
      <w:pPr>
        <w:ind w:firstLine="420" w:firstLineChars="200"/>
        <w:rPr>
          <w:rFonts w:ascii="宋体" w:hAnsi="宋体"/>
          <w:szCs w:val="21"/>
        </w:rPr>
      </w:pPr>
      <w:r>
        <w:rPr>
          <w:rFonts w:ascii="宋体" w:hAnsi="宋体" w:hint="eastAsia"/>
          <w:szCs w:val="21"/>
        </w:rPr>
        <w:t>供应商为自然人的，应当由本人签字；供应商为法人或者其他组织的，应当由法定代表人（负责人），或者其授权代理人签字或者盖章，并加盖公章。</w:t>
      </w:r>
    </w:p>
    <w:p>
      <w:pPr>
        <w:ind w:firstLine="420" w:firstLineChars="200"/>
        <w:rPr>
          <w:rFonts w:ascii="宋体" w:hAnsi="宋体"/>
          <w:szCs w:val="21"/>
        </w:rPr>
      </w:pPr>
      <w:r>
        <w:rPr>
          <w:rFonts w:ascii="宋体" w:hAnsi="宋体" w:hint="eastAsia"/>
          <w:szCs w:val="21"/>
        </w:rPr>
        <w:t>52.4提交</w:t>
      </w:r>
      <w:r>
        <w:rPr>
          <w:rFonts w:ascii="宋体" w:hAnsi="宋体"/>
          <w:szCs w:val="21"/>
        </w:rPr>
        <w:t>材料</w:t>
      </w:r>
    </w:p>
    <w:p>
      <w:pPr>
        <w:ind w:firstLine="420" w:firstLineChars="200"/>
        <w:rPr>
          <w:rFonts w:ascii="宋体" w:hAnsi="宋体"/>
          <w:szCs w:val="21"/>
        </w:rPr>
      </w:pPr>
      <w:r>
        <w:rPr>
          <w:rFonts w:ascii="宋体" w:hAnsi="宋体" w:hint="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ind w:firstLine="420" w:firstLineChars="200"/>
        <w:rPr>
          <w:rFonts w:ascii="宋体" w:hAnsi="宋体"/>
          <w:szCs w:val="21"/>
        </w:rPr>
      </w:pPr>
      <w:r>
        <w:rPr>
          <w:rFonts w:ascii="宋体" w:hAnsi="宋体" w:hint="eastAsia"/>
          <w:szCs w:val="21"/>
        </w:rPr>
        <w:t>供应商可以委托代理人进行质疑。</w:t>
      </w:r>
      <w:r>
        <w:rPr>
          <w:rFonts w:ascii="宋体" w:hAnsi="宋体"/>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ind w:firstLine="420" w:firstLineChars="200"/>
        <w:rPr>
          <w:rFonts w:ascii="宋体" w:hAnsi="宋体"/>
          <w:szCs w:val="21"/>
        </w:rPr>
      </w:pPr>
      <w:r>
        <w:rPr>
          <w:rFonts w:ascii="宋体" w:hAnsi="宋体" w:hint="eastAsia"/>
          <w:szCs w:val="21"/>
        </w:rPr>
        <w:t>52.5提交方式</w:t>
      </w:r>
    </w:p>
    <w:p>
      <w:pPr>
        <w:ind w:firstLine="420"/>
        <w:rPr>
          <w:rFonts w:ascii="宋体" w:hAnsi="宋体"/>
          <w:szCs w:val="21"/>
        </w:rPr>
      </w:pPr>
      <w:r>
        <w:rPr>
          <w:rFonts w:ascii="宋体" w:hAnsi="宋体" w:hint="eastAsia"/>
          <w:szCs w:val="21"/>
        </w:rPr>
        <w:t>5</w:t>
      </w:r>
      <w:r>
        <w:rPr>
          <w:rFonts w:ascii="宋体" w:hAnsi="宋体"/>
          <w:szCs w:val="21"/>
        </w:rPr>
        <w:t>2.5.1</w:t>
      </w:r>
      <w:r>
        <w:rPr>
          <w:rFonts w:ascii="宋体" w:hAnsi="宋体" w:hint="eastAsia"/>
          <w:szCs w:val="21"/>
        </w:rPr>
        <w:t>供应商登录“深圳政府采购智慧平台用户网上办事子系统（http://zfcg.szggzy.com:8081/TPBidder/memberLogin）”，在“【我的项目】→【项目流程】→【质疑】”中提出质疑。</w:t>
      </w:r>
    </w:p>
    <w:p>
      <w:pPr>
        <w:ind w:firstLine="420" w:firstLineChars="200"/>
        <w:rPr>
          <w:rFonts w:ascii="宋体" w:hAnsi="宋体"/>
          <w:b/>
          <w:bCs/>
          <w:szCs w:val="21"/>
        </w:rPr>
      </w:pPr>
      <w:r>
        <w:rPr>
          <w:rFonts w:ascii="宋体" w:hAnsi="宋体" w:hint="eastAsia"/>
          <w:szCs w:val="21"/>
        </w:rPr>
        <w:t>5</w:t>
      </w:r>
      <w:r>
        <w:rPr>
          <w:rFonts w:ascii="宋体" w:hAnsi="宋体"/>
          <w:szCs w:val="21"/>
        </w:rPr>
        <w:t>2.5.2</w:t>
      </w:r>
      <w:r>
        <w:rPr>
          <w:rFonts w:ascii="宋体" w:hAnsi="宋体" w:hint="eastAsia"/>
          <w:szCs w:val="21"/>
        </w:rPr>
        <w:t>请质疑供应商根据深圳政府采购智慧平台（http://zfcg.szggzy.com:8081/）所发布的质疑指引、质疑函模板填写质疑函并提交质疑材料。</w:t>
      </w:r>
      <w:r>
        <w:rPr>
          <w:rFonts w:ascii="宋体" w:hAnsi="宋体" w:hint="eastAsia"/>
          <w:b/>
          <w:bCs/>
          <w:szCs w:val="21"/>
        </w:rPr>
        <w:t>地址：深圳市南山区沙河西路3185号南山智谷A座（深圳交易集团总部大楼）27楼，质疑咨询电话：0755-</w:t>
      </w:r>
      <w:r>
        <w:rPr>
          <w:rFonts w:ascii="宋体" w:hAnsi="宋体" w:hint="eastAsia"/>
          <w:b/>
        </w:rPr>
        <w:t>86500050</w:t>
      </w:r>
      <w:r>
        <w:rPr>
          <w:rFonts w:ascii="宋体" w:hAnsi="宋体" w:hint="eastAsia"/>
          <w:b/>
          <w:bCs/>
          <w:szCs w:val="21"/>
        </w:rPr>
        <w:t>。</w:t>
      </w:r>
    </w:p>
    <w:p>
      <w:pPr>
        <w:ind w:firstLine="420" w:firstLineChars="200"/>
        <w:rPr>
          <w:rFonts w:ascii="宋体" w:hAnsi="宋体"/>
          <w:szCs w:val="21"/>
        </w:rPr>
      </w:pPr>
      <w:r>
        <w:rPr>
          <w:rFonts w:ascii="宋体" w:hAnsi="宋体" w:hint="eastAsia"/>
          <w:szCs w:val="21"/>
        </w:rPr>
        <w:t>52.6收文办理</w:t>
      </w:r>
      <w:r>
        <w:rPr>
          <w:rFonts w:ascii="宋体" w:hAnsi="宋体"/>
          <w:szCs w:val="21"/>
        </w:rPr>
        <w:t>程序</w:t>
      </w:r>
    </w:p>
    <w:p>
      <w:pPr>
        <w:ind w:firstLine="420" w:firstLineChars="200"/>
        <w:rPr>
          <w:rFonts w:ascii="宋体" w:hAnsi="宋体"/>
          <w:szCs w:val="21"/>
        </w:rPr>
      </w:pPr>
      <w:r>
        <w:rPr>
          <w:rFonts w:ascii="宋体" w:hAnsi="宋体" w:hint="eastAsia"/>
          <w:szCs w:val="21"/>
        </w:rPr>
        <w:t>52.6.1供应商提交的质疑符合受理条件的，政府集中采购机构自收到质疑材料之日起即为受理，应当向供应商出具质疑函收文回执并可以要求其递交质疑的法定代表人（负责人）或者授权代理人签署质疑文书送达地址确认书。</w:t>
      </w:r>
    </w:p>
    <w:p>
      <w:pPr>
        <w:ind w:firstLine="420" w:firstLineChars="200"/>
        <w:rPr>
          <w:rFonts w:ascii="仿宋" w:eastAsia="仿宋" w:hAnsi="仿宋"/>
          <w:sz w:val="28"/>
          <w:szCs w:val="28"/>
        </w:rPr>
      </w:pPr>
      <w:r>
        <w:rPr>
          <w:rFonts w:ascii="宋体" w:hAnsi="宋体" w:hint="eastAsia"/>
          <w:szCs w:val="21"/>
        </w:rPr>
        <w:t>52.6.2供应商提交的质疑材料不符合质疑条件的，视情况处理：</w:t>
      </w:r>
    </w:p>
    <w:p>
      <w:pPr>
        <w:ind w:firstLine="420" w:firstLineChars="200"/>
        <w:rPr>
          <w:rFonts w:ascii="宋体" w:hAnsi="宋体"/>
          <w:szCs w:val="21"/>
        </w:rPr>
      </w:pPr>
      <w:r>
        <w:rPr>
          <w:rFonts w:ascii="宋体" w:hAnsi="宋体" w:hint="eastAsia"/>
          <w:szCs w:val="21"/>
        </w:rPr>
        <w:t>供应商提交的质疑材料不全或者未按要求签字或者盖章的，政府集中采购机构应当一次性告知供应商需补正的内容和补正期限。</w:t>
      </w:r>
    </w:p>
    <w:p>
      <w:pPr>
        <w:ind w:firstLine="420" w:firstLineChars="200"/>
        <w:rPr>
          <w:rFonts w:ascii="宋体" w:hAnsi="宋体"/>
          <w:szCs w:val="21"/>
        </w:rPr>
      </w:pPr>
      <w:r>
        <w:rPr>
          <w:rFonts w:ascii="宋体" w:hAnsi="宋体" w:hint="eastAsia"/>
          <w:szCs w:val="21"/>
        </w:rPr>
        <w:t>供应商提交的质疑存在下列情形之一的，不予受理：</w:t>
      </w:r>
    </w:p>
    <w:p>
      <w:pPr>
        <w:ind w:firstLine="420" w:firstLineChars="200"/>
        <w:rPr>
          <w:rFonts w:ascii="宋体" w:hAnsi="宋体"/>
          <w:szCs w:val="21"/>
        </w:rPr>
      </w:pPr>
      <w:r>
        <w:rPr>
          <w:rFonts w:ascii="宋体" w:hAnsi="宋体" w:hint="eastAsia"/>
          <w:szCs w:val="21"/>
        </w:rPr>
        <w:t>（1）质疑主体不满足要求的；</w:t>
      </w:r>
    </w:p>
    <w:p>
      <w:pPr>
        <w:ind w:firstLine="420" w:firstLineChars="200"/>
        <w:rPr>
          <w:rFonts w:ascii="宋体" w:hAnsi="宋体"/>
          <w:szCs w:val="21"/>
        </w:rPr>
      </w:pPr>
      <w:r>
        <w:rPr>
          <w:rFonts w:ascii="宋体" w:hAnsi="宋体" w:hint="eastAsia"/>
          <w:szCs w:val="21"/>
        </w:rPr>
        <w:t>（2）供应商自身权益未受到损害的；</w:t>
      </w:r>
    </w:p>
    <w:p>
      <w:pPr>
        <w:ind w:firstLine="420" w:firstLineChars="200"/>
        <w:rPr>
          <w:rFonts w:ascii="宋体" w:hAnsi="宋体"/>
          <w:szCs w:val="21"/>
        </w:rPr>
      </w:pPr>
      <w:r>
        <w:rPr>
          <w:rFonts w:ascii="宋体" w:hAnsi="宋体" w:hint="eastAsia"/>
          <w:szCs w:val="21"/>
        </w:rPr>
        <w:t>（3）供应商未在法定质疑期限内提出质疑的；</w:t>
      </w:r>
    </w:p>
    <w:p>
      <w:pPr>
        <w:ind w:firstLine="420" w:firstLineChars="200"/>
        <w:rPr>
          <w:rFonts w:ascii="宋体" w:hAnsi="宋体"/>
          <w:szCs w:val="21"/>
        </w:rPr>
      </w:pPr>
      <w:r>
        <w:rPr>
          <w:rFonts w:ascii="宋体" w:hAnsi="宋体" w:hint="eastAsia"/>
          <w:szCs w:val="21"/>
        </w:rPr>
        <w:t>（4）质疑材料不全或者未按要求签字或者盖章的情况下，要求补正后，逾期未补正或者补正后仍不符合规定的；</w:t>
      </w:r>
    </w:p>
    <w:p>
      <w:pPr>
        <w:ind w:firstLine="420" w:firstLineChars="200"/>
        <w:rPr>
          <w:rFonts w:ascii="宋体" w:hAnsi="宋体"/>
          <w:szCs w:val="21"/>
        </w:rPr>
      </w:pPr>
      <w:r>
        <w:rPr>
          <w:rFonts w:ascii="宋体" w:hAnsi="宋体" w:hint="eastAsia"/>
          <w:szCs w:val="21"/>
        </w:rPr>
        <w:t>（5）其他不符合受理条件情形的。</w:t>
      </w:r>
    </w:p>
    <w:p>
      <w:pPr>
        <w:ind w:firstLine="420" w:firstLineChars="200"/>
        <w:rPr>
          <w:rFonts w:ascii="宋体" w:hAnsi="宋体"/>
          <w:szCs w:val="21"/>
        </w:rPr>
      </w:pPr>
      <w:r>
        <w:rPr>
          <w:rFonts w:ascii="宋体" w:hAnsi="宋体" w:hint="eastAsia"/>
          <w:szCs w:val="21"/>
        </w:rPr>
        <w:t>质疑事项不予受理的，政府集中采购机构应当向供应商出具不符合质疑条件告知书。</w:t>
      </w:r>
    </w:p>
    <w:p>
      <w:pPr>
        <w:rPr>
          <w:rFonts w:ascii="宋体" w:hAnsi="宋体"/>
          <w:szCs w:val="21"/>
        </w:rPr>
      </w:pPr>
      <w:r>
        <w:rPr>
          <w:rFonts w:ascii="宋体" w:hAnsi="宋体" w:hint="eastAsia"/>
          <w:szCs w:val="21"/>
        </w:rPr>
        <w:t xml:space="preserve">  52.7质疑答复时限</w:t>
      </w:r>
    </w:p>
    <w:p>
      <w:pPr>
        <w:rPr>
          <w:rFonts w:ascii="宋体" w:hAnsi="宋体"/>
          <w:szCs w:val="21"/>
        </w:rPr>
      </w:pPr>
      <w:r>
        <w:rPr>
          <w:rFonts w:ascii="宋体" w:hAnsi="宋体" w:hint="eastAsia"/>
          <w:szCs w:val="21"/>
        </w:rPr>
        <w:t xml:space="preserve">    自收文之日起七个工作日内。</w:t>
      </w:r>
    </w:p>
    <w:p>
      <w:pPr>
        <w:rPr>
          <w:rFonts w:ascii="宋体" w:hAnsi="宋体"/>
          <w:szCs w:val="21"/>
        </w:rPr>
      </w:pPr>
      <w:r>
        <w:rPr>
          <w:rFonts w:ascii="宋体" w:hAnsi="宋体" w:hint="eastAsia"/>
          <w:szCs w:val="21"/>
        </w:rPr>
        <w:t xml:space="preserve">    52.8投诉</w:t>
      </w:r>
    </w:p>
    <w:p>
      <w:pPr>
        <w:rPr>
          <w:rFonts w:ascii="宋体" w:hAnsi="宋体"/>
          <w:szCs w:val="21"/>
        </w:rPr>
      </w:pPr>
      <w:r>
        <w:rPr>
          <w:rFonts w:ascii="宋体" w:hAnsi="宋体" w:hint="eastAsia"/>
          <w:szCs w:val="21"/>
        </w:rPr>
        <w:t xml:space="preserve">    对质疑答复不满意或者未在规定时间内答复的，提出质疑的供应商可以在答复期满后15个工作日内向同级财政部门投诉。</w:t>
      </w:r>
    </w:p>
    <w:p>
      <w:pPr>
        <w:rPr>
          <w:rFonts w:ascii="黑体" w:eastAsia="黑体" w:hAnsi="宋体"/>
          <w:sz w:val="24"/>
        </w:rPr>
      </w:pPr>
      <w:r>
        <w:rPr>
          <w:rFonts w:ascii="黑体" w:eastAsia="黑体" w:hAnsi="宋体" w:hint="eastAsia"/>
          <w:sz w:val="24"/>
        </w:rPr>
        <w:t>53. 质疑后续处理</w:t>
      </w:r>
    </w:p>
    <w:p>
      <w:pPr>
        <w:rPr>
          <w:rFonts w:ascii="宋体" w:hAnsi="宋体"/>
          <w:szCs w:val="21"/>
        </w:rPr>
      </w:pPr>
      <w:r>
        <w:rPr>
          <w:rFonts w:ascii="宋体" w:hAnsi="宋体" w:hint="eastAsia"/>
          <w:szCs w:val="21"/>
        </w:rPr>
        <w:t xml:space="preserve">    53.1供应商质疑不成立，或者成立但未对中标、成交结果构成影响的，继续开展采购活动。</w:t>
      </w:r>
    </w:p>
    <w:p>
      <w:pPr>
        <w:rPr>
          <w:rFonts w:ascii="宋体" w:hAnsi="宋体"/>
          <w:szCs w:val="21"/>
        </w:rPr>
      </w:pPr>
      <w:r>
        <w:rPr>
          <w:rFonts w:ascii="宋体" w:hAnsi="宋体" w:hint="eastAsia"/>
          <w:szCs w:val="21"/>
        </w:rPr>
        <w:t xml:space="preserve">    53.2供应商质疑成立且影响或者可能影响中标、成交结果的，按照下列情况处理：（1）对采购文件提出的质疑，依法通过澄清或者修改可以继续开展采购活动的，澄清或者修改采购文件后继续开展采购活动；否则应当修改采购文件后重新开展采购活动。（2）对采购过程、中标或者成交结果提出的质疑，合格供应商符合法定数量时，可以从合格的中标或者成交候选人中另行确定中标、成交供应商的，应当依法另行确定中标、成交供应商。否则应当重新开展采购活动。</w:t>
      </w:r>
    </w:p>
    <w:p>
      <w:pPr>
        <w:jc w:val="center"/>
      </w:pPr>
      <w:r>
        <w:t>---- END ----</w:t>
      </w:r>
      <w:bookmarkEnd w:id="101"/>
    </w:p>
    <w:p>
      <w:pPr>
        <w:rPr>
          <w:rFonts w:ascii="宋体" w:hAnsi="宋体"/>
          <w:szCs w:val="21"/>
        </w:rPr>
      </w:pPr>
    </w:p>
    <w:sectPr>
      <w:footerReference w:type="even" r:id="rId8"/>
      <w:footerReference w:type="default" r:id="rId9"/>
      <w:headerReference w:type="first" r:id="rId10"/>
      <w:pgSz w:w="11907" w:h="16840"/>
      <w:pgMar w:top="1440" w:right="1797" w:bottom="1440" w:left="1797" w:header="851" w:footer="992" w:gutter="0"/>
      <w:cols w:num="1" w:space="425"/>
      <w:titlePg/>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swiss"/>
    <w:pitch w:val="default"/>
    <w:sig w:usb0="00000000" w:usb1="00000000" w:usb2="0000003F" w:usb3="00000000" w:csb0="003F01FF" w:csb1="00000000"/>
  </w:font>
  <w:font w:name="隶书">
    <w:panose1 w:val="02010509060101010101"/>
    <w:charset w:val="86"/>
    <w:family w:val="modern"/>
    <w:pitch w:val="default"/>
    <w:sig w:usb0="00000001" w:usb1="080E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长城仿宋">
    <w:altName w:val="仿宋"/>
    <w:panose1 w:val="00000000000000000000"/>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文鼎粗黑">
    <w:altName w:val="黑体"/>
    <w:panose1 w:val="00000000000000000000"/>
    <w:charset w:val="86"/>
    <w:family w:val="modern"/>
    <w:pitch w:val="default"/>
    <w:sig w:usb0="00000000" w:usb1="00000000" w:usb2="00000010" w:usb3="00000000" w:csb0="00040000" w:csb1="00000000"/>
  </w:font>
  <w:font w:name="Arial (W1)">
    <w:altName w:val="Arial"/>
    <w:panose1 w:val="00000000000000000000"/>
    <w:charset w:val="00"/>
    <w:family w:val="swiss"/>
    <w:pitch w:val="default"/>
    <w:sig w:usb0="00000000" w:usb1="00000000" w:usb2="00000009" w:usb3="00000000" w:csb0="000001FF" w:csb1="00000000"/>
  </w:font>
  <w:font w:name="Cambria">
    <w:panose1 w:val="02040503050406030204"/>
    <w:charset w:val="00"/>
    <w:family w:val="roman"/>
    <w:pitch w:val="default"/>
    <w:sig w:usb0="E00006FF" w:usb1="420024FF" w:usb2="02000000" w:usb3="00000000" w:csb0="2000019F" w:csb1="00000000"/>
  </w:font>
  <w:font w:name="ˎ̥">
    <w:altName w:val="Times New Roman"/>
    <w:panose1 w:val="00000000000000000000"/>
    <w:charset w:val="00"/>
    <w:family w:val="roman"/>
    <w:pitch w:val="default"/>
    <w:sig w:usb0="00000000" w:usb1="00000000" w:usb2="00000000" w:usb3="00000000" w:csb0="00040001" w:csb1="00000000"/>
  </w:font>
  <w:font w:name="??">
    <w:altName w:val="Times New Roman"/>
    <w:panose1 w:val="00000000000000000000"/>
    <w:charset w:val="01"/>
    <w:family w:val="auto"/>
    <w:pitch w:val="default"/>
    <w:sig w:usb0="00000000" w:usb1="00000000" w:usb2="00000000" w:usb3="00000000" w:csb0="00040001" w:csb1="00000000"/>
  </w:font>
  <w:font w:name="汉仪细等线简">
    <w:altName w:val="宋体"/>
    <w:panose1 w:val="00000000000000000000"/>
    <w:charset w:val="86"/>
    <w:family w:val="modern"/>
    <w:pitch w:val="default"/>
    <w:sig w:usb0="00000000" w:usb1="00000000" w:usb2="00000012" w:usb3="00000000" w:csb0="00040000" w:csb1="00000000"/>
  </w:font>
  <w:font w:name="H Yb 2gj">
    <w:altName w:val="黑体"/>
    <w:panose1 w:val="00000000000000000000"/>
    <w:charset w:val="86"/>
    <w:family w:val="auto"/>
    <w:pitch w:val="default"/>
    <w:sig w:usb0="00000000" w:usb1="00000000" w:usb2="00000010" w:usb3="00000000" w:csb0="00040000" w:csb1="00000000"/>
  </w:font>
  <w:font w:name="幼圆">
    <w:panose1 w:val="0201050906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10</w: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Footer"/>
      <w:framePr w:wrap="around" w:vAnchor="text" w:hAnchor="margin" w:xAlign="center" w:y="1"/>
      <w:rPr>
        <w:rStyle w:val="PageNumber"/>
      </w:rPr>
    </w:pPr>
    <w:r>
      <w:t xml:space="preserve">- </w:t>
    </w:r>
    <w:r>
      <w:fldChar w:fldCharType="begin"/>
    </w:r>
    <w:r>
      <w:instrText xml:space="preserve"> PAGE </w:instrText>
    </w:r>
    <w:r>
      <w:fldChar w:fldCharType="separate"/>
    </w:r>
    <w:r>
      <w:t>45</w:t>
    </w:r>
    <w:r>
      <w:fldChar w:fldCharType="end"/>
    </w:r>
    <w:r>
      <w:t xml:space="preserve"> -</w:t>
    </w:r>
  </w:p>
  <w:p>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48619C3"/>
    <w:multiLevelType w:val="singleLevel"/>
    <w:tmpl w:val="948619C3"/>
    <w:lvl w:ilvl="0">
      <w:start w:val="1"/>
      <w:numFmt w:val="chineseCounting"/>
      <w:suff w:val="nothing"/>
      <w:lvlText w:val="（%1）"/>
      <w:lvlJc w:val="left"/>
      <w:rPr>
        <w:rFonts w:hint="eastAsia"/>
      </w:rPr>
    </w:lvl>
  </w:abstractNum>
  <w:abstractNum w:abstractNumId="1">
    <w:nsid w:val="D3CCDAF1"/>
    <w:multiLevelType w:val="singleLevel"/>
    <w:tmpl w:val="D3CCDAF1"/>
    <w:lvl w:ilvl="0">
      <w:start w:val="12"/>
      <w:numFmt w:val="chineseCounting"/>
      <w:suff w:val="nothing"/>
      <w:lvlText w:val="%1、"/>
      <w:lvlJc w:val="left"/>
      <w:rPr>
        <w:rFonts w:hint="eastAsia"/>
      </w:rPr>
    </w:lvl>
  </w:abstractNum>
  <w:abstractNum w:abstractNumId="2">
    <w:nsid w:val="ED2CF6CE"/>
    <w:multiLevelType w:val="singleLevel"/>
    <w:tmpl w:val="ED2CF6CE"/>
    <w:lvl w:ilvl="0">
      <w:start w:val="8"/>
      <w:numFmt w:val="decimal"/>
      <w:suff w:val="nothing"/>
      <w:lvlText w:val="%1、"/>
      <w:lvlJc w:val="left"/>
    </w:lvl>
  </w:abstractNum>
  <w:abstractNum w:abstractNumId="3">
    <w:nsid w:val="FFFFFF7C"/>
    <w:multiLevelType w:val="singleLevel"/>
    <w:tmpl w:val="FFFFFF7C"/>
    <w:lvl w:ilvl="0">
      <w:start w:val="1"/>
      <w:numFmt w:val="decimal"/>
      <w:pStyle w:val="41"/>
      <w:lvlText w:val="%1."/>
      <w:lvlJc w:val="left"/>
      <w:pPr>
        <w:tabs>
          <w:tab w:val="left" w:pos="2040"/>
        </w:tabs>
        <w:ind w:left="2040" w:hanging="360" w:leftChars="800" w:hangingChars="200"/>
      </w:pPr>
    </w:lvl>
  </w:abstractNum>
  <w:abstractNum w:abstractNumId="4">
    <w:nsid w:val="FFFFFF89"/>
    <w:multiLevelType w:val="singleLevel"/>
    <w:tmpl w:val="FFFFFF89"/>
    <w:lvl w:ilvl="0">
      <w:start w:val="1"/>
      <w:numFmt w:val="bullet"/>
      <w:pStyle w:val="ListBullet"/>
      <w:lvlText w:val=""/>
      <w:lvlJc w:val="left"/>
      <w:pPr>
        <w:tabs>
          <w:tab w:val="left" w:pos="360"/>
        </w:tabs>
        <w:ind w:left="360" w:hanging="360" w:hangingChars="200"/>
      </w:pPr>
      <w:rPr>
        <w:rFonts w:ascii="Wingdings" w:hAnsi="Wingdings" w:hint="default"/>
      </w:rPr>
    </w:lvl>
  </w:abstractNum>
  <w:abstractNum w:abstractNumId="5">
    <w:nsid w:val="0000000F"/>
    <w:multiLevelType w:val="multilevel"/>
    <w:tmpl w:val="0000000F"/>
    <w:lvl w:ilvl="0">
      <w:start w:val="2"/>
      <w:numFmt w:val="decimal"/>
      <w:lvlText w:val="%1、"/>
      <w:lvlJc w:val="left"/>
      <w:pPr>
        <w:tabs>
          <w:tab w:val="left" w:pos="360"/>
        </w:tabs>
        <w:ind w:left="360" w:hanging="36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nsid w:val="09F81FD3"/>
    <w:multiLevelType w:val="multilevel"/>
    <w:tmpl w:val="09F81FD3"/>
    <w:lvl w:ilvl="0">
      <w:start w:val="1"/>
      <w:numFmt w:val="japaneseCounting"/>
      <w:lvlText w:val="第%1章"/>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nsid w:val="12503483"/>
    <w:multiLevelType w:val="multilevel"/>
    <w:tmpl w:val="12503483"/>
    <w:lvl w:ilvl="0">
      <w:start w:val="1"/>
      <w:numFmt w:val="bullet"/>
      <w:pStyle w:val="a14"/>
      <w:lvlText w:val=""/>
      <w:lvlJc w:val="left"/>
      <w:pPr>
        <w:tabs>
          <w:tab w:val="left" w:pos="420"/>
        </w:tabs>
        <w:ind w:left="420" w:hanging="420"/>
      </w:pPr>
      <w:rPr>
        <w:rFonts w:ascii="Wingdings" w:hAnsi="Wingdings" w:hint="default"/>
      </w:rPr>
    </w:lvl>
    <w:lvl w:ilvl="1">
      <w:start w:val="1"/>
      <w:numFmt w:val="bullet"/>
      <w:pStyle w:val="a13"/>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8">
    <w:nsid w:val="15B4919C"/>
    <w:multiLevelType w:val="singleLevel"/>
    <w:tmpl w:val="15B4919C"/>
    <w:lvl w:ilvl="0">
      <w:start w:val="5"/>
      <w:numFmt w:val="chineseCounting"/>
      <w:suff w:val="nothing"/>
      <w:lvlText w:val="%1、"/>
      <w:lvlJc w:val="left"/>
      <w:pPr>
        <w:ind w:left="630" w:firstLine="0"/>
      </w:pPr>
      <w:rPr>
        <w:rFonts w:hint="eastAsia"/>
      </w:rPr>
    </w:lvl>
  </w:abstractNum>
  <w:abstractNum w:abstractNumId="9">
    <w:nsid w:val="160D20D0"/>
    <w:multiLevelType w:val="multilevel"/>
    <w:tmpl w:val="160D20D0"/>
    <w:lvl w:ilvl="0">
      <w:start w:val="1"/>
      <w:numFmt w:val="bullet"/>
      <w:pStyle w:val="RFItextfrom3rdLevel"/>
      <w:lvlText w:val=""/>
      <w:lvlJc w:val="left"/>
      <w:pPr>
        <w:tabs>
          <w:tab w:val="left" w:pos="840"/>
        </w:tabs>
        <w:ind w:left="840" w:hanging="420"/>
      </w:pPr>
      <w:rPr>
        <w:rFonts w:ascii="Wingdings" w:hAnsi="Wingdings" w:hint="default"/>
      </w:rPr>
    </w:lvl>
    <w:lvl w:ilvl="1">
      <w:start w:val="1"/>
      <w:numFmt w:val="bullet"/>
      <w:pStyle w:val="a4"/>
      <w:lvlText w:val=""/>
      <w:lvlJc w:val="left"/>
      <w:pPr>
        <w:tabs>
          <w:tab w:val="left" w:pos="1260"/>
        </w:tabs>
        <w:ind w:left="1260" w:hanging="420"/>
      </w:pPr>
      <w:rPr>
        <w:rFonts w:ascii="Wingdings" w:hAnsi="Wingdings" w:hint="default"/>
      </w:rPr>
    </w:lvl>
    <w:lvl w:ilvl="2">
      <w:start w:val="1"/>
      <w:numFmt w:val="bullet"/>
      <w:lvlText w:val=""/>
      <w:lvlJc w:val="left"/>
      <w:pPr>
        <w:tabs>
          <w:tab w:val="left" w:pos="1680"/>
        </w:tabs>
        <w:ind w:left="1680" w:hanging="420"/>
      </w:pPr>
      <w:rPr>
        <w:rFonts w:ascii="Wingdings" w:hAnsi="Wingdings" w:hint="default"/>
      </w:rPr>
    </w:lvl>
    <w:lvl w:ilvl="3">
      <w:start w:val="1"/>
      <w:numFmt w:val="bullet"/>
      <w:lvlText w:val=""/>
      <w:lvlJc w:val="left"/>
      <w:pPr>
        <w:tabs>
          <w:tab w:val="left" w:pos="2100"/>
        </w:tabs>
        <w:ind w:left="2100" w:hanging="420"/>
      </w:pPr>
      <w:rPr>
        <w:rFonts w:ascii="Wingdings" w:hAnsi="Wingdings" w:hint="default"/>
      </w:rPr>
    </w:lvl>
    <w:lvl w:ilvl="4">
      <w:start w:val="1"/>
      <w:numFmt w:val="bullet"/>
      <w:lvlText w:val=""/>
      <w:lvlJc w:val="left"/>
      <w:pPr>
        <w:tabs>
          <w:tab w:val="left" w:pos="2520"/>
        </w:tabs>
        <w:ind w:left="2520" w:hanging="420"/>
      </w:pPr>
      <w:rPr>
        <w:rFonts w:ascii="Wingdings" w:hAnsi="Wingdings" w:hint="default"/>
      </w:rPr>
    </w:lvl>
    <w:lvl w:ilvl="5">
      <w:start w:val="1"/>
      <w:numFmt w:val="bullet"/>
      <w:lvlText w:val=""/>
      <w:lvlJc w:val="left"/>
      <w:pPr>
        <w:tabs>
          <w:tab w:val="left" w:pos="2940"/>
        </w:tabs>
        <w:ind w:left="2940" w:hanging="420"/>
      </w:pPr>
      <w:rPr>
        <w:rFonts w:ascii="Wingdings" w:hAnsi="Wingdings" w:hint="default"/>
      </w:rPr>
    </w:lvl>
    <w:lvl w:ilvl="6">
      <w:start w:val="1"/>
      <w:numFmt w:val="bullet"/>
      <w:lvlText w:val=""/>
      <w:lvlJc w:val="left"/>
      <w:pPr>
        <w:tabs>
          <w:tab w:val="left" w:pos="3360"/>
        </w:tabs>
        <w:ind w:left="3360" w:hanging="420"/>
      </w:pPr>
      <w:rPr>
        <w:rFonts w:ascii="Wingdings" w:hAnsi="Wingdings" w:hint="default"/>
      </w:rPr>
    </w:lvl>
    <w:lvl w:ilvl="7">
      <w:start w:val="1"/>
      <w:numFmt w:val="bullet"/>
      <w:lvlText w:val=""/>
      <w:lvlJc w:val="left"/>
      <w:pPr>
        <w:tabs>
          <w:tab w:val="left" w:pos="3780"/>
        </w:tabs>
        <w:ind w:left="3780" w:hanging="420"/>
      </w:pPr>
      <w:rPr>
        <w:rFonts w:ascii="Wingdings" w:hAnsi="Wingdings" w:hint="default"/>
      </w:rPr>
    </w:lvl>
    <w:lvl w:ilvl="8">
      <w:start w:val="1"/>
      <w:numFmt w:val="bullet"/>
      <w:lvlText w:val=""/>
      <w:lvlJc w:val="left"/>
      <w:pPr>
        <w:tabs>
          <w:tab w:val="left" w:pos="4200"/>
        </w:tabs>
        <w:ind w:left="4200" w:hanging="420"/>
      </w:pPr>
      <w:rPr>
        <w:rFonts w:ascii="Wingdings" w:hAnsi="Wingdings" w:hint="default"/>
      </w:rPr>
    </w:lvl>
  </w:abstractNum>
  <w:abstractNum w:abstractNumId="10">
    <w:nsid w:val="2F395B7B"/>
    <w:multiLevelType w:val="multilevel"/>
    <w:tmpl w:val="2F395B7B"/>
    <w:lvl w:ilvl="0">
      <w:start w:val="1"/>
      <w:numFmt w:val="bullet"/>
      <w:pStyle w:val="12"/>
      <w:lvlText w:val=""/>
      <w:lvlJc w:val="left"/>
      <w:pPr>
        <w:tabs>
          <w:tab w:val="left" w:pos="360"/>
        </w:tabs>
        <w:ind w:left="360" w:hanging="360"/>
      </w:pPr>
      <w:rPr>
        <w:rFonts w:ascii="Symbol" w:hAnsi="Symbol" w:hint="default"/>
      </w:rPr>
    </w:lvl>
    <w:lvl w:ilvl="1">
      <w:start w:val="1"/>
      <w:numFmt w:val="bullet"/>
      <w:lvlText w:val=""/>
      <w:lvlJc w:val="left"/>
      <w:pPr>
        <w:tabs>
          <w:tab w:val="left" w:pos="1140"/>
        </w:tabs>
        <w:ind w:left="1140" w:hanging="420"/>
      </w:pPr>
      <w:rPr>
        <w:rFonts w:ascii="Wingdings" w:hAnsi="Wingdings"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abstractNum w:abstractNumId="11">
    <w:nsid w:val="7AEF7716"/>
    <w:multiLevelType w:val="multilevel"/>
    <w:tmpl w:val="7AEF7716"/>
    <w:lvl w:ilvl="0">
      <w:start w:val="1"/>
      <w:numFmt w:val="chineseCountingThousand"/>
      <w:pStyle w:val="32"/>
      <w:lvlText w:val="%1"/>
      <w:lvlJc w:val="left"/>
      <w:pPr>
        <w:tabs>
          <w:tab w:val="left" w:pos="1290"/>
        </w:tabs>
        <w:ind w:left="630" w:hanging="420"/>
      </w:pPr>
      <w:rPr>
        <w:rFonts w:hint="eastAsia"/>
        <w:sz w:val="32"/>
        <w:szCs w:val="32"/>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4"/>
  </w:num>
  <w:num w:numId="2">
    <w:abstractNumId w:val="3"/>
  </w:num>
  <w:num w:numId="3">
    <w:abstractNumId w:val="9"/>
  </w:num>
  <w:num w:numId="4">
    <w:abstractNumId w:val="7"/>
  </w:num>
  <w:num w:numId="5">
    <w:abstractNumId w:val="11"/>
  </w:num>
  <w:num w:numId="6">
    <w:abstractNumId w:val="10"/>
  </w:num>
  <w:num w:numId="7">
    <w:abstractNumId w:val="0"/>
  </w:num>
  <w:num w:numId="8">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8"/>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84"/>
  <w:trackRevisions/>
  <w:defaultTabStop w:val="420"/>
  <w:drawingGridHorizontalSpacing w:val="105"/>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yMTY5YmNhMTdmMTgxMWFjM2UyN2UwOTU2YzQ4ODUifQ=="/>
  </w:docVars>
  <m:mathPr>
    <m:mathFont m:val="Cambria Math"/>
    <m:smallFrac/>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rPr>
    </w:rPrDefault>
    <w:pPrDefault/>
  </w:docDefaults>
  <w:latentStyles w:defLockedState="0" w:defUIPriority="99" w:defSemiHidden="1" w:defUnhideWhenUsed="1" w:defQFormat="0" w:count="260">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unhideWhenUsed="0" w:qFormat="1"/>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unhideWhenUsed="0" w:qFormat="1"/>
    <w:lsdException w:name="toc 2" w:uiPriority="0" w:unhideWhenUsed="0" w:qFormat="1"/>
    <w:lsdException w:name="toc 3" w:uiPriority="0" w:unhideWhenUsed="0" w:qFormat="1"/>
    <w:lsdException w:name="toc 4" w:uiPriority="0" w:unhideWhenUsed="0" w:qFormat="1"/>
    <w:lsdException w:name="toc 5" w:uiPriority="0" w:unhideWhenUsed="0" w:qFormat="1"/>
    <w:lsdException w:name="toc 6" w:uiPriority="0" w:unhideWhenUsed="0" w:qFormat="1"/>
    <w:lsdException w:name="toc 7" w:uiPriority="0" w:unhideWhenUsed="0" w:qFormat="1"/>
    <w:lsdException w:name="toc 8" w:uiPriority="0" w:unhideWhenUsed="0" w:qFormat="1"/>
    <w:lsdException w:name="toc 9" w:uiPriority="0" w:unhideWhenUsed="0" w:qFormat="1"/>
    <w:lsdException w:name="Normal Indent" w:semiHidden="0" w:uiPriority="0" w:unhideWhenUsed="0" w:qFormat="1"/>
    <w:lsdException w:name="footnote text" w:uiPriority="0"/>
    <w:lsdException w:name="annotation text" w:semiHidden="0" w:uiPriority="0" w:unhideWhenUsed="0" w:qFormat="1"/>
    <w:lsdException w:name="header" w:semiHidden="0" w:unhideWhenUsed="0" w:qFormat="1"/>
    <w:lsdException w:name="footer" w:semiHidden="0" w:uiPriority="0" w:unhideWhenUsed="0" w:qFormat="1"/>
    <w:lsdException w:name="index heading" w:uiPriority="0"/>
    <w:lsdException w:name="caption" w:semiHidden="0" w:uiPriority="0" w:unhideWhenUsed="0" w:qFormat="1"/>
    <w:lsdException w:name="table of figures" w:uiPriority="0"/>
    <w:lsdException w:name="envelope address" w:uiPriority="0"/>
    <w:lsdException w:name="envelope return" w:uiPriority="0"/>
    <w:lsdException w:name="footnote reference" w:uiPriority="0"/>
    <w:lsdException w:name="annotation reference" w:semiHidden="0" w:unhideWhenUsed="0" w:qFormat="1"/>
    <w:lsdException w:name="line number" w:uiPriority="0"/>
    <w:lsdException w:name="page number" w:semiHidden="0" w:uiPriority="0" w:unhideWhenUsed="0" w:qFormat="1"/>
    <w:lsdException w:name="endnote reference" w:uiPriority="0"/>
    <w:lsdException w:name="endnote text" w:uiPriority="0"/>
    <w:lsdException w:name="table of authorities" w:uiPriority="0"/>
    <w:lsdException w:name="macro" w:uiPriority="0"/>
    <w:lsdException w:name="toa heading" w:uiPriority="0"/>
    <w:lsdException w:name="List" w:uiPriority="0"/>
    <w:lsdException w:name="List Bullet" w:semiHidden="0" w:uiPriority="0" w:unhideWhenUsed="0" w:qFormat="1"/>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Closing" w:uiPriority="0"/>
    <w:lsdException w:name="Signature" w:uiPriority="0"/>
    <w:lsdException w:name="Default Paragraph Font" w:uiPriority="1" w:qFormat="1"/>
    <w:lsdException w:name="Body Text" w:semiHidden="0" w:uiPriority="0" w:unhideWhenUsed="0" w:qFormat="1"/>
    <w:lsdException w:name="Body Text Indent" w:semiHidden="0" w:uiPriority="0" w:unhideWhenUsed="0" w:qFormat="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semiHidden="0" w:uiPriority="0" w:unhideWhenUsed="0" w:qFormat="1"/>
    <w:lsdException w:name="Body Text First Indent" w:semiHidden="0" w:uiPriority="0" w:unhideWhenUsed="0" w:qFormat="1"/>
    <w:lsdException w:name="Body Text First Indent 2" w:uiPriority="0"/>
    <w:lsdException w:name="Body Text 2" w:semiHidden="0" w:uiPriority="0" w:unhideWhenUsed="0" w:qFormat="1"/>
    <w:lsdException w:name="Body Text 3" w:semiHidden="0" w:uiPriority="0" w:unhideWhenUsed="0" w:qFormat="1"/>
    <w:lsdException w:name="Body Text Indent 2" w:semiHidden="0" w:uiPriority="0" w:unhideWhenUsed="0" w:qFormat="1"/>
    <w:lsdException w:name="Body Text Indent 3" w:semiHidden="0" w:uiPriority="0" w:unhideWhenUsed="0" w:qFormat="1"/>
    <w:lsdException w:name="Block Text" w:uiPriority="0"/>
    <w:lsdException w:name="Hyperlink" w:semiHidden="0" w:uiPriority="0" w:unhideWhenUsed="0" w:qFormat="1"/>
    <w:lsdException w:name="FollowedHyperlink" w:semiHidden="0" w:uiPriority="0" w:unhideWhenUsed="0" w:qFormat="1"/>
    <w:lsdException w:name="Strong" w:semiHidden="0" w:uiPriority="0" w:unhideWhenUsed="0" w:qFormat="1"/>
    <w:lsdException w:name="Emphasis" w:semiHidden="0" w:uiPriority="0" w:unhideWhenUsed="0" w:qFormat="1"/>
    <w:lsdException w:name="Document Map" w:uiPriority="0" w:unhideWhenUsed="0" w:qFormat="1"/>
    <w:lsdException w:name="Plain Text" w:semiHidden="0" w:uiPriority="0" w:unhideWhenUsed="0" w:qFormat="1"/>
    <w:lsdException w:name="E-mail Signature" w:uiPriority="0"/>
    <w:lsdException w:name="Normal (Web)" w:semiHidden="0" w:unhideWhenUsed="0" w:qFormat="1"/>
    <w:lsdException w:name="HTML Acronym" w:uiPriority="0" w:qFormat="1"/>
    <w:lsdException w:name="HTML Address" w:uiPriority="0"/>
    <w:lsdException w:name="HTML Cite" w:uiPriority="0" w:qFormat="1"/>
    <w:lsdException w:name="HTML Code" w:uiPriority="0" w:qFormat="1"/>
    <w:lsdException w:name="HTML Definition" w:uiPriority="0" w:qFormat="1"/>
    <w:lsdException w:name="HTML Keyboard" w:uiPriority="0" w:qFormat="1"/>
    <w:lsdException w:name="HTML Preformatted" w:semiHidden="0" w:uiPriority="0" w:unhideWhenUsed="0" w:qFormat="1"/>
    <w:lsdException w:name="HTML Sample" w:uiPriority="0" w:qFormat="1"/>
    <w:lsdException w:name="HTML Typewriter" w:uiPriority="0" w:qFormat="1"/>
    <w:lsdException w:name="HTML Variable" w:uiPriority="0" w:qFormat="1"/>
    <w:lsdException w:name="Normal Table" w:qFormat="1"/>
    <w:lsdException w:name="annotation subject" w:semiHidden="0" w:unhideWhenUsed="0" w:qFormat="1"/>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unhideWhenUsed="0" w:qFormat="1"/>
    <w:lsdException w:name="Table Grid" w:semiHidden="0" w:uiPriority="39" w:unhideWhenUsed="0" w:qFormat="1"/>
    <w:lsdException w:name="Table Theme" w:uiPriority="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atentStyles>
  <w:style w:type="paragraph" w:default="1" w:styleId="Normal">
    <w:name w:val="Normal"/>
    <w:next w:val="NormalIndent"/>
    <w:qFormat/>
    <w:pPr>
      <w:widowControl w:val="0"/>
      <w:jc w:val="both"/>
    </w:pPr>
    <w:rPr>
      <w:rFonts w:ascii="Times New Roman" w:eastAsia="宋体" w:hAnsi="Times New Roman" w:cs="Times New Roman"/>
      <w:kern w:val="2"/>
      <w:sz w:val="21"/>
      <w:szCs w:val="24"/>
      <w:lang w:val="en-US" w:eastAsia="zh-CN" w:bidi="ar-SA"/>
    </w:rPr>
  </w:style>
  <w:style w:type="paragraph" w:styleId="Heading1">
    <w:name w:val="heading 1"/>
    <w:basedOn w:val="Heading3"/>
    <w:next w:val="Normal"/>
    <w:link w:val="1"/>
    <w:qFormat/>
    <w:pPr>
      <w:spacing w:before="340" w:after="330" w:line="360" w:lineRule="auto"/>
      <w:jc w:val="center"/>
      <w:outlineLvl w:val="0"/>
    </w:pPr>
    <w:rPr>
      <w:rFonts w:eastAsia="黑体"/>
      <w:kern w:val="44"/>
      <w:szCs w:val="44"/>
    </w:rPr>
  </w:style>
  <w:style w:type="paragraph" w:styleId="Heading2">
    <w:name w:val="heading 2"/>
    <w:basedOn w:val="Heading3"/>
    <w:next w:val="Heading4"/>
    <w:link w:val="2"/>
    <w:qFormat/>
    <w:pPr>
      <w:adjustRightInd w:val="0"/>
      <w:jc w:val="center"/>
      <w:textAlignment w:val="baseline"/>
      <w:outlineLvl w:val="1"/>
    </w:pPr>
    <w:rPr>
      <w:kern w:val="0"/>
      <w:sz w:val="24"/>
      <w:szCs w:val="20"/>
    </w:rPr>
  </w:style>
  <w:style w:type="paragraph" w:styleId="Heading3">
    <w:name w:val="heading 3"/>
    <w:basedOn w:val="Heading4"/>
    <w:next w:val="Normal"/>
    <w:link w:val="3"/>
    <w:uiPriority w:val="9"/>
    <w:qFormat/>
    <w:pPr>
      <w:spacing w:before="260" w:after="260" w:line="240" w:lineRule="auto"/>
      <w:outlineLvl w:val="2"/>
    </w:pPr>
    <w:rPr>
      <w:rFonts w:ascii="宋体" w:eastAsia="宋体" w:hAnsi="宋体"/>
      <w:szCs w:val="32"/>
    </w:rPr>
  </w:style>
  <w:style w:type="paragraph" w:styleId="Heading4">
    <w:name w:val="heading 4"/>
    <w:basedOn w:val="Normal"/>
    <w:next w:val="Normal"/>
    <w:link w:val="4"/>
    <w:uiPriority w:val="9"/>
    <w:qFormat/>
    <w:pPr>
      <w:keepNext/>
      <w:keepLines/>
      <w:spacing w:before="280" w:after="290" w:line="376" w:lineRule="auto"/>
      <w:outlineLvl w:val="3"/>
    </w:pPr>
    <w:rPr>
      <w:rFonts w:ascii="Arial" w:eastAsia="黑体" w:hAnsi="Arial"/>
      <w:b/>
      <w:bCs/>
      <w:sz w:val="28"/>
      <w:szCs w:val="28"/>
    </w:rPr>
  </w:style>
  <w:style w:type="paragraph" w:styleId="Heading5">
    <w:name w:val="heading 5"/>
    <w:basedOn w:val="Normal"/>
    <w:next w:val="NormalIndent"/>
    <w:link w:val="5"/>
    <w:qFormat/>
    <w:pPr>
      <w:keepNext/>
      <w:keepLines/>
      <w:spacing w:before="280" w:after="290" w:line="376" w:lineRule="auto"/>
      <w:outlineLvl w:val="4"/>
    </w:pPr>
    <w:rPr>
      <w:b/>
      <w:sz w:val="28"/>
      <w:szCs w:val="20"/>
    </w:rPr>
  </w:style>
  <w:style w:type="paragraph" w:styleId="Heading6">
    <w:name w:val="heading 6"/>
    <w:basedOn w:val="Normal"/>
    <w:next w:val="NormalIndent"/>
    <w:link w:val="6"/>
    <w:qFormat/>
    <w:pPr>
      <w:keepNext/>
      <w:keepLines/>
      <w:spacing w:before="240" w:after="64" w:line="320" w:lineRule="auto"/>
      <w:outlineLvl w:val="5"/>
    </w:pPr>
    <w:rPr>
      <w:rFonts w:ascii="Arial" w:eastAsia="黑体" w:hAnsi="Arial"/>
      <w:b/>
      <w:sz w:val="24"/>
      <w:szCs w:val="20"/>
    </w:rPr>
  </w:style>
  <w:style w:type="paragraph" w:styleId="Heading7">
    <w:name w:val="heading 7"/>
    <w:basedOn w:val="Normal"/>
    <w:next w:val="NormalIndent"/>
    <w:link w:val="7"/>
    <w:qFormat/>
    <w:pPr>
      <w:keepNext/>
      <w:keepLines/>
      <w:spacing w:before="240" w:after="64" w:line="320" w:lineRule="auto"/>
      <w:outlineLvl w:val="6"/>
    </w:pPr>
    <w:rPr>
      <w:b/>
      <w:sz w:val="24"/>
      <w:szCs w:val="20"/>
    </w:rPr>
  </w:style>
  <w:style w:type="paragraph" w:styleId="Heading8">
    <w:name w:val="heading 8"/>
    <w:basedOn w:val="Normal"/>
    <w:next w:val="NormalIndent"/>
    <w:link w:val="8"/>
    <w:qFormat/>
    <w:pPr>
      <w:keepNext/>
      <w:keepLines/>
      <w:spacing w:before="240" w:after="64" w:line="320" w:lineRule="auto"/>
      <w:outlineLvl w:val="7"/>
    </w:pPr>
    <w:rPr>
      <w:rFonts w:ascii="Arial" w:eastAsia="黑体" w:hAnsi="Arial"/>
      <w:sz w:val="24"/>
      <w:szCs w:val="20"/>
    </w:rPr>
  </w:style>
  <w:style w:type="paragraph" w:styleId="Heading9">
    <w:name w:val="heading 9"/>
    <w:basedOn w:val="Normal"/>
    <w:next w:val="NormalIndent"/>
    <w:link w:val="9"/>
    <w:qFormat/>
    <w:pPr>
      <w:keepNext/>
      <w:keepLines/>
      <w:spacing w:before="240" w:after="64" w:line="320" w:lineRule="auto"/>
      <w:outlineLvl w:val="8"/>
    </w:pPr>
    <w:rPr>
      <w:rFonts w:ascii="Arial" w:eastAsia="黑体" w:hAnsi="Arial"/>
      <w:szCs w:val="20"/>
    </w:rPr>
  </w:style>
  <w:style w:type="character" w:default="1" w:styleId="DefaultParagraphFont">
    <w:name w:val="Default Paragraph Font"/>
    <w:uiPriority w:val="1"/>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paragraph" w:styleId="NormalIndent">
    <w:name w:val="Normal Indent"/>
    <w:basedOn w:val="Normal"/>
    <w:link w:val="a"/>
    <w:qFormat/>
    <w:pPr>
      <w:ind w:firstLine="420"/>
    </w:pPr>
    <w:rPr>
      <w:szCs w:val="20"/>
    </w:rPr>
  </w:style>
  <w:style w:type="paragraph" w:styleId="TOC7">
    <w:name w:val="toc 7"/>
    <w:basedOn w:val="Normal"/>
    <w:next w:val="Normal"/>
    <w:semiHidden/>
    <w:qFormat/>
    <w:pPr>
      <w:ind w:left="1260"/>
      <w:jc w:val="left"/>
    </w:pPr>
    <w:rPr>
      <w:szCs w:val="21"/>
    </w:rPr>
  </w:style>
  <w:style w:type="paragraph" w:styleId="Caption">
    <w:name w:val="caption"/>
    <w:basedOn w:val="Normal"/>
    <w:next w:val="Normal"/>
    <w:qFormat/>
    <w:pPr>
      <w:widowControl/>
      <w:spacing w:line="360" w:lineRule="auto"/>
      <w:ind w:firstLine="1940" w:firstLineChars="920"/>
      <w:jc w:val="left"/>
    </w:pPr>
    <w:rPr>
      <w:rFonts w:ascii="宋体" w:hAnsi="宋体"/>
      <w:b/>
      <w:bCs/>
      <w:kern w:val="0"/>
      <w:sz w:val="20"/>
      <w:szCs w:val="20"/>
    </w:rPr>
  </w:style>
  <w:style w:type="paragraph" w:styleId="ListBullet">
    <w:name w:val="List Bullet"/>
    <w:basedOn w:val="Normal"/>
    <w:qFormat/>
    <w:pPr>
      <w:numPr>
        <w:ilvl w:val="0"/>
        <w:numId w:val="1"/>
      </w:numPr>
    </w:pPr>
    <w:rPr>
      <w:szCs w:val="20"/>
    </w:rPr>
  </w:style>
  <w:style w:type="paragraph" w:styleId="DocumentMap">
    <w:name w:val="Document Map"/>
    <w:basedOn w:val="Normal"/>
    <w:semiHidden/>
    <w:qFormat/>
    <w:pPr>
      <w:shd w:val="clear" w:color="auto" w:fill="000080"/>
    </w:pPr>
  </w:style>
  <w:style w:type="paragraph" w:styleId="CommentText">
    <w:name w:val="annotation text"/>
    <w:basedOn w:val="Normal"/>
    <w:link w:val="a28"/>
    <w:qFormat/>
    <w:pPr>
      <w:autoSpaceDE w:val="0"/>
      <w:autoSpaceDN w:val="0"/>
      <w:adjustRightInd w:val="0"/>
      <w:jc w:val="left"/>
      <w:textAlignment w:val="baseline"/>
    </w:pPr>
    <w:rPr>
      <w:rFonts w:ascii="宋体"/>
      <w:kern w:val="0"/>
      <w:sz w:val="34"/>
      <w:szCs w:val="20"/>
    </w:rPr>
  </w:style>
  <w:style w:type="paragraph" w:styleId="BodyText3">
    <w:name w:val="Body Text 3"/>
    <w:basedOn w:val="Normal"/>
    <w:link w:val="31"/>
    <w:qFormat/>
    <w:pPr>
      <w:spacing w:after="120"/>
    </w:pPr>
    <w:rPr>
      <w:sz w:val="16"/>
      <w:szCs w:val="16"/>
    </w:rPr>
  </w:style>
  <w:style w:type="paragraph" w:styleId="BodyText">
    <w:name w:val="Body Text"/>
    <w:basedOn w:val="Normal"/>
    <w:next w:val="BodyText2"/>
    <w:link w:val="a9"/>
    <w:qFormat/>
    <w:pPr>
      <w:spacing w:line="360" w:lineRule="auto"/>
    </w:pPr>
    <w:rPr>
      <w:b/>
      <w:bCs/>
      <w:sz w:val="24"/>
    </w:rPr>
  </w:style>
  <w:style w:type="paragraph" w:styleId="BodyText2">
    <w:name w:val="Body Text 2"/>
    <w:basedOn w:val="Normal"/>
    <w:link w:val="21"/>
    <w:qFormat/>
    <w:pPr>
      <w:spacing w:line="360" w:lineRule="auto"/>
    </w:pPr>
    <w:rPr>
      <w:sz w:val="24"/>
    </w:rPr>
  </w:style>
  <w:style w:type="paragraph" w:styleId="BodyTextIndent">
    <w:name w:val="Body Text Indent"/>
    <w:basedOn w:val="Normal"/>
    <w:link w:val="a5"/>
    <w:qFormat/>
    <w:pPr>
      <w:spacing w:line="360" w:lineRule="auto"/>
      <w:ind w:firstLine="420" w:firstLineChars="200"/>
    </w:pPr>
  </w:style>
  <w:style w:type="paragraph" w:styleId="TOC5">
    <w:name w:val="toc 5"/>
    <w:basedOn w:val="Normal"/>
    <w:next w:val="Normal"/>
    <w:semiHidden/>
    <w:qFormat/>
    <w:pPr>
      <w:ind w:left="840"/>
      <w:jc w:val="left"/>
    </w:pPr>
    <w:rPr>
      <w:szCs w:val="21"/>
    </w:rPr>
  </w:style>
  <w:style w:type="paragraph" w:styleId="TOC3">
    <w:name w:val="toc 3"/>
    <w:basedOn w:val="Normal"/>
    <w:next w:val="Normal"/>
    <w:semiHidden/>
    <w:qFormat/>
    <w:pPr>
      <w:ind w:left="420"/>
      <w:jc w:val="left"/>
    </w:pPr>
    <w:rPr>
      <w:i/>
      <w:iCs/>
    </w:rPr>
  </w:style>
  <w:style w:type="paragraph" w:styleId="PlainText">
    <w:name w:val="Plain Text"/>
    <w:basedOn w:val="Normal"/>
    <w:link w:val="a8"/>
    <w:qFormat/>
    <w:rPr>
      <w:rFonts w:ascii="宋体" w:hAnsi="Courier New"/>
      <w:szCs w:val="20"/>
    </w:rPr>
  </w:style>
  <w:style w:type="paragraph" w:styleId="TOC8">
    <w:name w:val="toc 8"/>
    <w:basedOn w:val="Normal"/>
    <w:next w:val="Normal"/>
    <w:semiHidden/>
    <w:qFormat/>
    <w:pPr>
      <w:ind w:left="1470"/>
      <w:jc w:val="left"/>
    </w:pPr>
    <w:rPr>
      <w:szCs w:val="21"/>
    </w:rPr>
  </w:style>
  <w:style w:type="paragraph" w:styleId="Date">
    <w:name w:val="Date"/>
    <w:basedOn w:val="Normal"/>
    <w:next w:val="Normal"/>
    <w:link w:val="a7"/>
    <w:qFormat/>
    <w:rPr>
      <w:rFonts w:ascii="宋体" w:hAnsi="Courier New"/>
      <w:sz w:val="32"/>
      <w:szCs w:val="20"/>
    </w:rPr>
  </w:style>
  <w:style w:type="paragraph" w:styleId="BodyTextIndent2">
    <w:name w:val="Body Text Indent 2"/>
    <w:basedOn w:val="Normal"/>
    <w:link w:val="20"/>
    <w:qFormat/>
    <w:pPr>
      <w:spacing w:beforeLines="50" w:afterLines="50" w:line="120" w:lineRule="auto"/>
      <w:ind w:firstLine="840" w:firstLineChars="400"/>
      <w:jc w:val="left"/>
    </w:pPr>
    <w:rPr>
      <w:rFonts w:ascii="宋体" w:hAnsi="宋体"/>
    </w:rPr>
  </w:style>
  <w:style w:type="paragraph" w:styleId="BalloonText">
    <w:name w:val="Balloon Text"/>
    <w:basedOn w:val="Normal"/>
    <w:link w:val="a12"/>
    <w:uiPriority w:val="99"/>
    <w:semiHidden/>
    <w:qFormat/>
    <w:rPr>
      <w:sz w:val="18"/>
      <w:szCs w:val="18"/>
    </w:rPr>
  </w:style>
  <w:style w:type="paragraph" w:styleId="Footer">
    <w:name w:val="footer"/>
    <w:basedOn w:val="Normal"/>
    <w:link w:val="a11"/>
    <w:qFormat/>
    <w:pPr>
      <w:tabs>
        <w:tab w:val="center" w:pos="4153"/>
        <w:tab w:val="right" w:pos="8306"/>
      </w:tabs>
      <w:snapToGrid w:val="0"/>
      <w:jc w:val="left"/>
    </w:pPr>
    <w:rPr>
      <w:sz w:val="18"/>
      <w:szCs w:val="18"/>
    </w:rPr>
  </w:style>
  <w:style w:type="paragraph" w:styleId="Header">
    <w:name w:val="header"/>
    <w:basedOn w:val="Normal"/>
    <w:link w:val="a10"/>
    <w:uiPriority w:val="99"/>
    <w:qFormat/>
    <w:pPr>
      <w:pBdr>
        <w:bottom w:val="single" w:sz="6" w:space="1" w:color="auto"/>
      </w:pBdr>
      <w:tabs>
        <w:tab w:val="center" w:pos="4153"/>
        <w:tab w:val="right" w:pos="8306"/>
      </w:tabs>
      <w:snapToGrid w:val="0"/>
      <w:jc w:val="center"/>
    </w:pPr>
    <w:rPr>
      <w:sz w:val="18"/>
      <w:szCs w:val="18"/>
    </w:rPr>
  </w:style>
  <w:style w:type="paragraph" w:styleId="TOC1">
    <w:name w:val="toc 1"/>
    <w:basedOn w:val="Normal"/>
    <w:next w:val="Normal"/>
    <w:semiHidden/>
    <w:qFormat/>
    <w:pPr>
      <w:spacing w:before="120" w:after="120"/>
      <w:jc w:val="left"/>
    </w:pPr>
    <w:rPr>
      <w:b/>
      <w:bCs/>
      <w:caps/>
    </w:rPr>
  </w:style>
  <w:style w:type="paragraph" w:styleId="TOC4">
    <w:name w:val="toc 4"/>
    <w:basedOn w:val="Normal"/>
    <w:next w:val="Normal"/>
    <w:semiHidden/>
    <w:qFormat/>
    <w:pPr>
      <w:ind w:left="630"/>
      <w:jc w:val="left"/>
    </w:pPr>
    <w:rPr>
      <w:szCs w:val="21"/>
    </w:rPr>
  </w:style>
  <w:style w:type="paragraph" w:styleId="TOC6">
    <w:name w:val="toc 6"/>
    <w:basedOn w:val="Normal"/>
    <w:next w:val="Normal"/>
    <w:semiHidden/>
    <w:qFormat/>
    <w:pPr>
      <w:ind w:left="1050"/>
      <w:jc w:val="left"/>
    </w:pPr>
    <w:rPr>
      <w:szCs w:val="21"/>
    </w:rPr>
  </w:style>
  <w:style w:type="paragraph" w:styleId="BodyTextIndent3">
    <w:name w:val="Body Text Indent 3"/>
    <w:basedOn w:val="Normal"/>
    <w:link w:val="30"/>
    <w:qFormat/>
    <w:pPr>
      <w:spacing w:line="360" w:lineRule="auto"/>
      <w:ind w:firstLine="482" w:firstLineChars="200"/>
    </w:pPr>
    <w:rPr>
      <w:rFonts w:ascii="宋体"/>
      <w:b/>
      <w:bCs/>
      <w:sz w:val="24"/>
    </w:rPr>
  </w:style>
  <w:style w:type="paragraph" w:styleId="TOC2">
    <w:name w:val="toc 2"/>
    <w:basedOn w:val="Normal"/>
    <w:next w:val="Normal"/>
    <w:semiHidden/>
    <w:qFormat/>
    <w:pPr>
      <w:tabs>
        <w:tab w:val="right" w:leader="dot" w:pos="8296"/>
      </w:tabs>
      <w:ind w:left="210"/>
      <w:jc w:val="left"/>
    </w:pPr>
    <w:rPr>
      <w:smallCaps/>
    </w:rPr>
  </w:style>
  <w:style w:type="paragraph" w:styleId="TOC9">
    <w:name w:val="toc 9"/>
    <w:basedOn w:val="Normal"/>
    <w:next w:val="Normal"/>
    <w:semiHidden/>
    <w:qFormat/>
    <w:pPr>
      <w:ind w:left="1680"/>
      <w:jc w:val="left"/>
    </w:pPr>
    <w:rPr>
      <w:szCs w:val="21"/>
    </w:rPr>
  </w:style>
  <w:style w:type="paragraph" w:styleId="HTMLPreformatted">
    <w:name w:val="HTML Preformatted"/>
    <w:basedOn w:val="Normal"/>
    <w:link w:val="HTML"/>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olor w:val="000000"/>
      <w:kern w:val="0"/>
      <w:sz w:val="20"/>
      <w:szCs w:val="20"/>
    </w:rPr>
  </w:style>
  <w:style w:type="paragraph" w:styleId="NormalWeb">
    <w:name w:val="Normal (Web)"/>
    <w:basedOn w:val="Normal"/>
    <w:link w:val="a31"/>
    <w:uiPriority w:val="99"/>
    <w:qFormat/>
    <w:rPr>
      <w:sz w:val="24"/>
    </w:rPr>
  </w:style>
  <w:style w:type="paragraph" w:styleId="Index1">
    <w:name w:val="index 1"/>
    <w:basedOn w:val="Normal"/>
    <w:next w:val="Normal"/>
    <w:semiHidden/>
    <w:qFormat/>
    <w:pPr>
      <w:tabs>
        <w:tab w:val="left" w:pos="3360"/>
      </w:tabs>
      <w:spacing w:line="520" w:lineRule="exact"/>
      <w:ind w:left="419" w:hanging="314" w:leftChars="50" w:hangingChars="131"/>
      <w:jc w:val="center"/>
      <w:outlineLvl w:val="3"/>
    </w:pPr>
    <w:rPr>
      <w:rFonts w:ascii="宋体" w:hAnsi="宋体"/>
      <w:sz w:val="24"/>
    </w:rPr>
  </w:style>
  <w:style w:type="paragraph" w:styleId="Title">
    <w:name w:val="Title"/>
    <w:basedOn w:val="Normal"/>
    <w:link w:val="a6"/>
    <w:qFormat/>
    <w:pPr>
      <w:spacing w:before="240" w:after="60"/>
      <w:jc w:val="center"/>
      <w:outlineLvl w:val="0"/>
    </w:pPr>
    <w:rPr>
      <w:rFonts w:ascii="Arial" w:eastAsia="隶书" w:hAnsi="Arial" w:cs="Arial"/>
      <w:b/>
      <w:bCs/>
      <w:sz w:val="32"/>
      <w:szCs w:val="32"/>
    </w:rPr>
  </w:style>
  <w:style w:type="paragraph" w:styleId="CommentSubject">
    <w:name w:val="annotation subject"/>
    <w:basedOn w:val="CommentText"/>
    <w:next w:val="CommentText"/>
    <w:link w:val="a29"/>
    <w:uiPriority w:val="99"/>
    <w:qFormat/>
    <w:pPr>
      <w:autoSpaceDE/>
      <w:autoSpaceDN/>
      <w:adjustRightInd/>
      <w:textAlignment w:val="auto"/>
    </w:pPr>
    <w:rPr>
      <w:rFonts w:ascii="Times New Roman"/>
      <w:b/>
      <w:bCs/>
      <w:kern w:val="2"/>
      <w:sz w:val="21"/>
      <w:szCs w:val="24"/>
    </w:rPr>
  </w:style>
  <w:style w:type="paragraph" w:styleId="BodyTextFirstIndent">
    <w:name w:val="Body Text First Indent"/>
    <w:basedOn w:val="BodyText"/>
    <w:link w:val="a20"/>
    <w:qFormat/>
    <w:pPr>
      <w:spacing w:after="120" w:line="240" w:lineRule="auto"/>
      <w:ind w:firstLine="420" w:firstLineChars="100"/>
    </w:pPr>
    <w:rPr>
      <w:sz w:val="21"/>
    </w:rPr>
  </w:style>
  <w:style w:type="table" w:styleId="TableGrid">
    <w:name w:val="Table Grid"/>
    <w:basedOn w:val="TableNormal"/>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Pr>
      <w:b/>
      <w:bCs/>
    </w:rPr>
  </w:style>
  <w:style w:type="character" w:styleId="PageNumber">
    <w:name w:val="page number"/>
    <w:basedOn w:val="DefaultParagraphFont"/>
    <w:qFormat/>
  </w:style>
  <w:style w:type="character" w:styleId="FollowedHyperlink">
    <w:name w:val="FollowedHyperlink"/>
    <w:qFormat/>
    <w:rPr>
      <w:color w:val="800080"/>
      <w:u w:val="single"/>
    </w:rPr>
  </w:style>
  <w:style w:type="character" w:styleId="Emphasis">
    <w:name w:val="Emphasis"/>
    <w:basedOn w:val="DefaultParagraphFont"/>
    <w:qFormat/>
    <w:rPr>
      <w:b/>
      <w:bCs/>
    </w:rPr>
  </w:style>
  <w:style w:type="character" w:styleId="HTMLDefinition">
    <w:name w:val="HTML Definition"/>
    <w:basedOn w:val="DefaultParagraphFont"/>
    <w:semiHidden/>
    <w:unhideWhenUsed/>
    <w:qFormat/>
  </w:style>
  <w:style w:type="character" w:styleId="HTMLTypewriter">
    <w:name w:val="HTML Typewriter"/>
    <w:basedOn w:val="DefaultParagraphFont"/>
    <w:semiHidden/>
    <w:unhideWhenUsed/>
    <w:qFormat/>
    <w:rPr>
      <w:rFonts w:ascii="monospace" w:eastAsia="monospace" w:hAnsi="monospace" w:cs="monospace" w:hint="default"/>
      <w:sz w:val="20"/>
    </w:rPr>
  </w:style>
  <w:style w:type="character" w:styleId="HTMLAcronym">
    <w:name w:val="HTML Acronym"/>
    <w:basedOn w:val="DefaultParagraphFont"/>
    <w:semiHidden/>
    <w:unhideWhenUsed/>
    <w:qFormat/>
    <w:rPr>
      <w:bdr w:val="single" w:sz="2" w:space="0" w:color="D6D6D6"/>
      <w:shd w:val="clear" w:color="auto" w:fill="FFFFFF"/>
    </w:rPr>
  </w:style>
  <w:style w:type="character" w:styleId="HTMLVariable">
    <w:name w:val="HTML Variable"/>
    <w:basedOn w:val="DefaultParagraphFont"/>
    <w:semiHidden/>
    <w:unhideWhenUsed/>
    <w:qFormat/>
  </w:style>
  <w:style w:type="character" w:styleId="Hyperlink">
    <w:name w:val="Hyperlink"/>
    <w:qFormat/>
    <w:rPr>
      <w:color w:val="0000FF"/>
      <w:u w:val="single"/>
    </w:rPr>
  </w:style>
  <w:style w:type="character" w:styleId="HTMLCode">
    <w:name w:val="HTML Code"/>
    <w:basedOn w:val="DefaultParagraphFont"/>
    <w:semiHidden/>
    <w:unhideWhenUsed/>
    <w:qFormat/>
    <w:rPr>
      <w:rFonts w:ascii="monospace" w:eastAsia="monospace" w:hAnsi="monospace" w:cs="monospace" w:hint="default"/>
      <w:sz w:val="20"/>
    </w:rPr>
  </w:style>
  <w:style w:type="character" w:styleId="CommentReference">
    <w:name w:val="annotation reference"/>
    <w:basedOn w:val="DefaultParagraphFont"/>
    <w:uiPriority w:val="99"/>
    <w:qFormat/>
    <w:rPr>
      <w:sz w:val="21"/>
      <w:szCs w:val="21"/>
    </w:rPr>
  </w:style>
  <w:style w:type="character" w:styleId="HTMLCite">
    <w:name w:val="HTML Cite"/>
    <w:basedOn w:val="DefaultParagraphFont"/>
    <w:semiHidden/>
    <w:unhideWhenUsed/>
    <w:qFormat/>
  </w:style>
  <w:style w:type="character" w:styleId="HTMLKeyboard">
    <w:name w:val="HTML Keyboard"/>
    <w:basedOn w:val="DefaultParagraphFont"/>
    <w:semiHidden/>
    <w:unhideWhenUsed/>
    <w:qFormat/>
    <w:rPr>
      <w:rFonts w:ascii="monospace" w:eastAsia="monospace" w:hAnsi="monospace" w:cs="monospace" w:hint="default"/>
      <w:sz w:val="20"/>
    </w:rPr>
  </w:style>
  <w:style w:type="character" w:styleId="HTMLSample">
    <w:name w:val="HTML Sample"/>
    <w:basedOn w:val="DefaultParagraphFont"/>
    <w:semiHidden/>
    <w:unhideWhenUsed/>
    <w:qFormat/>
    <w:rPr>
      <w:rFonts w:ascii="monospace" w:eastAsia="monospace" w:hAnsi="monospace" w:cs="monospace"/>
    </w:rPr>
  </w:style>
  <w:style w:type="character" w:customStyle="1" w:styleId="4">
    <w:name w:val="标题 4 字符"/>
    <w:link w:val="Heading4"/>
    <w:uiPriority w:val="9"/>
    <w:qFormat/>
    <w:rPr>
      <w:rFonts w:ascii="Arial" w:eastAsia="黑体" w:hAnsi="Arial"/>
      <w:b/>
      <w:bCs/>
      <w:kern w:val="2"/>
      <w:sz w:val="28"/>
      <w:szCs w:val="28"/>
      <w:lang w:val="en-US" w:eastAsia="zh-CN" w:bidi="ar-SA"/>
    </w:rPr>
  </w:style>
  <w:style w:type="paragraph" w:customStyle="1" w:styleId="Char">
    <w:name w:val="Char"/>
    <w:basedOn w:val="Normal"/>
    <w:qFormat/>
    <w:pPr>
      <w:widowControl/>
      <w:spacing w:after="160" w:line="240" w:lineRule="exact"/>
      <w:jc w:val="left"/>
    </w:pPr>
    <w:rPr>
      <w:rFonts w:ascii="Verdana" w:eastAsia="仿宋_GB2312" w:hAnsi="Verdana"/>
      <w:kern w:val="0"/>
      <w:sz w:val="24"/>
      <w:szCs w:val="20"/>
      <w:lang w:eastAsia="en-US"/>
    </w:rPr>
  </w:style>
  <w:style w:type="character" w:customStyle="1" w:styleId="3">
    <w:name w:val="标题 3 字符"/>
    <w:link w:val="Heading3"/>
    <w:uiPriority w:val="9"/>
    <w:qFormat/>
    <w:rPr>
      <w:rFonts w:ascii="宋体" w:eastAsia="宋体" w:hAnsi="宋体"/>
      <w:b/>
      <w:bCs/>
      <w:kern w:val="2"/>
      <w:sz w:val="28"/>
      <w:szCs w:val="32"/>
      <w:lang w:val="en-US" w:eastAsia="zh-CN" w:bidi="ar-SA"/>
    </w:rPr>
  </w:style>
  <w:style w:type="character" w:customStyle="1" w:styleId="1">
    <w:name w:val="标题 1 字符"/>
    <w:link w:val="Heading1"/>
    <w:qFormat/>
    <w:rPr>
      <w:rFonts w:ascii="宋体" w:eastAsia="黑体" w:hAnsi="宋体"/>
      <w:b/>
      <w:bCs/>
      <w:kern w:val="44"/>
      <w:sz w:val="28"/>
      <w:szCs w:val="44"/>
      <w:lang w:val="en-US" w:eastAsia="zh-CN" w:bidi="ar-SA"/>
    </w:rPr>
  </w:style>
  <w:style w:type="character" w:customStyle="1" w:styleId="a">
    <w:name w:val="正文缩进 字符"/>
    <w:link w:val="NormalIndent"/>
    <w:qFormat/>
    <w:rPr>
      <w:rFonts w:eastAsia="宋体"/>
      <w:kern w:val="2"/>
      <w:sz w:val="21"/>
      <w:lang w:val="en-US" w:eastAsia="zh-CN" w:bidi="ar-SA"/>
    </w:rPr>
  </w:style>
  <w:style w:type="character" w:customStyle="1" w:styleId="3Char">
    <w:name w:val="标题 3 Char"/>
    <w:qFormat/>
    <w:rPr>
      <w:rFonts w:ascii="黑体" w:eastAsia="黑体"/>
      <w:bCs/>
      <w:sz w:val="30"/>
    </w:rPr>
  </w:style>
  <w:style w:type="paragraph" w:customStyle="1" w:styleId="41">
    <w:name w:val="样式41"/>
    <w:basedOn w:val="Normal"/>
    <w:qFormat/>
    <w:pPr>
      <w:numPr>
        <w:ilvl w:val="0"/>
        <w:numId w:val="2"/>
      </w:numPr>
      <w:tabs>
        <w:tab w:val="left" w:pos="945"/>
      </w:tabs>
      <w:spacing w:line="360" w:lineRule="auto"/>
    </w:pPr>
    <w:rPr>
      <w:b/>
      <w:color w:val="000000"/>
      <w:sz w:val="24"/>
      <w:szCs w:val="20"/>
    </w:rPr>
  </w:style>
  <w:style w:type="paragraph" w:customStyle="1" w:styleId="a0">
    <w:name w:val="图"/>
    <w:basedOn w:val="Normal"/>
    <w:qFormat/>
    <w:pPr>
      <w:keepNext/>
      <w:adjustRightInd w:val="0"/>
      <w:snapToGrid w:val="0"/>
      <w:spacing w:before="60" w:after="60" w:line="300" w:lineRule="auto"/>
      <w:jc w:val="center"/>
    </w:pPr>
    <w:rPr>
      <w:spacing w:val="20"/>
      <w:kern w:val="0"/>
      <w:sz w:val="24"/>
      <w:szCs w:val="20"/>
    </w:rPr>
  </w:style>
  <w:style w:type="paragraph" w:customStyle="1" w:styleId="a1">
    <w:name w:val="文档正文"/>
    <w:basedOn w:val="Normal"/>
    <w:qFormat/>
    <w:pPr>
      <w:adjustRightInd w:val="0"/>
      <w:spacing w:line="480" w:lineRule="atLeast"/>
      <w:ind w:firstLine="567" w:firstLineChars="200"/>
      <w:textAlignment w:val="baseline"/>
    </w:pPr>
    <w:rPr>
      <w:rFonts w:ascii="长城仿宋"/>
      <w:kern w:val="0"/>
      <w:szCs w:val="20"/>
    </w:rPr>
  </w:style>
  <w:style w:type="paragraph" w:customStyle="1" w:styleId="CharCharCharChar">
    <w:name w:val="Char Char Char Char"/>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Char11">
    <w:name w:val="Char11"/>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CharCharCharChar1">
    <w:name w:val="Char Char Char Char1"/>
    <w:basedOn w:val="Normal"/>
    <w:qFormat/>
    <w:pPr>
      <w:widowControl/>
      <w:spacing w:after="160" w:line="240" w:lineRule="exact"/>
      <w:jc w:val="left"/>
    </w:pPr>
    <w:rPr>
      <w:rFonts w:ascii="Verdana" w:eastAsia="仿宋_GB2312" w:hAnsi="Verdana"/>
      <w:kern w:val="0"/>
      <w:sz w:val="24"/>
      <w:szCs w:val="20"/>
      <w:lang w:eastAsia="en-US"/>
    </w:rPr>
  </w:style>
  <w:style w:type="paragraph" w:customStyle="1" w:styleId="TableContents">
    <w:name w:val="Table Contents"/>
    <w:basedOn w:val="Normal"/>
    <w:qFormat/>
    <w:pPr>
      <w:suppressAutoHyphens/>
      <w:autoSpaceDE w:val="0"/>
      <w:spacing w:after="120"/>
      <w:jc w:val="left"/>
    </w:pPr>
    <w:rPr>
      <w:rFonts w:ascii="Helvetica" w:hAnsi="Helvetica"/>
      <w:kern w:val="1"/>
      <w:sz w:val="20"/>
      <w:szCs w:val="20"/>
    </w:rPr>
  </w:style>
  <w:style w:type="paragraph" w:customStyle="1" w:styleId="a2">
    <w:name w:val="自定义正文"/>
    <w:basedOn w:val="Normal"/>
    <w:qFormat/>
    <w:pPr>
      <w:spacing w:afterLines="50"/>
      <w:ind w:left="600" w:leftChars="600"/>
    </w:pPr>
  </w:style>
  <w:style w:type="paragraph" w:customStyle="1" w:styleId="CharCharCharCharChar">
    <w:name w:val="Char Char Char Char Char"/>
    <w:basedOn w:val="Normal"/>
    <w:qFormat/>
    <w:rPr>
      <w:rFonts w:ascii="Tahoma" w:hAnsi="Tahoma"/>
      <w:sz w:val="24"/>
      <w:szCs w:val="20"/>
    </w:rPr>
  </w:style>
  <w:style w:type="paragraph" w:customStyle="1" w:styleId="10">
    <w:name w:val="小标题 1"/>
    <w:basedOn w:val="Normal"/>
    <w:qFormat/>
    <w:pPr>
      <w:autoSpaceDE w:val="0"/>
      <w:autoSpaceDN w:val="0"/>
      <w:adjustRightInd w:val="0"/>
      <w:spacing w:line="360" w:lineRule="atLeast"/>
    </w:pPr>
    <w:rPr>
      <w:rFonts w:ascii="文鼎粗黑" w:eastAsia="文鼎粗黑"/>
      <w:kern w:val="0"/>
      <w:sz w:val="22"/>
      <w:szCs w:val="20"/>
    </w:rPr>
  </w:style>
  <w:style w:type="paragraph" w:customStyle="1" w:styleId="CharChar">
    <w:name w:val="Char Char"/>
    <w:basedOn w:val="Normal"/>
    <w:qFormat/>
    <w:rPr>
      <w:rFonts w:ascii="Tahoma" w:hAnsi="Tahoma"/>
      <w:sz w:val="24"/>
      <w:szCs w:val="20"/>
    </w:rPr>
  </w:style>
  <w:style w:type="paragraph" w:customStyle="1" w:styleId="a3">
    <w:name w:val="È±Ê¡ÎÄ±¾"/>
    <w:basedOn w:val="Normal"/>
    <w:qFormat/>
    <w:pPr>
      <w:widowControl/>
      <w:overflowPunct w:val="0"/>
      <w:autoSpaceDE w:val="0"/>
      <w:autoSpaceDN w:val="0"/>
      <w:adjustRightInd w:val="0"/>
      <w:jc w:val="left"/>
      <w:textAlignment w:val="baseline"/>
    </w:pPr>
    <w:rPr>
      <w:kern w:val="0"/>
      <w:sz w:val="24"/>
      <w:szCs w:val="20"/>
    </w:rPr>
  </w:style>
  <w:style w:type="character" w:customStyle="1" w:styleId="2">
    <w:name w:val="标题 2 字符"/>
    <w:link w:val="Heading2"/>
    <w:qFormat/>
    <w:rPr>
      <w:rFonts w:ascii="宋体" w:eastAsia="宋体" w:hAnsi="宋体"/>
      <w:b/>
      <w:bCs/>
      <w:sz w:val="24"/>
      <w:lang w:val="en-US" w:eastAsia="zh-CN" w:bidi="ar-SA"/>
    </w:rPr>
  </w:style>
  <w:style w:type="paragraph" w:customStyle="1" w:styleId="CharCharCharCharCharChar1Char">
    <w:name w:val="Char Char Char Char Char Char1 Char"/>
    <w:basedOn w:val="Normal"/>
    <w:qFormat/>
    <w:pPr>
      <w:widowControl/>
      <w:spacing w:after="160" w:line="240" w:lineRule="exact"/>
      <w:jc w:val="left"/>
    </w:pPr>
    <w:rPr>
      <w:rFonts w:ascii="Verdana" w:hAnsi="Verdana"/>
      <w:kern w:val="0"/>
      <w:szCs w:val="20"/>
      <w:lang w:eastAsia="en-US"/>
    </w:rPr>
  </w:style>
  <w:style w:type="paragraph" w:styleId="ListParagraph">
    <w:name w:val="List Paragraph"/>
    <w:basedOn w:val="Normal"/>
    <w:uiPriority w:val="34"/>
    <w:qFormat/>
    <w:pPr>
      <w:ind w:firstLine="420" w:firstLineChars="200"/>
    </w:pPr>
    <w:rPr>
      <w:rFonts w:ascii="Calibri" w:hAnsi="Calibri"/>
      <w:szCs w:val="22"/>
    </w:rPr>
  </w:style>
  <w:style w:type="paragraph" w:customStyle="1" w:styleId="USE1">
    <w:name w:val="USE 1"/>
    <w:basedOn w:val="Normal"/>
    <w:qFormat/>
    <w:pPr>
      <w:spacing w:line="200" w:lineRule="atLeast"/>
      <w:jc w:val="left"/>
    </w:pPr>
    <w:rPr>
      <w:rFonts w:ascii="宋体" w:hAnsi="宋体"/>
      <w:b/>
      <w:sz w:val="24"/>
      <w:szCs w:val="28"/>
    </w:rPr>
  </w:style>
  <w:style w:type="paragraph" w:customStyle="1" w:styleId="RFItextfrom3rdLevel">
    <w:name w:val="RFI text from 3rd Level"/>
    <w:basedOn w:val="Normal"/>
    <w:qFormat/>
    <w:pPr>
      <w:widowControl/>
      <w:numPr>
        <w:ilvl w:val="0"/>
        <w:numId w:val="3"/>
      </w:numPr>
      <w:tabs>
        <w:tab w:val="clear" w:pos="840"/>
        <w:tab w:val="left" w:pos="1080"/>
      </w:tabs>
      <w:spacing w:beforeLines="50" w:line="360" w:lineRule="auto"/>
      <w:ind w:left="0" w:firstLine="0"/>
    </w:pPr>
    <w:rPr>
      <w:rFonts w:ascii="Arial (W1)" w:hAnsi="Arial (W1)"/>
      <w:bCs/>
      <w:kern w:val="0"/>
      <w:sz w:val="24"/>
      <w:lang w:val="en-GB"/>
    </w:rPr>
  </w:style>
  <w:style w:type="paragraph" w:customStyle="1" w:styleId="a4">
    <w:name w:val="正文文字缩进项目"/>
    <w:basedOn w:val="BodyTextIndent"/>
    <w:qFormat/>
    <w:pPr>
      <w:numPr>
        <w:ilvl w:val="1"/>
        <w:numId w:val="3"/>
      </w:numPr>
      <w:tabs>
        <w:tab w:val="left" w:pos="840"/>
        <w:tab w:val="clear" w:pos="1260"/>
      </w:tabs>
      <w:spacing w:after="120" w:line="240" w:lineRule="auto"/>
      <w:ind w:left="840" w:firstLine="0" w:firstLineChars="0"/>
    </w:pPr>
    <w:rPr>
      <w:rFonts w:ascii="Tahoma" w:hAnsi="Tahoma"/>
      <w:sz w:val="22"/>
      <w:szCs w:val="20"/>
    </w:rPr>
  </w:style>
  <w:style w:type="paragraph" w:customStyle="1" w:styleId="21313">
    <w:name w:val="样式 标题 2 + 段前: 13 磅 段后: 13 磅 行距: 单倍行距"/>
    <w:basedOn w:val="Heading2"/>
    <w:qFormat/>
    <w:pPr>
      <w:adjustRightInd/>
      <w:spacing w:before="0" w:after="0"/>
      <w:jc w:val="both"/>
      <w:textAlignment w:val="auto"/>
    </w:pPr>
    <w:rPr>
      <w:rFonts w:ascii="Cambria" w:hAnsi="Cambria" w:cs="宋体"/>
      <w:kern w:val="2"/>
      <w:sz w:val="32"/>
    </w:rPr>
  </w:style>
  <w:style w:type="character" w:customStyle="1" w:styleId="H4Char2">
    <w:name w:val="H4 Char2"/>
    <w:qFormat/>
    <w:rPr>
      <w:rFonts w:ascii="Arial" w:eastAsia="黑体" w:hAnsi="Arial"/>
      <w:b/>
      <w:bCs/>
      <w:kern w:val="2"/>
      <w:sz w:val="28"/>
      <w:szCs w:val="28"/>
      <w:lang w:val="en-US" w:eastAsia="zh-CN" w:bidi="ar-SA"/>
    </w:rPr>
  </w:style>
  <w:style w:type="character" w:customStyle="1" w:styleId="a5">
    <w:name w:val="正文文本缩进 字符"/>
    <w:link w:val="BodyTextIndent"/>
    <w:qFormat/>
    <w:rPr>
      <w:rFonts w:eastAsia="宋体"/>
      <w:kern w:val="2"/>
      <w:sz w:val="21"/>
      <w:szCs w:val="24"/>
      <w:lang w:val="en-US" w:eastAsia="zh-CN" w:bidi="ar-SA"/>
    </w:rPr>
  </w:style>
  <w:style w:type="character" w:customStyle="1" w:styleId="5">
    <w:name w:val="标题 5 字符"/>
    <w:link w:val="Heading5"/>
    <w:qFormat/>
    <w:rPr>
      <w:rFonts w:eastAsia="宋体"/>
      <w:b/>
      <w:kern w:val="2"/>
      <w:sz w:val="28"/>
      <w:lang w:val="en-US" w:eastAsia="zh-CN" w:bidi="ar-SA"/>
    </w:rPr>
  </w:style>
  <w:style w:type="character" w:customStyle="1" w:styleId="Char0">
    <w:name w:val="第*章 Char"/>
    <w:qFormat/>
    <w:rPr>
      <w:rFonts w:ascii="Arial" w:eastAsia="黑体" w:hAnsi="Arial"/>
      <w:b/>
      <w:bCs/>
      <w:kern w:val="2"/>
      <w:sz w:val="32"/>
      <w:szCs w:val="32"/>
    </w:rPr>
  </w:style>
  <w:style w:type="character" w:customStyle="1" w:styleId="1Char">
    <w:name w:val="章标题1 Char"/>
    <w:qFormat/>
    <w:rPr>
      <w:rFonts w:eastAsia="宋体"/>
      <w:b/>
      <w:bCs/>
      <w:kern w:val="2"/>
      <w:sz w:val="32"/>
      <w:szCs w:val="32"/>
      <w:lang w:val="en-US" w:eastAsia="zh-CN" w:bidi="ar-SA"/>
    </w:rPr>
  </w:style>
  <w:style w:type="character" w:customStyle="1" w:styleId="6">
    <w:name w:val="标题 6 字符"/>
    <w:link w:val="Heading6"/>
    <w:qFormat/>
    <w:rPr>
      <w:rFonts w:ascii="Arial" w:eastAsia="黑体" w:hAnsi="Arial"/>
      <w:b/>
      <w:kern w:val="2"/>
      <w:sz w:val="24"/>
      <w:lang w:val="en-US" w:eastAsia="zh-CN" w:bidi="ar-SA"/>
    </w:rPr>
  </w:style>
  <w:style w:type="character" w:customStyle="1" w:styleId="7">
    <w:name w:val="标题 7 字符"/>
    <w:link w:val="Heading7"/>
    <w:qFormat/>
    <w:rPr>
      <w:rFonts w:eastAsia="宋体"/>
      <w:b/>
      <w:kern w:val="2"/>
      <w:sz w:val="24"/>
      <w:lang w:val="en-US" w:eastAsia="zh-CN" w:bidi="ar-SA"/>
    </w:rPr>
  </w:style>
  <w:style w:type="character" w:customStyle="1" w:styleId="8">
    <w:name w:val="标题 8 字符"/>
    <w:link w:val="Heading8"/>
    <w:qFormat/>
    <w:rPr>
      <w:rFonts w:ascii="Arial" w:eastAsia="黑体" w:hAnsi="Arial"/>
      <w:kern w:val="2"/>
      <w:sz w:val="24"/>
      <w:lang w:val="en-US" w:eastAsia="zh-CN" w:bidi="ar-SA"/>
    </w:rPr>
  </w:style>
  <w:style w:type="character" w:customStyle="1" w:styleId="9">
    <w:name w:val="标题 9 字符"/>
    <w:link w:val="Heading9"/>
    <w:qFormat/>
    <w:rPr>
      <w:rFonts w:ascii="Arial" w:eastAsia="黑体" w:hAnsi="Arial"/>
      <w:kern w:val="2"/>
      <w:sz w:val="21"/>
      <w:lang w:val="en-US" w:eastAsia="zh-CN" w:bidi="ar-SA"/>
    </w:rPr>
  </w:style>
  <w:style w:type="character" w:customStyle="1" w:styleId="a6">
    <w:name w:val="标题 字符"/>
    <w:link w:val="Title"/>
    <w:qFormat/>
    <w:rPr>
      <w:rFonts w:ascii="Arial" w:eastAsia="隶书" w:hAnsi="Arial" w:cs="Arial"/>
      <w:b/>
      <w:bCs/>
      <w:kern w:val="2"/>
      <w:sz w:val="32"/>
      <w:szCs w:val="32"/>
      <w:lang w:val="en-US" w:eastAsia="zh-CN" w:bidi="ar-SA"/>
    </w:rPr>
  </w:style>
  <w:style w:type="character" w:customStyle="1" w:styleId="a7">
    <w:name w:val="日期 字符"/>
    <w:link w:val="Date"/>
    <w:qFormat/>
    <w:rPr>
      <w:rFonts w:ascii="宋体" w:eastAsia="宋体" w:hAnsi="Courier New"/>
      <w:kern w:val="2"/>
      <w:sz w:val="32"/>
      <w:lang w:val="en-US" w:eastAsia="zh-CN" w:bidi="ar-SA"/>
    </w:rPr>
  </w:style>
  <w:style w:type="character" w:customStyle="1" w:styleId="HTML">
    <w:name w:val="HTML 预设格式 字符"/>
    <w:link w:val="HTMLPreformatted"/>
    <w:qFormat/>
    <w:rPr>
      <w:rFonts w:ascii="Arial Unicode MS" w:eastAsia="Arial Unicode MS" w:hAnsi="Arial Unicode MS"/>
      <w:color w:val="000000"/>
      <w:lang w:val="en-US" w:eastAsia="zh-CN" w:bidi="ar-SA"/>
    </w:rPr>
  </w:style>
  <w:style w:type="character" w:customStyle="1" w:styleId="a8">
    <w:name w:val="纯文本 字符"/>
    <w:link w:val="PlainText"/>
    <w:qFormat/>
    <w:rPr>
      <w:rFonts w:ascii="宋体" w:eastAsia="宋体" w:hAnsi="Courier New"/>
      <w:kern w:val="2"/>
      <w:sz w:val="21"/>
      <w:lang w:val="en-US" w:eastAsia="zh-CN" w:bidi="ar-SA"/>
    </w:rPr>
  </w:style>
  <w:style w:type="character" w:customStyle="1" w:styleId="Char1">
    <w:name w:val="正文文字首行缩进 Char"/>
    <w:qFormat/>
    <w:rPr>
      <w:kern w:val="2"/>
      <w:sz w:val="21"/>
      <w:szCs w:val="24"/>
    </w:rPr>
  </w:style>
  <w:style w:type="character" w:customStyle="1" w:styleId="a9">
    <w:name w:val="正文文本 字符"/>
    <w:link w:val="BodyText"/>
    <w:qFormat/>
    <w:rPr>
      <w:rFonts w:eastAsia="宋体"/>
      <w:b/>
      <w:bCs/>
      <w:kern w:val="2"/>
      <w:sz w:val="24"/>
      <w:szCs w:val="24"/>
      <w:lang w:val="en-US" w:eastAsia="zh-CN" w:bidi="ar-SA"/>
    </w:rPr>
  </w:style>
  <w:style w:type="character" w:customStyle="1" w:styleId="20">
    <w:name w:val="正文文本缩进 2 字符"/>
    <w:link w:val="BodyTextIndent2"/>
    <w:qFormat/>
    <w:rPr>
      <w:rFonts w:ascii="宋体" w:eastAsia="宋体" w:hAnsi="宋体"/>
      <w:kern w:val="2"/>
      <w:sz w:val="21"/>
      <w:szCs w:val="24"/>
      <w:lang w:val="en-US" w:eastAsia="zh-CN" w:bidi="ar-SA"/>
    </w:rPr>
  </w:style>
  <w:style w:type="character" w:customStyle="1" w:styleId="a10">
    <w:name w:val="页眉 字符"/>
    <w:link w:val="Header"/>
    <w:uiPriority w:val="99"/>
    <w:qFormat/>
    <w:rPr>
      <w:rFonts w:eastAsia="宋体"/>
      <w:kern w:val="2"/>
      <w:sz w:val="18"/>
      <w:szCs w:val="18"/>
      <w:lang w:val="en-US" w:eastAsia="zh-CN" w:bidi="ar-SA"/>
    </w:rPr>
  </w:style>
  <w:style w:type="character" w:customStyle="1" w:styleId="30">
    <w:name w:val="正文文本缩进 3 字符"/>
    <w:link w:val="BodyTextIndent3"/>
    <w:qFormat/>
    <w:rPr>
      <w:rFonts w:ascii="宋体" w:eastAsia="宋体"/>
      <w:b/>
      <w:bCs/>
      <w:kern w:val="2"/>
      <w:sz w:val="24"/>
      <w:szCs w:val="24"/>
      <w:lang w:val="en-US" w:eastAsia="zh-CN" w:bidi="ar-SA"/>
    </w:rPr>
  </w:style>
  <w:style w:type="character" w:customStyle="1" w:styleId="21">
    <w:name w:val="正文文本 2 字符"/>
    <w:link w:val="BodyText2"/>
    <w:qFormat/>
    <w:rPr>
      <w:rFonts w:eastAsia="宋体"/>
      <w:kern w:val="2"/>
      <w:sz w:val="24"/>
      <w:szCs w:val="24"/>
      <w:lang w:val="en-US" w:eastAsia="zh-CN" w:bidi="ar-SA"/>
    </w:rPr>
  </w:style>
  <w:style w:type="character" w:customStyle="1" w:styleId="a11">
    <w:name w:val="页脚 字符"/>
    <w:link w:val="Footer"/>
    <w:qFormat/>
    <w:rPr>
      <w:rFonts w:eastAsia="宋体"/>
      <w:kern w:val="2"/>
      <w:sz w:val="18"/>
      <w:szCs w:val="18"/>
      <w:lang w:val="en-US" w:eastAsia="zh-CN" w:bidi="ar-SA"/>
    </w:rPr>
  </w:style>
  <w:style w:type="character" w:customStyle="1" w:styleId="31">
    <w:name w:val="正文文本 3 字符"/>
    <w:link w:val="BodyText3"/>
    <w:qFormat/>
    <w:rPr>
      <w:rFonts w:eastAsia="宋体"/>
      <w:kern w:val="2"/>
      <w:sz w:val="16"/>
      <w:szCs w:val="16"/>
      <w:lang w:val="en-US" w:eastAsia="zh-CN" w:bidi="ar-SA"/>
    </w:rPr>
  </w:style>
  <w:style w:type="character" w:customStyle="1" w:styleId="a12">
    <w:name w:val="批注框文本 字符"/>
    <w:link w:val="BalloonText"/>
    <w:uiPriority w:val="99"/>
    <w:semiHidden/>
    <w:qFormat/>
    <w:rPr>
      <w:rFonts w:eastAsia="宋体"/>
      <w:kern w:val="2"/>
      <w:sz w:val="18"/>
      <w:szCs w:val="18"/>
      <w:lang w:val="en-US" w:eastAsia="zh-CN" w:bidi="ar-SA"/>
    </w:rPr>
  </w:style>
  <w:style w:type="paragraph" w:customStyle="1" w:styleId="11">
    <w:name w:val="样式1"/>
    <w:basedOn w:val="Title"/>
    <w:qFormat/>
    <w:pPr>
      <w:spacing w:before="120" w:after="120"/>
    </w:pPr>
    <w:rPr>
      <w:rFonts w:eastAsia="黑体"/>
      <w:b w:val="0"/>
      <w:sz w:val="30"/>
      <w:szCs w:val="21"/>
    </w:rPr>
  </w:style>
  <w:style w:type="paragraph" w:customStyle="1" w:styleId="22">
    <w:name w:val="样式2"/>
    <w:basedOn w:val="Title"/>
    <w:next w:val="11"/>
    <w:qFormat/>
    <w:pPr>
      <w:spacing w:before="120" w:after="120"/>
    </w:pPr>
    <w:rPr>
      <w:rFonts w:eastAsia="黑体"/>
      <w:b w:val="0"/>
      <w:sz w:val="30"/>
      <w:szCs w:val="30"/>
    </w:rPr>
  </w:style>
  <w:style w:type="character" w:customStyle="1" w:styleId="3CharChar">
    <w:name w:val="标题 3 Char Char"/>
    <w:qFormat/>
    <w:rPr>
      <w:rFonts w:eastAsia="宋体"/>
      <w:b/>
      <w:bCs/>
      <w:kern w:val="2"/>
      <w:sz w:val="32"/>
      <w:szCs w:val="32"/>
      <w:lang w:val="en-US" w:eastAsia="zh-CN" w:bidi="ar-SA"/>
    </w:rPr>
  </w:style>
  <w:style w:type="paragraph" w:customStyle="1" w:styleId="CharCharCharCharCharChar1CharCharCharCharCharCharCharCharCharCharCharCharChar">
    <w:name w:val="Char Char Char Char Char Char1 Char Char Char Char Char Char Char Char Char Char Char Char Char"/>
    <w:basedOn w:val="Normal"/>
    <w:qFormat/>
    <w:pPr>
      <w:widowControl/>
      <w:spacing w:after="160" w:line="240" w:lineRule="exact"/>
      <w:jc w:val="left"/>
    </w:pPr>
    <w:rPr>
      <w:rFonts w:ascii="Arial" w:eastAsia="Times New Roman" w:hAnsi="Arial" w:cs="Verdana"/>
      <w:b/>
      <w:kern w:val="0"/>
      <w:sz w:val="24"/>
      <w:lang w:eastAsia="en-US"/>
    </w:rPr>
  </w:style>
  <w:style w:type="paragraph" w:customStyle="1" w:styleId="cont">
    <w:name w:val="cont"/>
    <w:basedOn w:val="Normal"/>
    <w:qFormat/>
    <w:pPr>
      <w:adjustRightInd w:val="0"/>
      <w:spacing w:before="100" w:after="100" w:line="360" w:lineRule="auto"/>
      <w:ind w:firstLine="200" w:firstLineChars="200"/>
      <w:jc w:val="left"/>
      <w:textAlignment w:val="baseline"/>
    </w:pPr>
    <w:rPr>
      <w:rFonts w:ascii="Arial" w:hAnsi="Arial"/>
      <w:kern w:val="0"/>
      <w:sz w:val="24"/>
      <w:szCs w:val="20"/>
    </w:rPr>
  </w:style>
  <w:style w:type="paragraph" w:customStyle="1" w:styleId="--">
    <w:name w:val="--规划正文"/>
    <w:basedOn w:val="Normal"/>
    <w:qFormat/>
    <w:pPr>
      <w:spacing w:line="360" w:lineRule="auto"/>
      <w:ind w:firstLine="200" w:firstLineChars="200"/>
    </w:pPr>
    <w:rPr>
      <w:szCs w:val="20"/>
    </w:rPr>
  </w:style>
  <w:style w:type="paragraph" w:customStyle="1" w:styleId="a13">
    <w:name w:val="设计依据"/>
    <w:basedOn w:val="BodyText"/>
    <w:qFormat/>
    <w:pPr>
      <w:numPr>
        <w:ilvl w:val="1"/>
        <w:numId w:val="4"/>
      </w:numPr>
      <w:tabs>
        <w:tab w:val="clear" w:pos="840"/>
        <w:tab w:val="left" w:pos="1440"/>
      </w:tabs>
      <w:adjustRightInd w:val="0"/>
      <w:ind w:left="1440"/>
      <w:textAlignment w:val="baseline"/>
    </w:pPr>
    <w:rPr>
      <w:rFonts w:ascii="宋体" w:hAnsi="宋体"/>
      <w:b w:val="0"/>
      <w:kern w:val="0"/>
      <w:sz w:val="28"/>
      <w:szCs w:val="18"/>
    </w:rPr>
  </w:style>
  <w:style w:type="paragraph" w:customStyle="1" w:styleId="a14">
    <w:name w:val="方案要点"/>
    <w:basedOn w:val="Normal"/>
    <w:qFormat/>
    <w:pPr>
      <w:numPr>
        <w:ilvl w:val="0"/>
        <w:numId w:val="4"/>
      </w:numPr>
      <w:spacing w:line="360" w:lineRule="auto"/>
    </w:pPr>
    <w:rPr>
      <w:rFonts w:ascii="仿宋_GB2312" w:eastAsia="仿宋_GB2312" w:hAnsi="宋体"/>
      <w:color w:val="000000"/>
      <w:sz w:val="28"/>
      <w:szCs w:val="28"/>
    </w:rPr>
  </w:style>
  <w:style w:type="paragraph" w:customStyle="1" w:styleId="40">
    <w:name w:val="样式4"/>
    <w:basedOn w:val="Normal"/>
    <w:qFormat/>
    <w:pPr>
      <w:tabs>
        <w:tab w:val="left" w:pos="842"/>
      </w:tabs>
      <w:spacing w:line="360" w:lineRule="auto"/>
      <w:ind w:left="842" w:hanging="420"/>
    </w:pPr>
    <w:rPr>
      <w:sz w:val="24"/>
    </w:rPr>
  </w:style>
  <w:style w:type="paragraph" w:customStyle="1" w:styleId="a15">
    <w:name w:val="文字"/>
    <w:basedOn w:val="Normal"/>
    <w:qFormat/>
    <w:pPr>
      <w:tabs>
        <w:tab w:val="left" w:pos="8520"/>
      </w:tabs>
      <w:spacing w:line="312" w:lineRule="auto"/>
      <w:ind w:right="-210" w:firstLine="556"/>
    </w:pPr>
    <w:rPr>
      <w:rFonts w:ascii="宋体"/>
      <w:sz w:val="28"/>
      <w:szCs w:val="20"/>
    </w:rPr>
  </w:style>
  <w:style w:type="paragraph" w:customStyle="1" w:styleId="----">
    <w:name w:val="--规划-表格-居左"/>
    <w:basedOn w:val="--"/>
    <w:qFormat/>
    <w:pPr>
      <w:spacing w:line="240" w:lineRule="auto"/>
      <w:ind w:firstLine="0" w:firstLineChars="0"/>
    </w:pPr>
    <w:rPr>
      <w:sz w:val="20"/>
    </w:rPr>
  </w:style>
  <w:style w:type="paragraph" w:customStyle="1" w:styleId="----0">
    <w:name w:val="--规划-表格-居中"/>
    <w:basedOn w:val="--"/>
    <w:qFormat/>
    <w:pPr>
      <w:spacing w:line="240" w:lineRule="auto"/>
      <w:ind w:firstLine="0" w:firstLineChars="0"/>
      <w:jc w:val="center"/>
    </w:pPr>
    <w:rPr>
      <w:sz w:val="20"/>
    </w:rPr>
  </w:style>
  <w:style w:type="paragraph" w:customStyle="1" w:styleId="--0">
    <w:name w:val="--编号内缩进"/>
    <w:basedOn w:val="Normal"/>
    <w:qFormat/>
    <w:pPr>
      <w:spacing w:line="360" w:lineRule="auto"/>
      <w:ind w:left="420" w:firstLine="200" w:firstLineChars="200"/>
    </w:pPr>
    <w:rPr>
      <w:szCs w:val="21"/>
    </w:rPr>
  </w:style>
  <w:style w:type="paragraph" w:customStyle="1" w:styleId="---">
    <w:name w:val="--规划-题注"/>
    <w:basedOn w:val="Normal"/>
    <w:next w:val="--"/>
    <w:qFormat/>
    <w:pPr>
      <w:spacing w:line="360" w:lineRule="auto"/>
      <w:jc w:val="center"/>
    </w:pPr>
    <w:rPr>
      <w:rFonts w:eastAsia="黑体"/>
    </w:rPr>
  </w:style>
  <w:style w:type="paragraph" w:customStyle="1" w:styleId="---0">
    <w:name w:val="--规划-图和表"/>
    <w:next w:val="--"/>
    <w:qFormat/>
    <w:pPr>
      <w:jc w:val="center"/>
    </w:pPr>
    <w:rPr>
      <w:rFonts w:ascii="Times New Roman" w:eastAsia="宋体" w:hAnsi="Times New Roman" w:cs="Times New Roman"/>
      <w:kern w:val="2"/>
      <w:sz w:val="21"/>
      <w:lang w:val="en-US" w:eastAsia="zh-CN" w:bidi="ar-SA"/>
    </w:rPr>
  </w:style>
  <w:style w:type="paragraph" w:customStyle="1" w:styleId="---1">
    <w:name w:val="--规划-小标题"/>
    <w:basedOn w:val="Normal"/>
    <w:next w:val="--"/>
    <w:qFormat/>
    <w:pPr>
      <w:keepNext/>
      <w:keepLines/>
      <w:spacing w:line="360" w:lineRule="auto"/>
      <w:outlineLvl w:val="4"/>
    </w:pPr>
    <w:rPr>
      <w:rFonts w:eastAsia="黑体"/>
    </w:rPr>
  </w:style>
  <w:style w:type="paragraph" w:customStyle="1" w:styleId="--Char">
    <w:name w:val="--规划正文 Char"/>
    <w:basedOn w:val="Normal"/>
    <w:qFormat/>
    <w:pPr>
      <w:spacing w:line="360" w:lineRule="auto"/>
      <w:ind w:firstLine="200" w:firstLineChars="200"/>
    </w:pPr>
    <w:rPr>
      <w:sz w:val="24"/>
    </w:rPr>
  </w:style>
  <w:style w:type="paragraph" w:customStyle="1" w:styleId="a16">
    <w:name w:val="缺省文本"/>
    <w:basedOn w:val="Normal"/>
    <w:qFormat/>
    <w:pPr>
      <w:autoSpaceDE w:val="0"/>
      <w:autoSpaceDN w:val="0"/>
      <w:adjustRightInd w:val="0"/>
      <w:jc w:val="left"/>
    </w:pPr>
    <w:rPr>
      <w:kern w:val="0"/>
    </w:rPr>
  </w:style>
  <w:style w:type="paragraph" w:customStyle="1" w:styleId="a17">
    <w:name w:val="封面文档标题"/>
    <w:basedOn w:val="Normal"/>
    <w:qFormat/>
    <w:pPr>
      <w:autoSpaceDE w:val="0"/>
      <w:autoSpaceDN w:val="0"/>
      <w:adjustRightInd w:val="0"/>
      <w:spacing w:line="360" w:lineRule="auto"/>
      <w:jc w:val="center"/>
    </w:pPr>
    <w:rPr>
      <w:rFonts w:ascii="Arial" w:hAnsi="Arial"/>
      <w:b/>
      <w:kern w:val="0"/>
      <w:sz w:val="56"/>
    </w:rPr>
  </w:style>
  <w:style w:type="character" w:customStyle="1" w:styleId="--CharChar">
    <w:name w:val="--规划正文 Char Char"/>
    <w:qFormat/>
    <w:rPr>
      <w:rFonts w:eastAsia="宋体"/>
      <w:kern w:val="2"/>
      <w:sz w:val="24"/>
      <w:szCs w:val="24"/>
      <w:lang w:val="en-US" w:eastAsia="zh-CN" w:bidi="ar-SA"/>
    </w:rPr>
  </w:style>
  <w:style w:type="paragraph" w:customStyle="1" w:styleId="32">
    <w:name w:val="样式3"/>
    <w:basedOn w:val="Heading1"/>
    <w:qFormat/>
    <w:pPr>
      <w:numPr>
        <w:ilvl w:val="0"/>
        <w:numId w:val="5"/>
      </w:numPr>
      <w:spacing w:before="240" w:after="240" w:line="480" w:lineRule="auto"/>
      <w:ind w:right="210" w:rightChars="100"/>
      <w:jc w:val="left"/>
    </w:pPr>
    <w:rPr>
      <w:rFonts w:ascii="Times New Roman" w:hAnsi="Times New Roman"/>
      <w:sz w:val="32"/>
    </w:rPr>
  </w:style>
  <w:style w:type="character" w:customStyle="1" w:styleId="--Char1">
    <w:name w:val="--规划正文 Char1"/>
    <w:qFormat/>
    <w:rPr>
      <w:rFonts w:eastAsia="宋体"/>
      <w:kern w:val="2"/>
      <w:sz w:val="21"/>
      <w:lang w:val="en-US" w:eastAsia="zh-CN" w:bidi="ar-SA"/>
    </w:rPr>
  </w:style>
  <w:style w:type="paragraph" w:customStyle="1" w:styleId="word">
    <w:name w:val="word"/>
    <w:basedOn w:val="Normal"/>
    <w:qFormat/>
    <w:pPr>
      <w:widowControl/>
      <w:spacing w:before="100" w:beforeAutospacing="1" w:after="100" w:afterAutospacing="1" w:line="301" w:lineRule="atLeast"/>
      <w:jc w:val="left"/>
    </w:pPr>
    <w:rPr>
      <w:rFonts w:ascii="ˎ̥" w:hAnsi="ˎ̥"/>
      <w:color w:val="000000"/>
      <w:kern w:val="0"/>
      <w:sz w:val="20"/>
      <w:szCs w:val="20"/>
    </w:rPr>
  </w:style>
  <w:style w:type="paragraph" w:customStyle="1" w:styleId="a18">
    <w:name w:val="列表项目"/>
    <w:basedOn w:val="Normal"/>
    <w:qFormat/>
    <w:pPr>
      <w:tabs>
        <w:tab w:val="left" w:pos="420"/>
        <w:tab w:val="left" w:pos="1080"/>
      </w:tabs>
      <w:spacing w:line="288" w:lineRule="auto"/>
      <w:ind w:left="1080" w:hanging="360"/>
    </w:pPr>
    <w:rPr>
      <w:sz w:val="24"/>
      <w:szCs w:val="20"/>
    </w:rPr>
  </w:style>
  <w:style w:type="character" w:customStyle="1" w:styleId="content1">
    <w:name w:val="content1"/>
    <w:qFormat/>
    <w:rPr>
      <w:rFonts w:ascii="??" w:hAnsi="??" w:hint="default"/>
      <w:sz w:val="16"/>
      <w:szCs w:val="16"/>
      <w:u w:val="none"/>
    </w:rPr>
  </w:style>
  <w:style w:type="character" w:customStyle="1" w:styleId="unnamed4">
    <w:name w:val="unnamed4"/>
    <w:basedOn w:val="DefaultParagraphFont"/>
    <w:qFormat/>
  </w:style>
  <w:style w:type="character" w:customStyle="1" w:styleId="font2">
    <w:name w:val="font2"/>
    <w:basedOn w:val="DefaultParagraphFont"/>
    <w:qFormat/>
  </w:style>
  <w:style w:type="character" w:customStyle="1" w:styleId="font41">
    <w:name w:val="font41"/>
    <w:qFormat/>
    <w:rPr>
      <w:color w:val="000000"/>
      <w:spacing w:val="260"/>
      <w:sz w:val="18"/>
      <w:szCs w:val="18"/>
      <w:u w:val="none"/>
    </w:rPr>
  </w:style>
  <w:style w:type="paragraph" w:customStyle="1" w:styleId="a19">
    <w:name w:val="正文(首行缩进)"/>
    <w:qFormat/>
    <w:pPr>
      <w:spacing w:line="360" w:lineRule="auto"/>
      <w:ind w:firstLine="488" w:firstLineChars="200"/>
      <w:jc w:val="both"/>
    </w:pPr>
    <w:rPr>
      <w:rFonts w:ascii="Times New Roman" w:eastAsia="仿宋_GB2312" w:hAnsi="Times New Roman" w:cs="Times New Roman"/>
      <w:spacing w:val="2"/>
      <w:sz w:val="24"/>
      <w:szCs w:val="24"/>
      <w:lang w:val="en-US" w:eastAsia="zh-CN" w:bidi="ar-SA"/>
    </w:rPr>
  </w:style>
  <w:style w:type="paragraph" w:customStyle="1" w:styleId="xl72">
    <w:name w:val="xl72"/>
    <w:basedOn w:val="Normal"/>
    <w:qFormat/>
    <w:pPr>
      <w:widowControl/>
      <w:spacing w:before="100" w:beforeAutospacing="1" w:after="100" w:afterAutospacing="1"/>
      <w:jc w:val="left"/>
    </w:pPr>
    <w:rPr>
      <w:rFonts w:ascii="宋体" w:hAnsi="宋体"/>
      <w:b/>
      <w:bCs/>
      <w:kern w:val="0"/>
      <w:sz w:val="28"/>
      <w:szCs w:val="28"/>
    </w:rPr>
  </w:style>
  <w:style w:type="character" w:customStyle="1" w:styleId="a20">
    <w:name w:val="正文文本首行缩进 字符"/>
    <w:link w:val="BodyTextFirstIndent"/>
    <w:qFormat/>
    <w:rPr>
      <w:rFonts w:eastAsia="宋体"/>
      <w:b/>
      <w:bCs/>
      <w:kern w:val="2"/>
      <w:sz w:val="21"/>
      <w:szCs w:val="24"/>
      <w:lang w:val="en-US" w:eastAsia="zh-CN" w:bidi="ar-SA"/>
    </w:rPr>
  </w:style>
  <w:style w:type="paragraph" w:customStyle="1" w:styleId="Char2">
    <w:name w:val="正文(首行缩进) Char"/>
    <w:qFormat/>
    <w:pPr>
      <w:spacing w:before="120" w:after="60" w:line="360" w:lineRule="auto"/>
      <w:ind w:firstLine="200" w:firstLineChars="200"/>
    </w:pPr>
    <w:rPr>
      <w:rFonts w:ascii="Times New Roman" w:eastAsia="仿宋_GB2312" w:hAnsi="Times New Roman" w:cs="Times New Roman"/>
      <w:spacing w:val="2"/>
      <w:kern w:val="24"/>
      <w:sz w:val="24"/>
      <w:szCs w:val="24"/>
      <w:lang w:val="en-US" w:eastAsia="zh-CN" w:bidi="ar-SA"/>
    </w:rPr>
  </w:style>
  <w:style w:type="paragraph" w:customStyle="1" w:styleId="80">
    <w:name w:val="汉议细等线简8"/>
    <w:qFormat/>
    <w:pPr>
      <w:widowControl w:val="0"/>
      <w:autoSpaceDE w:val="0"/>
      <w:autoSpaceDN w:val="0"/>
      <w:adjustRightInd w:val="0"/>
      <w:spacing w:line="260" w:lineRule="atLeast"/>
      <w:jc w:val="both"/>
    </w:pPr>
    <w:rPr>
      <w:rFonts w:ascii="汉仪细等线简" w:eastAsia="汉仪细等线简" w:hAnsi="Times New Roman" w:cs="Times New Roman"/>
      <w:color w:val="000000"/>
      <w:sz w:val="16"/>
      <w:szCs w:val="16"/>
      <w:lang w:val="en-US" w:eastAsia="zh-CN" w:bidi="ar-SA"/>
    </w:rPr>
  </w:style>
  <w:style w:type="paragraph" w:customStyle="1" w:styleId="9BOLD">
    <w:name w:val="汉仪细等线简9BOLD"/>
    <w:basedOn w:val="Normal"/>
    <w:qFormat/>
    <w:pPr>
      <w:autoSpaceDE w:val="0"/>
      <w:autoSpaceDN w:val="0"/>
      <w:adjustRightInd w:val="0"/>
      <w:spacing w:line="240" w:lineRule="atLeast"/>
    </w:pPr>
    <w:rPr>
      <w:rFonts w:ascii="汉仪细等线简" w:eastAsia="汉仪细等线简"/>
      <w:b/>
      <w:bCs/>
      <w:kern w:val="0"/>
      <w:sz w:val="18"/>
      <w:szCs w:val="18"/>
    </w:rPr>
  </w:style>
  <w:style w:type="character" w:customStyle="1" w:styleId="mode">
    <w:name w:val="mode"/>
    <w:basedOn w:val="DefaultParagraphFont"/>
    <w:qFormat/>
  </w:style>
  <w:style w:type="paragraph" w:customStyle="1" w:styleId="90">
    <w:name w:val="9"/>
    <w:basedOn w:val="Normal"/>
    <w:next w:val="NormalIndent"/>
    <w:qFormat/>
    <w:pPr>
      <w:autoSpaceDE w:val="0"/>
      <w:autoSpaceDN w:val="0"/>
      <w:adjustRightInd w:val="0"/>
      <w:ind w:firstLine="420"/>
      <w:jc w:val="left"/>
      <w:textAlignment w:val="baseline"/>
    </w:pPr>
    <w:rPr>
      <w:rFonts w:ascii="宋体"/>
      <w:kern w:val="0"/>
      <w:sz w:val="34"/>
      <w:szCs w:val="20"/>
    </w:rPr>
  </w:style>
  <w:style w:type="character" w:customStyle="1" w:styleId="unnamed3">
    <w:name w:val="unnamed3"/>
    <w:basedOn w:val="DefaultParagraphFont"/>
    <w:qFormat/>
  </w:style>
  <w:style w:type="paragraph" w:customStyle="1" w:styleId="81">
    <w:name w:val="8"/>
    <w:basedOn w:val="Normal"/>
    <w:next w:val="BodyTextIndent"/>
    <w:qFormat/>
    <w:pPr>
      <w:spacing w:after="120"/>
      <w:ind w:left="420" w:leftChars="200"/>
    </w:pPr>
  </w:style>
  <w:style w:type="paragraph" w:customStyle="1" w:styleId="70">
    <w:name w:val="7"/>
    <w:basedOn w:val="Normal"/>
    <w:qFormat/>
    <w:pPr>
      <w:autoSpaceDE w:val="0"/>
      <w:autoSpaceDN w:val="0"/>
      <w:adjustRightInd w:val="0"/>
      <w:spacing w:line="270" w:lineRule="atLeast"/>
      <w:jc w:val="left"/>
    </w:pPr>
    <w:rPr>
      <w:rFonts w:ascii="宋体"/>
      <w:kern w:val="0"/>
      <w:sz w:val="18"/>
      <w:szCs w:val="18"/>
    </w:rPr>
  </w:style>
  <w:style w:type="paragraph" w:customStyle="1" w:styleId="00">
    <w:name w:val="00"/>
    <w:basedOn w:val="Normal"/>
    <w:qFormat/>
    <w:pPr>
      <w:autoSpaceDE w:val="0"/>
      <w:autoSpaceDN w:val="0"/>
      <w:adjustRightInd w:val="0"/>
      <w:jc w:val="left"/>
    </w:pPr>
    <w:rPr>
      <w:rFonts w:ascii="黑体" w:eastAsia="黑体"/>
      <w:b/>
      <w:bCs/>
      <w:kern w:val="0"/>
      <w:sz w:val="20"/>
      <w:szCs w:val="20"/>
    </w:rPr>
  </w:style>
  <w:style w:type="paragraph" w:customStyle="1" w:styleId="50">
    <w:name w:val="5"/>
    <w:basedOn w:val="Normal"/>
    <w:qFormat/>
    <w:pPr>
      <w:autoSpaceDE w:val="0"/>
      <w:autoSpaceDN w:val="0"/>
      <w:adjustRightInd w:val="0"/>
      <w:jc w:val="left"/>
    </w:pPr>
    <w:rPr>
      <w:rFonts w:ascii="宋体"/>
      <w:b/>
      <w:bCs/>
      <w:kern w:val="0"/>
      <w:sz w:val="18"/>
      <w:szCs w:val="18"/>
    </w:rPr>
  </w:style>
  <w:style w:type="paragraph" w:customStyle="1" w:styleId="60">
    <w:name w:val="6"/>
    <w:basedOn w:val="50"/>
    <w:qFormat/>
    <w:pPr>
      <w:spacing w:line="270" w:lineRule="atLeast"/>
      <w:jc w:val="both"/>
    </w:pPr>
    <w:rPr>
      <w:b w:val="0"/>
      <w:bCs w:val="0"/>
    </w:rPr>
  </w:style>
  <w:style w:type="paragraph" w:customStyle="1" w:styleId="a21">
    <w:name w:val="产品描述"/>
    <w:qFormat/>
    <w:pPr>
      <w:widowControl w:val="0"/>
      <w:autoSpaceDE w:val="0"/>
      <w:autoSpaceDN w:val="0"/>
      <w:adjustRightInd w:val="0"/>
      <w:spacing w:line="270" w:lineRule="atLeast"/>
      <w:ind w:firstLine="397"/>
      <w:jc w:val="both"/>
    </w:pPr>
    <w:rPr>
      <w:rFonts w:ascii="宋体" w:eastAsia="宋体" w:hAnsi="Times New Roman" w:cs="Times New Roman"/>
      <w:sz w:val="18"/>
      <w:szCs w:val="18"/>
      <w:lang w:val="en-US" w:eastAsia="zh-CN" w:bidi="ar-SA"/>
    </w:rPr>
  </w:style>
  <w:style w:type="paragraph" w:customStyle="1" w:styleId="a22">
    <w:name w:val="姜文清定义的正文"/>
    <w:basedOn w:val="Normal"/>
    <w:qFormat/>
    <w:pPr>
      <w:spacing w:line="240" w:lineRule="atLeast"/>
      <w:ind w:firstLine="567"/>
    </w:pPr>
    <w:rPr>
      <w:szCs w:val="20"/>
    </w:rPr>
  </w:style>
  <w:style w:type="paragraph" w:customStyle="1" w:styleId="Default">
    <w:name w:val="Default"/>
    <w:qFormat/>
    <w:pPr>
      <w:widowControl w:val="0"/>
      <w:autoSpaceDE w:val="0"/>
      <w:autoSpaceDN w:val="0"/>
      <w:adjustRightInd w:val="0"/>
    </w:pPr>
    <w:rPr>
      <w:rFonts w:ascii="H Yb 2gj" w:eastAsia="H Yb 2gj" w:hAnsi="Times New Roman" w:cs="H Yb 2gj"/>
      <w:color w:val="000000"/>
      <w:sz w:val="24"/>
      <w:szCs w:val="24"/>
      <w:lang w:val="en-US" w:eastAsia="zh-CN" w:bidi="ar-SA"/>
    </w:rPr>
  </w:style>
  <w:style w:type="paragraph" w:customStyle="1" w:styleId="CM2">
    <w:name w:val="CM2"/>
    <w:basedOn w:val="Default"/>
    <w:next w:val="Default"/>
    <w:qFormat/>
    <w:pPr>
      <w:spacing w:line="200" w:lineRule="atLeast"/>
    </w:pPr>
    <w:rPr>
      <w:rFonts w:ascii="Arial" w:eastAsia="宋体" w:hAnsi="Arial" w:cs="Times New Roman"/>
      <w:color w:val="auto"/>
    </w:rPr>
  </w:style>
  <w:style w:type="paragraph" w:customStyle="1" w:styleId="NormalParagraph">
    <w:name w:val="Normal Paragraph"/>
    <w:basedOn w:val="Normal"/>
    <w:qFormat/>
    <w:pPr>
      <w:widowControl/>
      <w:spacing w:before="120" w:line="360" w:lineRule="auto"/>
      <w:ind w:firstLine="425"/>
    </w:pPr>
    <w:rPr>
      <w:kern w:val="0"/>
      <w:sz w:val="24"/>
    </w:rPr>
  </w:style>
  <w:style w:type="character" w:customStyle="1" w:styleId="blue">
    <w:name w:val="blue"/>
    <w:basedOn w:val="DefaultParagraphFont"/>
    <w:qFormat/>
  </w:style>
  <w:style w:type="paragraph" w:customStyle="1" w:styleId="blue1">
    <w:name w:val="blue1"/>
    <w:basedOn w:val="Normal"/>
    <w:qFormat/>
    <w:pPr>
      <w:widowControl/>
      <w:spacing w:before="100" w:beforeAutospacing="1" w:after="100" w:afterAutospacing="1"/>
      <w:jc w:val="left"/>
    </w:pPr>
    <w:rPr>
      <w:rFonts w:ascii="宋体" w:hAnsi="宋体" w:cs="宋体"/>
      <w:kern w:val="0"/>
      <w:sz w:val="24"/>
    </w:rPr>
  </w:style>
  <w:style w:type="character" w:customStyle="1" w:styleId="font">
    <w:name w:val="font"/>
    <w:basedOn w:val="DefaultParagraphFont"/>
    <w:qFormat/>
  </w:style>
  <w:style w:type="character" w:customStyle="1" w:styleId="font11">
    <w:name w:val="font11"/>
    <w:qFormat/>
    <w:rPr>
      <w:rFonts w:ascii="ˎ̥" w:hAnsi="ˎ̥" w:hint="default"/>
    </w:rPr>
  </w:style>
  <w:style w:type="paragraph" w:customStyle="1" w:styleId="a140">
    <w:name w:val="a14"/>
    <w:basedOn w:val="Normal"/>
    <w:qFormat/>
    <w:pPr>
      <w:widowControl/>
      <w:spacing w:before="100" w:beforeAutospacing="1" w:after="100" w:afterAutospacing="1" w:line="300" w:lineRule="atLeast"/>
      <w:ind w:firstLine="375"/>
      <w:jc w:val="left"/>
    </w:pPr>
    <w:rPr>
      <w:rFonts w:ascii="宋体" w:hAnsi="宋体" w:cs="宋体"/>
      <w:kern w:val="0"/>
      <w:szCs w:val="21"/>
    </w:rPr>
  </w:style>
  <w:style w:type="character" w:customStyle="1" w:styleId="proddescription">
    <w:name w:val="proddescription"/>
    <w:basedOn w:val="DefaultParagraphFont"/>
    <w:qFormat/>
  </w:style>
  <w:style w:type="character" w:customStyle="1" w:styleId="prodheadlines">
    <w:name w:val="prodheadlines"/>
    <w:basedOn w:val="DefaultParagraphFont"/>
    <w:qFormat/>
  </w:style>
  <w:style w:type="character" w:customStyle="1" w:styleId="text">
    <w:name w:val="text"/>
    <w:basedOn w:val="DefaultParagraphFont"/>
    <w:qFormat/>
  </w:style>
  <w:style w:type="paragraph" w:customStyle="1" w:styleId="text1">
    <w:name w:val="text1"/>
    <w:basedOn w:val="Normal"/>
    <w:qFormat/>
    <w:pPr>
      <w:widowControl/>
      <w:spacing w:before="100" w:beforeAutospacing="1" w:after="100" w:afterAutospacing="1"/>
      <w:jc w:val="left"/>
    </w:pPr>
    <w:rPr>
      <w:rFonts w:ascii="宋体" w:hAnsi="宋体" w:cs="宋体"/>
      <w:kern w:val="0"/>
      <w:sz w:val="24"/>
    </w:rPr>
  </w:style>
  <w:style w:type="paragraph" w:customStyle="1" w:styleId="z-1">
    <w:name w:val="z-窗体顶端1"/>
    <w:basedOn w:val="Normal"/>
    <w:next w:val="Normal"/>
    <w:hidden/>
    <w:qFormat/>
    <w:pPr>
      <w:widowControl/>
      <w:pBdr>
        <w:bottom w:val="single" w:sz="6" w:space="1" w:color="auto"/>
      </w:pBdr>
      <w:jc w:val="center"/>
    </w:pPr>
    <w:rPr>
      <w:rFonts w:ascii="Arial" w:hAnsi="Arial" w:cs="Arial"/>
      <w:vanish/>
      <w:kern w:val="0"/>
      <w:sz w:val="16"/>
      <w:szCs w:val="16"/>
    </w:rPr>
  </w:style>
  <w:style w:type="paragraph" w:customStyle="1" w:styleId="z-10">
    <w:name w:val="z-窗体底端1"/>
    <w:basedOn w:val="Normal"/>
    <w:next w:val="Normal"/>
    <w:hidden/>
    <w:qFormat/>
    <w:pPr>
      <w:widowControl/>
      <w:pBdr>
        <w:top w:val="single" w:sz="6" w:space="1" w:color="auto"/>
      </w:pBdr>
      <w:jc w:val="center"/>
    </w:pPr>
    <w:rPr>
      <w:rFonts w:ascii="Arial" w:hAnsi="Arial" w:cs="Arial"/>
      <w:vanish/>
      <w:kern w:val="0"/>
      <w:sz w:val="16"/>
      <w:szCs w:val="16"/>
    </w:rPr>
  </w:style>
  <w:style w:type="paragraph" w:customStyle="1" w:styleId="a23">
    <w:name w:val="正文样式"/>
    <w:basedOn w:val="Normal"/>
    <w:qFormat/>
    <w:pPr>
      <w:adjustRightInd w:val="0"/>
      <w:spacing w:line="400" w:lineRule="atLeast"/>
      <w:ind w:firstLine="570" w:firstLineChars="203"/>
      <w:textAlignment w:val="baseline"/>
    </w:pPr>
    <w:rPr>
      <w:rFonts w:eastAsia="仿宋_GB2312"/>
      <w:kern w:val="0"/>
      <w:sz w:val="28"/>
      <w:szCs w:val="20"/>
    </w:rPr>
  </w:style>
  <w:style w:type="paragraph" w:customStyle="1" w:styleId="xl34">
    <w:name w:val="xl34"/>
    <w:basedOn w:val="Normal"/>
    <w:qFormat/>
    <w:pPr>
      <w:widowControl/>
      <w:pBdr>
        <w:left w:val="single" w:sz="4" w:space="0" w:color="auto"/>
      </w:pBdr>
      <w:spacing w:before="100" w:beforeAutospacing="1" w:after="100" w:afterAutospacing="1"/>
      <w:jc w:val="center"/>
      <w:textAlignment w:val="center"/>
    </w:pPr>
    <w:rPr>
      <w:rFonts w:ascii="宋体" w:hAnsi="宋体"/>
      <w:kern w:val="0"/>
      <w:sz w:val="24"/>
    </w:rPr>
  </w:style>
  <w:style w:type="paragraph" w:customStyle="1" w:styleId="a24">
    <w:name w:val="段落正文"/>
    <w:basedOn w:val="PlainText"/>
    <w:qFormat/>
    <w:pPr>
      <w:ind w:firstLine="560" w:firstLineChars="200"/>
    </w:pPr>
    <w:rPr>
      <w:sz w:val="28"/>
    </w:rPr>
  </w:style>
  <w:style w:type="character" w:customStyle="1" w:styleId="gray6">
    <w:name w:val="gray6"/>
    <w:basedOn w:val="DefaultParagraphFont"/>
    <w:qFormat/>
  </w:style>
  <w:style w:type="character" w:customStyle="1" w:styleId="style9">
    <w:name w:val="style9"/>
    <w:basedOn w:val="DefaultParagraphFont"/>
    <w:qFormat/>
  </w:style>
  <w:style w:type="paragraph" w:customStyle="1" w:styleId="24">
    <w:name w:val="2册标题4"/>
    <w:basedOn w:val="Normal"/>
    <w:next w:val="Normal"/>
    <w:qFormat/>
    <w:pPr>
      <w:spacing w:beforeLines="50" w:afterLines="50" w:line="300" w:lineRule="auto"/>
      <w:ind w:left="420" w:leftChars="200"/>
      <w:outlineLvl w:val="3"/>
    </w:pPr>
    <w:rPr>
      <w:rFonts w:ascii="Arial" w:eastAsia="幼圆" w:hAnsi="Arial" w:cs="Arial"/>
      <w:b/>
      <w:sz w:val="24"/>
    </w:rPr>
  </w:style>
  <w:style w:type="character" w:customStyle="1" w:styleId="grame">
    <w:name w:val="grame"/>
    <w:basedOn w:val="DefaultParagraphFont"/>
    <w:qFormat/>
  </w:style>
  <w:style w:type="paragraph" w:customStyle="1" w:styleId="style2">
    <w:name w:val="style2"/>
    <w:basedOn w:val="Normal"/>
    <w:qFormat/>
    <w:pPr>
      <w:widowControl/>
      <w:spacing w:before="100" w:beforeAutospacing="1" w:after="100" w:afterAutospacing="1"/>
      <w:jc w:val="left"/>
    </w:pPr>
    <w:rPr>
      <w:rFonts w:ascii="宋体" w:hAnsi="宋体" w:cs="宋体"/>
      <w:kern w:val="0"/>
      <w:sz w:val="18"/>
      <w:szCs w:val="18"/>
    </w:rPr>
  </w:style>
  <w:style w:type="paragraph" w:customStyle="1" w:styleId="Char10">
    <w:name w:val="Char1"/>
    <w:basedOn w:val="Normal"/>
    <w:qFormat/>
    <w:pPr>
      <w:jc w:val="left"/>
    </w:pPr>
    <w:rPr>
      <w:rFonts w:ascii="Tahoma" w:hAnsi="Tahoma"/>
      <w:sz w:val="24"/>
      <w:szCs w:val="20"/>
    </w:rPr>
  </w:style>
  <w:style w:type="paragraph" w:customStyle="1" w:styleId="12">
    <w:name w:val="编号1"/>
    <w:basedOn w:val="Normal"/>
    <w:qFormat/>
    <w:pPr>
      <w:numPr>
        <w:ilvl w:val="0"/>
        <w:numId w:val="6"/>
      </w:numPr>
      <w:adjustRightInd w:val="0"/>
      <w:spacing w:line="300" w:lineRule="auto"/>
      <w:ind w:right="210"/>
      <w:textAlignment w:val="center"/>
    </w:pPr>
    <w:rPr>
      <w:rFonts w:ascii="宋体" w:hAnsi="宋体"/>
      <w:snapToGrid w:val="0"/>
      <w:spacing w:val="10"/>
      <w:kern w:val="24"/>
    </w:rPr>
  </w:style>
  <w:style w:type="paragraph" w:customStyle="1" w:styleId="CharCharCharCharCharCharCharCharCharCharCharCharCharCharCharCharCharCharCharCharCharChar">
    <w:name w:val="Char Char Char Char Char Char Char Char Char Char Char Char Char Char Char Char Char Char Char Char Char Char"/>
    <w:basedOn w:val="Normal"/>
    <w:qFormat/>
    <w:pPr>
      <w:widowControl/>
      <w:spacing w:line="400" w:lineRule="exact"/>
      <w:jc w:val="center"/>
    </w:pPr>
    <w:rPr>
      <w:rFonts w:ascii="Verdana" w:hAnsi="Verdana"/>
      <w:kern w:val="0"/>
      <w:szCs w:val="20"/>
      <w:lang w:eastAsia="en-US"/>
    </w:rPr>
  </w:style>
  <w:style w:type="paragraph" w:customStyle="1" w:styleId="font0">
    <w:name w:val="font0"/>
    <w:basedOn w:val="Normal"/>
    <w:qFormat/>
    <w:pPr>
      <w:widowControl/>
      <w:spacing w:before="100" w:beforeAutospacing="1" w:after="100" w:afterAutospacing="1"/>
      <w:jc w:val="left"/>
    </w:pPr>
    <w:rPr>
      <w:rFonts w:ascii="宋体" w:hAnsi="宋体" w:hint="eastAsia"/>
      <w:kern w:val="0"/>
      <w:sz w:val="24"/>
    </w:rPr>
  </w:style>
  <w:style w:type="paragraph" w:customStyle="1" w:styleId="font5">
    <w:name w:val="font5"/>
    <w:basedOn w:val="Normal"/>
    <w:qFormat/>
    <w:pPr>
      <w:widowControl/>
      <w:spacing w:before="100" w:beforeAutospacing="1" w:after="100" w:afterAutospacing="1"/>
      <w:jc w:val="left"/>
    </w:pPr>
    <w:rPr>
      <w:rFonts w:ascii="宋体" w:hAnsi="宋体" w:hint="eastAsia"/>
      <w:kern w:val="0"/>
      <w:sz w:val="18"/>
      <w:szCs w:val="18"/>
    </w:rPr>
  </w:style>
  <w:style w:type="paragraph" w:customStyle="1" w:styleId="font6">
    <w:name w:val="font6"/>
    <w:basedOn w:val="Normal"/>
    <w:qFormat/>
    <w:pPr>
      <w:widowControl/>
      <w:spacing w:before="100" w:beforeAutospacing="1" w:after="100" w:afterAutospacing="1"/>
      <w:jc w:val="left"/>
    </w:pPr>
    <w:rPr>
      <w:kern w:val="0"/>
      <w:sz w:val="24"/>
    </w:rPr>
  </w:style>
  <w:style w:type="paragraph" w:customStyle="1" w:styleId="xl24">
    <w:name w:val="xl24"/>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xl25">
    <w:name w:val="xl25"/>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25">
    <w:name w:val="表格字"/>
    <w:basedOn w:val="Normal"/>
    <w:qFormat/>
    <w:pPr>
      <w:adjustRightInd w:val="0"/>
      <w:jc w:val="center"/>
    </w:pPr>
    <w:rPr>
      <w:rFonts w:ascii="宋体"/>
      <w:sz w:val="24"/>
      <w:szCs w:val="20"/>
    </w:rPr>
  </w:style>
  <w:style w:type="character" w:customStyle="1" w:styleId="a26">
    <w:name w:val="样式 小三 加粗"/>
    <w:qFormat/>
    <w:rPr>
      <w:rFonts w:eastAsia="宋体"/>
      <w:b/>
      <w:bCs/>
      <w:sz w:val="32"/>
    </w:rPr>
  </w:style>
  <w:style w:type="paragraph" w:customStyle="1" w:styleId="xl28">
    <w:name w:val="xl28"/>
    <w:basedOn w:val="Normal"/>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qw">
    <w:name w:val="qw"/>
    <w:qFormat/>
    <w:pPr>
      <w:widowControl w:val="0"/>
      <w:adjustRightInd w:val="0"/>
      <w:spacing w:line="312" w:lineRule="atLeast"/>
      <w:jc w:val="both"/>
      <w:textAlignment w:val="baseline"/>
    </w:pPr>
    <w:rPr>
      <w:rFonts w:ascii="宋体" w:eastAsia="宋体" w:hAnsi="Times New Roman" w:cs="Times New Roman"/>
      <w:sz w:val="24"/>
      <w:lang w:val="en-US" w:eastAsia="zh-CN" w:bidi="ar-SA"/>
    </w:rPr>
  </w:style>
  <w:style w:type="paragraph" w:customStyle="1" w:styleId="CharCharChar">
    <w:name w:val="Char Char Char"/>
    <w:basedOn w:val="Normal"/>
    <w:qFormat/>
    <w:rPr>
      <w:rFonts w:ascii="Tahoma" w:hAnsi="Tahoma"/>
      <w:sz w:val="24"/>
      <w:szCs w:val="20"/>
    </w:rPr>
  </w:style>
  <w:style w:type="paragraph" w:customStyle="1" w:styleId="Char20">
    <w:name w:val="Char2"/>
    <w:basedOn w:val="Normal"/>
    <w:qFormat/>
    <w:pPr>
      <w:widowControl/>
      <w:spacing w:after="160" w:line="240" w:lineRule="exact"/>
      <w:jc w:val="left"/>
    </w:pPr>
    <w:rPr>
      <w:rFonts w:ascii="Verdana" w:eastAsia="仿宋_GB2312" w:hAnsi="Verdana"/>
      <w:kern w:val="0"/>
      <w:sz w:val="24"/>
      <w:szCs w:val="20"/>
      <w:lang w:eastAsia="en-US"/>
    </w:rPr>
  </w:style>
  <w:style w:type="character" w:customStyle="1" w:styleId="info4">
    <w:name w:val="info4"/>
    <w:basedOn w:val="DefaultParagraphFont"/>
    <w:qFormat/>
  </w:style>
  <w:style w:type="paragraph" w:customStyle="1" w:styleId="a27">
    <w:name w:val="缩进正文"/>
    <w:basedOn w:val="Normal"/>
    <w:link w:val="Char3"/>
    <w:qFormat/>
    <w:pPr>
      <w:ind w:firstLine="560" w:firstLineChars="200"/>
    </w:pPr>
    <w:rPr>
      <w:rFonts w:eastAsia="仿宋_GB2312" w:cs="宋体"/>
      <w:sz w:val="28"/>
      <w:szCs w:val="20"/>
    </w:rPr>
  </w:style>
  <w:style w:type="character" w:customStyle="1" w:styleId="Char3">
    <w:name w:val="缩进正文 Char"/>
    <w:link w:val="a27"/>
    <w:qFormat/>
    <w:rPr>
      <w:rFonts w:eastAsia="仿宋_GB2312" w:cs="宋体"/>
      <w:kern w:val="2"/>
      <w:sz w:val="28"/>
      <w:lang w:val="en-US" w:eastAsia="zh-CN" w:bidi="ar-SA"/>
    </w:rPr>
  </w:style>
  <w:style w:type="paragraph" w:customStyle="1" w:styleId="13">
    <w:name w:val="列出段落1"/>
    <w:basedOn w:val="Normal"/>
    <w:qFormat/>
    <w:pPr>
      <w:ind w:firstLine="420" w:firstLineChars="200"/>
    </w:pPr>
    <w:rPr>
      <w:rFonts w:ascii="Calibri" w:hAnsi="Calibri" w:cs="Calibri"/>
      <w:szCs w:val="21"/>
    </w:rPr>
  </w:style>
  <w:style w:type="character" w:customStyle="1" w:styleId="a28">
    <w:name w:val="批注文字 字符"/>
    <w:basedOn w:val="DefaultParagraphFont"/>
    <w:link w:val="CommentText"/>
    <w:qFormat/>
    <w:rPr>
      <w:rFonts w:ascii="宋体"/>
      <w:sz w:val="34"/>
    </w:rPr>
  </w:style>
  <w:style w:type="character" w:customStyle="1" w:styleId="a29">
    <w:name w:val="批注主题 字符"/>
    <w:basedOn w:val="a28"/>
    <w:link w:val="CommentSubject"/>
    <w:uiPriority w:val="99"/>
    <w:qFormat/>
    <w:rPr>
      <w:rFonts w:ascii="宋体"/>
      <w:sz w:val="34"/>
    </w:rPr>
  </w:style>
  <w:style w:type="paragraph" w:customStyle="1" w:styleId="a30">
    <w:name w:val="评价"/>
    <w:basedOn w:val="Normal"/>
    <w:qFormat/>
    <w:pPr>
      <w:spacing w:afterLines="20"/>
      <w:ind w:firstLine="1446" w:firstLineChars="200"/>
    </w:pPr>
    <w:rPr>
      <w:rFonts w:ascii="Calibri" w:hAnsi="Calibri"/>
      <w:sz w:val="24"/>
    </w:rPr>
  </w:style>
  <w:style w:type="paragraph" w:customStyle="1" w:styleId="14">
    <w:name w:val="修订1"/>
    <w:hidden/>
    <w:uiPriority w:val="99"/>
    <w:semiHidden/>
    <w:qFormat/>
    <w:rPr>
      <w:rFonts w:ascii="Times New Roman" w:eastAsia="宋体" w:hAnsi="Times New Roman" w:cs="Times New Roman"/>
      <w:kern w:val="2"/>
      <w:sz w:val="21"/>
      <w:szCs w:val="24"/>
      <w:lang w:val="en-US" w:eastAsia="zh-CN" w:bidi="ar-SA"/>
    </w:rPr>
  </w:style>
  <w:style w:type="character" w:customStyle="1" w:styleId="alt-edited1">
    <w:name w:val="alt-edited1"/>
    <w:qFormat/>
    <w:rPr>
      <w:color w:val="4D90F0"/>
    </w:rPr>
  </w:style>
  <w:style w:type="character" w:customStyle="1" w:styleId="bodytextChar1">
    <w:name w:val="body text Char1"/>
    <w:qFormat/>
    <w:rPr>
      <w:rFonts w:eastAsia="宋体"/>
      <w:kern w:val="2"/>
      <w:sz w:val="21"/>
      <w:lang w:val="en-US" w:eastAsia="zh-CN" w:bidi="ar-SA"/>
    </w:rPr>
  </w:style>
  <w:style w:type="character" w:customStyle="1" w:styleId="a31">
    <w:name w:val="普通(网站) 字符"/>
    <w:link w:val="NormalWeb"/>
    <w:qFormat/>
    <w:rPr>
      <w:kern w:val="2"/>
      <w:sz w:val="24"/>
      <w:szCs w:val="24"/>
    </w:rPr>
  </w:style>
  <w:style w:type="character" w:customStyle="1" w:styleId="Char12">
    <w:name w:val="批注文字 Char1"/>
    <w:uiPriority w:val="99"/>
    <w:qFormat/>
    <w:rPr>
      <w:rFonts w:ascii="宋体"/>
      <w:sz w:val="34"/>
    </w:rPr>
  </w:style>
  <w:style w:type="character" w:customStyle="1" w:styleId="Char13">
    <w:name w:val="正文缩进 Char1"/>
    <w:qFormat/>
    <w:rPr>
      <w:rFonts w:eastAsia="宋体"/>
      <w:kern w:val="2"/>
      <w:sz w:val="21"/>
      <w:lang w:val="en-US" w:eastAsia="zh-CN" w:bidi="ar-SA"/>
    </w:rPr>
  </w:style>
  <w:style w:type="character" w:customStyle="1" w:styleId="layui-this">
    <w:name w:val="layui-this"/>
    <w:basedOn w:val="DefaultParagraphFont"/>
    <w:qFormat/>
    <w:rPr>
      <w:bdr w:val="single" w:sz="4" w:space="0" w:color="EEEEEE"/>
      <w:shd w:val="clear" w:color="auto" w:fill="FFFFFF"/>
    </w:rPr>
  </w:style>
  <w:style w:type="character" w:customStyle="1" w:styleId="first-child">
    <w:name w:val="first-child"/>
    <w:basedOn w:val="DefaultParagraphFont"/>
    <w:qFormat/>
  </w:style>
  <w:style w:type="paragraph" w:customStyle="1" w:styleId="23">
    <w:name w:val="修订2"/>
    <w:hidden/>
    <w:uiPriority w:val="99"/>
    <w:semiHidden/>
    <w:qFormat/>
    <w:rPr>
      <w:rFonts w:ascii="Times New Roman" w:eastAsia="宋体" w:hAnsi="Times New Roman" w:cs="Times New Roman"/>
      <w:kern w:val="2"/>
      <w:sz w:val="21"/>
      <w:szCs w:val="24"/>
      <w:lang w:val="en-US" w:eastAsia="zh-CN" w:bidi="ar-SA"/>
    </w:rPr>
  </w:style>
  <w:style w:type="character" w:customStyle="1" w:styleId="hover">
    <w:name w:val="hover"/>
    <w:basedOn w:val="DefaultParagraphFont"/>
    <w:qFormat/>
  </w:style>
  <w:style w:type="character" w:customStyle="1" w:styleId="hover1">
    <w:name w:val="hover1"/>
    <w:basedOn w:val="DefaultParagraphFont"/>
    <w:qFormat/>
    <w:rPr>
      <w:color w:val="2590EB"/>
    </w:rPr>
  </w:style>
  <w:style w:type="character" w:customStyle="1" w:styleId="hover2">
    <w:name w:val="hover2"/>
    <w:basedOn w:val="DefaultParagraphFont"/>
    <w:qFormat/>
    <w:rPr>
      <w:color w:val="2590EB"/>
    </w:rPr>
  </w:style>
  <w:style w:type="character" w:customStyle="1" w:styleId="hover3">
    <w:name w:val="hover3"/>
    <w:basedOn w:val="DefaultParagraphFont"/>
    <w:qFormat/>
    <w:rPr>
      <w:color w:val="2590EB"/>
      <w:shd w:val="clear" w:color="auto" w:fill="E9F4FD"/>
    </w:rPr>
  </w:style>
  <w:style w:type="character" w:customStyle="1" w:styleId="hover4">
    <w:name w:val="hover4"/>
    <w:basedOn w:val="DefaultParagraphFont"/>
    <w:qFormat/>
    <w:rPr>
      <w:color w:val="2590EB"/>
    </w:rPr>
  </w:style>
  <w:style w:type="character" w:customStyle="1" w:styleId="mini-outputtext1">
    <w:name w:val="mini-outputtext1"/>
    <w:basedOn w:val="DefaultParagraphFont"/>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1.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E6CDAF-F519-4F49-899A-2A260E1F7A50}">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45</Pages>
  <Words>45068</Words>
  <Characters>47556</Characters>
  <Application>Microsoft Office Word</Application>
  <DocSecurity>0</DocSecurity>
  <Lines>360</Lines>
  <Paragraphs>101</Paragraphs>
  <ScaleCrop>false</ScaleCrop>
  <Company>Microsoft</Company>
  <LinksUpToDate>false</LinksUpToDate>
  <CharactersWithSpaces>48839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  标　文　件</dc:title>
  <dc:creator>thsware</dc:creator>
  <cp:lastModifiedBy>罗忠琴</cp:lastModifiedBy>
  <cp:revision>2</cp:revision>
  <cp:lastPrinted>2021-05-09T08:02:00Z</cp:lastPrinted>
  <dcterms:created xsi:type="dcterms:W3CDTF">2023-03-20T07:24:00Z</dcterms:created>
  <dcterms:modified xsi:type="dcterms:W3CDTF">2023-03-22T01:58:45Z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85D94BDF94FE450283F4FD6C7470A203</vt:lpwstr>
  </property>
  <property fmtid="{D5CDD505-2E9C-101B-9397-08002B2CF9AE}" pid="3" name="KSOProductBuildVer">
    <vt:lpwstr>2052-11.1.0.13703</vt:lpwstr>
  </property>
</Properties>
</file>