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4.9.0.0 -->
  <w:body>
    <w:p>
      <w:pPr>
        <w:jc w:val="center"/>
      </w:pPr>
    </w:p>
    <w:p>
      <w:pPr>
        <w:wordWrap w:val="0"/>
        <w:adjustRightInd w:val="0"/>
        <w:snapToGrid w:val="0"/>
        <w:spacing w:line="300" w:lineRule="auto"/>
        <w:jc w:val="right"/>
        <w:rPr>
          <w:rFonts w:ascii="楷体_GB2312" w:eastAsia="楷体_GB2312" w:hAnsi="宋体" w:hint="eastAsia"/>
          <w:b/>
          <w:sz w:val="28"/>
          <w:szCs w:val="30"/>
          <w:lang w:val="en-US" w:eastAsia="zh-CN"/>
        </w:rPr>
      </w:pPr>
      <w:r>
        <w:rPr>
          <w:rFonts w:ascii="楷体_GB2312" w:eastAsia="楷体_GB2312" w:hAnsi="宋体" w:hint="eastAsia"/>
          <w:b/>
          <w:sz w:val="28"/>
          <w:szCs w:val="30"/>
        </w:rPr>
        <w:t>招标编号：</w:t>
      </w:r>
      <w:r>
        <w:rPr>
          <w:rFonts w:ascii="楷体_GB2312" w:eastAsia="楷体_GB2312" w:hAnsi="宋体" w:hint="eastAsia"/>
          <w:b/>
          <w:sz w:val="28"/>
          <w:szCs w:val="30"/>
          <w:lang w:eastAsia="zh-CN"/>
        </w:rPr>
        <w:t>SZDL2025001523</w:t>
      </w:r>
    </w:p>
    <w:p>
      <w:pPr>
        <w:adjustRightInd w:val="0"/>
        <w:snapToGrid w:val="0"/>
        <w:spacing w:line="300" w:lineRule="auto"/>
        <w:jc w:val="right"/>
        <w:rPr>
          <w:rFonts w:ascii="宋体" w:hAnsi="宋体" w:hint="eastAsia"/>
          <w:b/>
          <w:sz w:val="22"/>
          <w:szCs w:val="30"/>
        </w:rPr>
      </w:pPr>
    </w:p>
    <w:p>
      <w:pPr>
        <w:pStyle w:val="Style3"/>
        <w:rPr>
          <w:rFonts w:hint="eastAsia"/>
        </w:rPr>
      </w:pPr>
    </w:p>
    <w:p>
      <w:pPr>
        <w:pStyle w:val="a0"/>
        <w:jc w:val="center"/>
        <w:rPr>
          <w:rFonts w:ascii="方正超粗黑简体" w:eastAsia="方正超粗黑简体" w:hAnsi="黑体" w:hint="eastAsia"/>
          <w:sz w:val="52"/>
          <w:szCs w:val="52"/>
        </w:rPr>
      </w:pPr>
    </w:p>
    <w:p>
      <w:pPr>
        <w:pStyle w:val="a0"/>
        <w:jc w:val="center"/>
        <w:rPr>
          <w:rFonts w:ascii="宋体" w:hAnsi="宋体" w:cs="宋体" w:hint="eastAsia"/>
          <w:b/>
          <w:bCs/>
          <w:sz w:val="56"/>
          <w:szCs w:val="56"/>
        </w:rPr>
      </w:pPr>
      <w:r>
        <w:rPr>
          <w:rFonts w:ascii="方正小标宋简体" w:eastAsia="方正小标宋简体" w:hAnsi="方正小标宋简体" w:cs="方正小标宋简体" w:hint="eastAsia"/>
          <w:sz w:val="60"/>
          <w:szCs w:val="60"/>
        </w:rPr>
        <w:t>重度残疾人托养服务试点项目</w:t>
      </w:r>
      <w:r>
        <w:rPr>
          <w:rFonts w:ascii="宋体" w:hAnsi="宋体" w:cs="宋体" w:hint="eastAsia"/>
          <w:b/>
          <w:bCs/>
          <w:sz w:val="52"/>
          <w:szCs w:val="52"/>
        </w:rPr>
        <w:t xml:space="preserve"> </w:t>
      </w:r>
      <w:r>
        <w:rPr>
          <w:rFonts w:ascii="宋体" w:hAnsi="宋体" w:cs="宋体" w:hint="eastAsia"/>
          <w:b/>
          <w:bCs/>
          <w:sz w:val="60"/>
          <w:szCs w:val="60"/>
        </w:rPr>
        <w:t xml:space="preserve"> </w:t>
      </w:r>
    </w:p>
    <w:p>
      <w:pPr>
        <w:pStyle w:val="a0"/>
        <w:rPr>
          <w:rFonts w:hint="eastAsia"/>
        </w:rPr>
      </w:pPr>
    </w:p>
    <w:p>
      <w:pPr>
        <w:pStyle w:val="a0"/>
        <w:rPr>
          <w:rFonts w:hint="eastAsia"/>
        </w:rPr>
      </w:pPr>
    </w:p>
    <w:p>
      <w:pPr>
        <w:pStyle w:val="a0"/>
        <w:rPr>
          <w:rFonts w:hint="eastAsia"/>
        </w:rPr>
      </w:pPr>
    </w:p>
    <w:p>
      <w:pPr>
        <w:pStyle w:val="a0"/>
        <w:rPr>
          <w:rFonts w:hint="eastAsia"/>
        </w:rPr>
      </w:pPr>
    </w:p>
    <w:p>
      <w:pPr>
        <w:pStyle w:val="a0"/>
        <w:rPr>
          <w:rFonts w:hint="eastAsia"/>
        </w:rPr>
      </w:pPr>
    </w:p>
    <w:p>
      <w:pPr>
        <w:pStyle w:val="a0"/>
        <w:rPr>
          <w:rFonts w:hint="eastAsia"/>
        </w:rPr>
      </w:pPr>
    </w:p>
    <w:p>
      <w:pPr>
        <w:spacing w:line="1000" w:lineRule="exact"/>
        <w:jc w:val="center"/>
        <w:outlineLvl w:val="0"/>
        <w:rPr>
          <w:rFonts w:ascii="微软雅黑" w:eastAsia="微软雅黑" w:hAnsi="微软雅黑" w:cs="微软雅黑"/>
          <w:b/>
          <w:bCs w:val="0"/>
          <w:color w:val="auto"/>
          <w:sz w:val="96"/>
          <w:szCs w:val="96"/>
          <w:highlight w:val="none"/>
        </w:rPr>
      </w:pPr>
      <w:bookmarkStart w:id="0" w:name="_Toc256000000"/>
      <w:r>
        <w:rPr>
          <w:rFonts w:ascii="微软雅黑" w:eastAsia="微软雅黑" w:hAnsi="微软雅黑" w:cs="微软雅黑" w:hint="eastAsia"/>
          <w:b/>
          <w:bCs w:val="0"/>
          <w:color w:val="auto"/>
          <w:sz w:val="96"/>
          <w:szCs w:val="96"/>
          <w:highlight w:val="none"/>
        </w:rPr>
        <w:t>招标文件</w:t>
      </w:r>
      <w:bookmarkEnd w:id="0"/>
    </w:p>
    <w:p>
      <w:pPr>
        <w:snapToGrid w:val="0"/>
        <w:spacing w:line="360" w:lineRule="auto"/>
        <w:jc w:val="center"/>
        <w:rPr>
          <w:rFonts w:ascii="宋体" w:hAnsi="宋体" w:hint="eastAsia"/>
          <w:b/>
          <w:sz w:val="30"/>
        </w:rPr>
      </w:pPr>
    </w:p>
    <w:p>
      <w:pPr>
        <w:rPr>
          <w:rFonts w:hint="eastAsia"/>
        </w:rPr>
      </w:pPr>
    </w:p>
    <w:p>
      <w:pPr>
        <w:pStyle w:val="NormalIndent"/>
        <w:ind w:firstLine="400"/>
        <w:rPr>
          <w:rFonts w:hint="eastAsia"/>
        </w:rPr>
      </w:pPr>
    </w:p>
    <w:p>
      <w:pPr>
        <w:pStyle w:val="BodyText2"/>
        <w:rPr>
          <w:rFonts w:hint="eastAsia"/>
        </w:rPr>
      </w:pPr>
    </w:p>
    <w:p>
      <w:pPr>
        <w:pStyle w:val="BodyText2"/>
        <w:rPr>
          <w:rFonts w:hint="eastAsia"/>
        </w:rPr>
      </w:pPr>
    </w:p>
    <w:p>
      <w:pPr>
        <w:pStyle w:val="BodyText2"/>
        <w:rPr>
          <w:rFonts w:hint="eastAsia"/>
        </w:rPr>
      </w:pPr>
    </w:p>
    <w:p>
      <w:pPr>
        <w:pStyle w:val="BodyText2"/>
        <w:rPr>
          <w:rFonts w:hint="eastAsia"/>
        </w:rPr>
      </w:pPr>
    </w:p>
    <w:p>
      <w:pPr>
        <w:pStyle w:val="BodyText2"/>
        <w:rPr>
          <w:rFonts w:hint="eastAsia"/>
        </w:rPr>
      </w:pPr>
    </w:p>
    <w:p>
      <w:pPr>
        <w:pStyle w:val="a0"/>
        <w:rPr>
          <w:rFonts w:hint="eastAsia"/>
        </w:rPr>
      </w:pPr>
    </w:p>
    <w:p>
      <w:pPr>
        <w:snapToGrid w:val="0"/>
        <w:spacing w:line="360" w:lineRule="auto"/>
        <w:jc w:val="center"/>
        <w:rPr>
          <w:rFonts w:ascii="楷体_GB2312" w:eastAsia="楷体_GB2312" w:hAnsi="宋体" w:hint="eastAsia"/>
          <w:b/>
          <w:sz w:val="30"/>
        </w:rPr>
      </w:pPr>
      <w:r>
        <w:rPr>
          <w:rFonts w:ascii="楷体_GB2312" w:eastAsia="楷体_GB2312" w:hAnsi="宋体" w:hint="eastAsia"/>
          <w:b/>
          <w:sz w:val="30"/>
        </w:rPr>
        <w:t>深圳华仑诚工程管理有限公司</w:t>
      </w:r>
    </w:p>
    <w:p>
      <w:pPr>
        <w:adjustRightInd w:val="0"/>
        <w:snapToGrid w:val="0"/>
        <w:spacing w:line="300" w:lineRule="auto"/>
        <w:jc w:val="center"/>
        <w:rPr>
          <w:rFonts w:ascii="宋体" w:hAnsi="宋体" w:cs="宋体" w:hint="eastAsia"/>
          <w:color w:val="000000"/>
          <w:sz w:val="28"/>
          <w:szCs w:val="28"/>
        </w:rPr>
      </w:pPr>
      <w:r>
        <w:rPr>
          <w:rFonts w:ascii="宋体" w:hAnsi="宋体" w:cs="宋体" w:hint="eastAsia"/>
          <w:b/>
          <w:sz w:val="30"/>
        </w:rPr>
        <w:t>2025年</w:t>
      </w:r>
      <w:r>
        <w:rPr>
          <w:rFonts w:ascii="宋体" w:hAnsi="宋体" w:cs="宋体" w:hint="eastAsia"/>
          <w:b/>
          <w:sz w:val="30"/>
          <w:lang w:val="en-US" w:eastAsia="zh-CN"/>
        </w:rPr>
        <w:t>9</w:t>
      </w:r>
      <w:r>
        <w:rPr>
          <w:rFonts w:ascii="宋体" w:hAnsi="宋体" w:cs="宋体" w:hint="eastAsia"/>
          <w:b/>
          <w:sz w:val="30"/>
        </w:rPr>
        <w:t>月</w:t>
      </w:r>
    </w:p>
    <w:p>
      <w:pPr>
        <w:jc w:val="center"/>
        <w:rPr>
          <w:rFonts w:ascii="黑体" w:eastAsia="黑体"/>
          <w:sz w:val="36"/>
          <w:szCs w:val="36"/>
        </w:rPr>
      </w:pPr>
      <w:r>
        <w:rPr>
          <w:rFonts w:ascii="黑体" w:eastAsia="黑体"/>
          <w:sz w:val="36"/>
          <w:szCs w:val="36"/>
        </w:rPr>
        <w:br w:type="page"/>
      </w:r>
      <w:r>
        <w:rPr>
          <w:rFonts w:ascii="黑体" w:eastAsia="黑体" w:hint="eastAsia"/>
          <w:sz w:val="36"/>
          <w:szCs w:val="36"/>
        </w:rPr>
        <w:t>目录</w:t>
      </w:r>
    </w:p>
    <w:p>
      <w:pPr>
        <w:pStyle w:val="TOC1"/>
        <w:tabs>
          <w:tab w:val="right" w:leader="dot" w:pos="9016"/>
        </w:tabs>
        <w:rPr>
          <w:rFonts w:asciiTheme="minorHAnsi" w:hAnsiTheme="minorHAnsi"/>
          <w:noProof/>
          <w:sz w:val="22"/>
        </w:rPr>
      </w:pPr>
      <w:r>
        <w:fldChar w:fldCharType="begin"/>
      </w:r>
      <w:r>
        <w:instrText xml:space="preserve"> TOC \o "1-3" \h \z \u </w:instrText>
      </w:r>
      <w:r>
        <w:fldChar w:fldCharType="separate"/>
      </w:r>
      <w:r>
        <w:fldChar w:fldCharType="begin"/>
      </w:r>
      <w:r>
        <w:rPr>
          <w:rStyle w:val="Hyperlink"/>
        </w:rPr>
        <w:instrText xml:space="preserve"> HYPERLINK \l "_Toc256000000" </w:instrText>
      </w:r>
      <w:r>
        <w:fldChar w:fldCharType="separate"/>
      </w:r>
      <w:r>
        <w:rPr>
          <w:rStyle w:val="Hyperlink"/>
          <w:rFonts w:ascii="微软雅黑" w:eastAsia="微软雅黑" w:hAnsi="微软雅黑" w:cs="微软雅黑" w:hint="eastAsia"/>
        </w:rPr>
        <w:t>招标文件</w:t>
      </w:r>
      <w:r>
        <w:rPr>
          <w:rStyle w:val="Hyperlink"/>
        </w:rPr>
        <w:tab/>
      </w:r>
      <w:r>
        <w:fldChar w:fldCharType="begin"/>
      </w:r>
      <w:r>
        <w:rPr>
          <w:rStyle w:val="Hyperlink"/>
        </w:rPr>
        <w:instrText xml:space="preserve"> PAGEREF _Toc256000000 \h </w:instrText>
      </w:r>
      <w:r>
        <w:fldChar w:fldCharType="separate"/>
      </w:r>
      <w:r>
        <w:rPr>
          <w:rStyle w:val="Hyperlink"/>
        </w:rPr>
        <w:t>1</w:t>
      </w:r>
      <w:r>
        <w:fldChar w:fldCharType="end"/>
      </w:r>
      <w:r>
        <w:fldChar w:fldCharType="end"/>
      </w:r>
    </w:p>
    <w:p>
      <w:pPr>
        <w:pStyle w:val="TOC1"/>
        <w:tabs>
          <w:tab w:val="right" w:leader="dot" w:pos="9016"/>
        </w:tabs>
        <w:rPr>
          <w:rFonts w:asciiTheme="minorHAnsi" w:hAnsiTheme="minorHAnsi"/>
          <w:noProof/>
          <w:sz w:val="22"/>
        </w:rPr>
      </w:pPr>
      <w:r>
        <w:fldChar w:fldCharType="begin"/>
      </w:r>
      <w:r>
        <w:rPr>
          <w:rStyle w:val="Hyperlink"/>
        </w:rPr>
        <w:instrText xml:space="preserve"> HYPERLINK \l "_Toc256000001" </w:instrText>
      </w:r>
      <w:r>
        <w:fldChar w:fldCharType="separate"/>
      </w:r>
      <w:r>
        <w:rPr>
          <w:rStyle w:val="Hyperlink"/>
          <w:rFonts w:hint="eastAsia"/>
        </w:rPr>
        <w:t>特别警示条款</w:t>
      </w:r>
      <w:r>
        <w:rPr>
          <w:rStyle w:val="Hyperlink"/>
        </w:rPr>
        <w:tab/>
      </w:r>
      <w:r>
        <w:fldChar w:fldCharType="begin"/>
      </w:r>
      <w:r>
        <w:rPr>
          <w:rStyle w:val="Hyperlink"/>
        </w:rPr>
        <w:instrText xml:space="preserve"> PAGEREF _Toc256000001 \h </w:instrText>
      </w:r>
      <w:r>
        <w:fldChar w:fldCharType="separate"/>
      </w:r>
      <w:r>
        <w:rPr>
          <w:rStyle w:val="Hyperlink"/>
        </w:rPr>
        <w:t>4</w:t>
      </w:r>
      <w:r>
        <w:fldChar w:fldCharType="end"/>
      </w:r>
      <w:r>
        <w:fldChar w:fldCharType="end"/>
      </w:r>
    </w:p>
    <w:p>
      <w:pPr>
        <w:pStyle w:val="TOC1"/>
        <w:tabs>
          <w:tab w:val="right" w:leader="dot" w:pos="9016"/>
        </w:tabs>
        <w:rPr>
          <w:rFonts w:asciiTheme="minorHAnsi" w:hAnsiTheme="minorHAnsi"/>
          <w:noProof/>
          <w:sz w:val="22"/>
        </w:rPr>
      </w:pPr>
      <w:r>
        <w:fldChar w:fldCharType="begin"/>
      </w:r>
      <w:r>
        <w:rPr>
          <w:rStyle w:val="Hyperlink"/>
        </w:rPr>
        <w:instrText xml:space="preserve"> HYPERLINK \l "_Toc256000003" </w:instrText>
      </w:r>
      <w:r>
        <w:fldChar w:fldCharType="separate"/>
      </w:r>
      <w:r>
        <w:rPr>
          <w:rStyle w:val="Hyperlink"/>
          <w:rFonts w:eastAsia="黑体" w:hint="eastAsia"/>
        </w:rPr>
        <w:t>第一册 通用条款</w:t>
      </w:r>
      <w:r>
        <w:rPr>
          <w:rStyle w:val="Hyperlink"/>
        </w:rPr>
        <w:tab/>
      </w:r>
      <w:r>
        <w:fldChar w:fldCharType="begin"/>
      </w:r>
      <w:r>
        <w:rPr>
          <w:rStyle w:val="Hyperlink"/>
        </w:rPr>
        <w:instrText xml:space="preserve"> PAGEREF _Toc256000003 \h </w:instrText>
      </w:r>
      <w:r>
        <w:fldChar w:fldCharType="separate"/>
      </w:r>
      <w:r>
        <w:rPr>
          <w:rStyle w:val="Hyperlink"/>
        </w:rPr>
        <w:t>6</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"_Toc256000004" </w:instrText>
      </w:r>
      <w:r>
        <w:fldChar w:fldCharType="separate"/>
      </w:r>
      <w:r>
        <w:rPr>
          <w:rStyle w:val="Hyperlink"/>
          <w:rFonts w:hint="eastAsia"/>
        </w:rPr>
        <w:t>第1章</w:t>
      </w:r>
      <w:r>
        <w:rPr>
          <w:rStyle w:val="Hyperlink"/>
        </w:rPr>
        <w:t xml:space="preserve"> </w:t>
      </w:r>
      <w:r>
        <w:rPr>
          <w:rStyle w:val="Hyperlink"/>
          <w:rFonts w:hint="eastAsia"/>
        </w:rPr>
        <w:t>总则</w:t>
      </w:r>
      <w:r>
        <w:rPr>
          <w:rStyle w:val="Hyperlink"/>
        </w:rPr>
        <w:tab/>
      </w:r>
      <w:r>
        <w:fldChar w:fldCharType="begin"/>
      </w:r>
      <w:r>
        <w:rPr>
          <w:rStyle w:val="Hyperlink"/>
        </w:rPr>
        <w:instrText xml:space="preserve"> PAGEREF _Toc256000004 \h </w:instrText>
      </w:r>
      <w:r>
        <w:fldChar w:fldCharType="separate"/>
      </w:r>
      <w:r>
        <w:rPr>
          <w:rStyle w:val="Hyperlink"/>
        </w:rPr>
        <w:t>7</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"_Toc256000005" </w:instrText>
      </w:r>
      <w:r>
        <w:fldChar w:fldCharType="separate"/>
      </w:r>
      <w:r>
        <w:rPr>
          <w:rStyle w:val="Hyperlink"/>
          <w:rFonts w:hint="eastAsia"/>
        </w:rPr>
        <w:t>第二章 招标文件</w:t>
      </w:r>
      <w:r>
        <w:rPr>
          <w:rStyle w:val="Hyperlink"/>
        </w:rPr>
        <w:tab/>
      </w:r>
      <w:r>
        <w:fldChar w:fldCharType="begin"/>
      </w:r>
      <w:r>
        <w:rPr>
          <w:rStyle w:val="Hyperlink"/>
        </w:rPr>
        <w:instrText xml:space="preserve"> PAGEREF _Toc256000005 \h </w:instrText>
      </w:r>
      <w:r>
        <w:fldChar w:fldCharType="separate"/>
      </w:r>
      <w:r>
        <w:rPr>
          <w:rStyle w:val="Hyperlink"/>
        </w:rPr>
        <w:t>10</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"_Toc256000006" </w:instrText>
      </w:r>
      <w:r>
        <w:fldChar w:fldCharType="separate"/>
      </w:r>
      <w:r>
        <w:rPr>
          <w:rStyle w:val="Hyperlink"/>
          <w:rFonts w:hint="eastAsia"/>
        </w:rPr>
        <w:t>第三章 投标文件</w:t>
      </w:r>
      <w:r>
        <w:rPr>
          <w:rStyle w:val="Hyperlink"/>
          <w:rFonts w:hint="eastAsia"/>
        </w:rPr>
        <w:t>的编制</w:t>
      </w:r>
      <w:r>
        <w:rPr>
          <w:rStyle w:val="Hyperlink"/>
        </w:rPr>
        <w:tab/>
      </w:r>
      <w:r>
        <w:fldChar w:fldCharType="begin"/>
      </w:r>
      <w:r>
        <w:rPr>
          <w:rStyle w:val="Hyperlink"/>
        </w:rPr>
        <w:instrText xml:space="preserve"> PAGEREF _Toc256000006 \h </w:instrText>
      </w:r>
      <w:r>
        <w:fldChar w:fldCharType="separate"/>
      </w:r>
      <w:r>
        <w:rPr>
          <w:rStyle w:val="Hyperlink"/>
        </w:rPr>
        <w:t>11</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"_Toc256000007" </w:instrText>
      </w:r>
      <w:r>
        <w:fldChar w:fldCharType="separate"/>
      </w:r>
      <w:r>
        <w:rPr>
          <w:rStyle w:val="Hyperlink"/>
          <w:rFonts w:hint="eastAsia"/>
        </w:rPr>
        <w:t>第四章 投标文件</w:t>
      </w:r>
      <w:r>
        <w:rPr>
          <w:rStyle w:val="Hyperlink"/>
          <w:rFonts w:hint="eastAsia"/>
        </w:rPr>
        <w:t>的递交</w:t>
      </w:r>
      <w:r>
        <w:rPr>
          <w:rStyle w:val="Hyperlink"/>
        </w:rPr>
        <w:tab/>
      </w:r>
      <w:r>
        <w:fldChar w:fldCharType="begin"/>
      </w:r>
      <w:r>
        <w:rPr>
          <w:rStyle w:val="Hyperlink"/>
        </w:rPr>
        <w:instrText xml:space="preserve"> PAGEREF _Toc256000007 \h </w:instrText>
      </w:r>
      <w:r>
        <w:fldChar w:fldCharType="separate"/>
      </w:r>
      <w:r>
        <w:rPr>
          <w:rStyle w:val="Hyperlink"/>
        </w:rPr>
        <w:t>14</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"_Toc256000008" </w:instrText>
      </w:r>
      <w:r>
        <w:fldChar w:fldCharType="separate"/>
      </w:r>
      <w:r>
        <w:rPr>
          <w:rStyle w:val="Hyperlink"/>
          <w:rFonts w:hint="eastAsia"/>
        </w:rPr>
        <w:t>第五章 开标</w:t>
      </w:r>
      <w:r>
        <w:rPr>
          <w:rStyle w:val="Hyperlink"/>
        </w:rPr>
        <w:tab/>
      </w:r>
      <w:r>
        <w:fldChar w:fldCharType="begin"/>
      </w:r>
      <w:r>
        <w:rPr>
          <w:rStyle w:val="Hyperlink"/>
        </w:rPr>
        <w:instrText xml:space="preserve"> PAGEREF _Toc256000008 \h </w:instrText>
      </w:r>
      <w:r>
        <w:fldChar w:fldCharType="separate"/>
      </w:r>
      <w:r>
        <w:rPr>
          <w:rStyle w:val="Hyperlink"/>
        </w:rPr>
        <w:t>16</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"_Toc256000009" </w:instrText>
      </w:r>
      <w:r>
        <w:fldChar w:fldCharType="separate"/>
      </w:r>
      <w:r>
        <w:rPr>
          <w:rStyle w:val="Hyperlink"/>
          <w:rFonts w:hint="eastAsia"/>
        </w:rPr>
        <w:t>第六章</w:t>
      </w:r>
      <w:r>
        <w:rPr>
          <w:rStyle w:val="Hyperlink"/>
          <w:rFonts w:hint="eastAsia"/>
        </w:rPr>
        <w:t xml:space="preserve"> </w:t>
      </w:r>
      <w:r>
        <w:rPr>
          <w:rStyle w:val="Hyperlink"/>
          <w:rFonts w:hint="eastAsia"/>
        </w:rPr>
        <w:t>评审要求</w:t>
      </w:r>
      <w:r>
        <w:rPr>
          <w:rStyle w:val="Hyperlink"/>
        </w:rPr>
        <w:tab/>
      </w:r>
      <w:r>
        <w:fldChar w:fldCharType="begin"/>
      </w:r>
      <w:r>
        <w:rPr>
          <w:rStyle w:val="Hyperlink"/>
        </w:rPr>
        <w:instrText xml:space="preserve"> PAGEREF _Toc256000009 \h </w:instrText>
      </w:r>
      <w:r>
        <w:fldChar w:fldCharType="separate"/>
      </w:r>
      <w:r>
        <w:rPr>
          <w:rStyle w:val="Hyperlink"/>
        </w:rPr>
        <w:t>16</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"_Toc256000010" </w:instrText>
      </w:r>
      <w:r>
        <w:fldChar w:fldCharType="separate"/>
      </w:r>
      <w:r>
        <w:rPr>
          <w:rStyle w:val="Hyperlink"/>
          <w:rFonts w:hint="eastAsia"/>
        </w:rPr>
        <w:t>第七章 评审程序</w:t>
      </w:r>
      <w:r>
        <w:rPr>
          <w:rStyle w:val="Hyperlink"/>
          <w:rFonts w:hint="eastAsia"/>
        </w:rPr>
        <w:t>及评审方法</w:t>
      </w:r>
      <w:r>
        <w:rPr>
          <w:rStyle w:val="Hyperlink"/>
        </w:rPr>
        <w:tab/>
      </w:r>
      <w:r>
        <w:fldChar w:fldCharType="begin"/>
      </w:r>
      <w:r>
        <w:rPr>
          <w:rStyle w:val="Hyperlink"/>
        </w:rPr>
        <w:instrText xml:space="preserve"> PAGEREF _Toc256000010 \h </w:instrText>
      </w:r>
      <w:r>
        <w:fldChar w:fldCharType="separate"/>
      </w:r>
      <w:r>
        <w:rPr>
          <w:rStyle w:val="Hyperlink"/>
        </w:rPr>
        <w:t>17</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"_Toc256000011" </w:instrText>
      </w:r>
      <w:r>
        <w:fldChar w:fldCharType="separate"/>
      </w:r>
      <w:r>
        <w:rPr>
          <w:rStyle w:val="Hyperlink"/>
          <w:rFonts w:hint="eastAsia"/>
        </w:rPr>
        <w:t>第八章 定标</w:t>
      </w:r>
      <w:r>
        <w:rPr>
          <w:rStyle w:val="Hyperlink"/>
          <w:rFonts w:hint="eastAsia"/>
        </w:rPr>
        <w:t>及公示</w:t>
      </w:r>
      <w:r>
        <w:rPr>
          <w:rStyle w:val="Hyperlink"/>
        </w:rPr>
        <w:tab/>
      </w:r>
      <w:r>
        <w:fldChar w:fldCharType="begin"/>
      </w:r>
      <w:r>
        <w:rPr>
          <w:rStyle w:val="Hyperlink"/>
        </w:rPr>
        <w:instrText xml:space="preserve"> PAGEREF _Toc256000011 \h </w:instrText>
      </w:r>
      <w:r>
        <w:fldChar w:fldCharType="separate"/>
      </w:r>
      <w:r>
        <w:rPr>
          <w:rStyle w:val="Hyperlink"/>
        </w:rPr>
        <w:t>20</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"_Toc256000012" </w:instrText>
      </w:r>
      <w:r>
        <w:fldChar w:fldCharType="separate"/>
      </w:r>
      <w:r>
        <w:rPr>
          <w:rStyle w:val="Hyperlink"/>
          <w:rFonts w:hint="eastAsia"/>
        </w:rPr>
        <w:t>第九章 公开招标失败的后续处理</w:t>
      </w:r>
      <w:r>
        <w:rPr>
          <w:rStyle w:val="Hyperlink"/>
        </w:rPr>
        <w:tab/>
      </w:r>
      <w:r>
        <w:fldChar w:fldCharType="begin"/>
      </w:r>
      <w:r>
        <w:rPr>
          <w:rStyle w:val="Hyperlink"/>
        </w:rPr>
        <w:instrText xml:space="preserve"> PAGEREF _Toc256000012 \h </w:instrText>
      </w:r>
      <w:r>
        <w:fldChar w:fldCharType="separate"/>
      </w:r>
      <w:r>
        <w:rPr>
          <w:rStyle w:val="Hyperlink"/>
        </w:rPr>
        <w:t>21</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"_Toc256000013" </w:instrText>
      </w:r>
      <w:r>
        <w:fldChar w:fldCharType="separate"/>
      </w:r>
      <w:r>
        <w:rPr>
          <w:rStyle w:val="Hyperlink"/>
          <w:rFonts w:hint="eastAsia"/>
        </w:rPr>
        <w:t>第十章 合同的授予</w:t>
      </w:r>
      <w:r>
        <w:rPr>
          <w:rStyle w:val="Hyperlink"/>
          <w:rFonts w:hint="eastAsia"/>
        </w:rPr>
        <w:t>与备案</w:t>
      </w:r>
      <w:r>
        <w:rPr>
          <w:rStyle w:val="Hyperlink"/>
        </w:rPr>
        <w:tab/>
      </w:r>
      <w:r>
        <w:fldChar w:fldCharType="begin"/>
      </w:r>
      <w:r>
        <w:rPr>
          <w:rStyle w:val="Hyperlink"/>
        </w:rPr>
        <w:instrText xml:space="preserve"> PAGEREF _Toc256000013 \h </w:instrText>
      </w:r>
      <w:r>
        <w:fldChar w:fldCharType="separate"/>
      </w:r>
      <w:r>
        <w:rPr>
          <w:rStyle w:val="Hyperlink"/>
        </w:rPr>
        <w:t>21</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"_Toc256000014" </w:instrText>
      </w:r>
      <w:r>
        <w:fldChar w:fldCharType="separate"/>
      </w:r>
      <w:r>
        <w:rPr>
          <w:rStyle w:val="Hyperlink"/>
          <w:rFonts w:hint="eastAsia"/>
        </w:rPr>
        <w:t>第十一章 项目质疑受理</w:t>
      </w:r>
      <w:r>
        <w:rPr>
          <w:rStyle w:val="Hyperlink"/>
          <w:rFonts w:hint="eastAsia"/>
        </w:rPr>
        <w:t>与答复</w:t>
      </w:r>
      <w:r>
        <w:rPr>
          <w:rStyle w:val="Hyperlink"/>
        </w:rPr>
        <w:tab/>
      </w:r>
      <w:r>
        <w:fldChar w:fldCharType="begin"/>
      </w:r>
      <w:r>
        <w:rPr>
          <w:rStyle w:val="Hyperlink"/>
        </w:rPr>
        <w:instrText xml:space="preserve"> PAGEREF _Toc256000014 \h </w:instrText>
      </w:r>
      <w:r>
        <w:fldChar w:fldCharType="separate"/>
      </w:r>
      <w:r>
        <w:rPr>
          <w:rStyle w:val="Hyperlink"/>
        </w:rPr>
        <w:t>23</w:t>
      </w:r>
      <w:r>
        <w:fldChar w:fldCharType="end"/>
      </w:r>
      <w:r>
        <w:fldChar w:fldCharType="end"/>
      </w:r>
    </w:p>
    <w:p>
      <w:pPr>
        <w:pStyle w:val="TOC1"/>
        <w:tabs>
          <w:tab w:val="right" w:leader="dot" w:pos="9016"/>
        </w:tabs>
        <w:rPr>
          <w:rFonts w:asciiTheme="minorHAnsi" w:hAnsiTheme="minorHAnsi"/>
          <w:noProof/>
          <w:sz w:val="22"/>
        </w:rPr>
      </w:pPr>
      <w:r>
        <w:fldChar w:fldCharType="begin"/>
      </w:r>
      <w:r>
        <w:rPr>
          <w:rStyle w:val="Hyperlink"/>
        </w:rPr>
        <w:instrText xml:space="preserve"> HYPERLINK \l "_Toc256000015" </w:instrText>
      </w:r>
      <w:r>
        <w:fldChar w:fldCharType="separate"/>
      </w:r>
      <w:r>
        <w:rPr>
          <w:rStyle w:val="Hyperlink"/>
          <w:rFonts w:eastAsia="黑体" w:hint="eastAsia"/>
        </w:rPr>
        <w:t>第二册 专用条款</w:t>
      </w:r>
      <w:r>
        <w:rPr>
          <w:rStyle w:val="Hyperlink"/>
        </w:rPr>
        <w:tab/>
      </w:r>
      <w:r>
        <w:fldChar w:fldCharType="begin"/>
      </w:r>
      <w:r>
        <w:rPr>
          <w:rStyle w:val="Hyperlink"/>
        </w:rPr>
        <w:instrText xml:space="preserve"> PAGEREF _Toc256000015 \h </w:instrText>
      </w:r>
      <w:r>
        <w:fldChar w:fldCharType="separate"/>
      </w:r>
      <w:r>
        <w:rPr>
          <w:rStyle w:val="Hyperlink"/>
        </w:rPr>
        <w:t>25</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"_Toc256000016" </w:instrText>
      </w:r>
      <w:r>
        <w:fldChar w:fldCharType="separate"/>
      </w:r>
      <w:r>
        <w:rPr>
          <w:rStyle w:val="Hyperlink"/>
          <w:rFonts w:hint="eastAsia"/>
        </w:rPr>
        <w:t>第一章 招标公告</w:t>
      </w:r>
      <w:r>
        <w:rPr>
          <w:rStyle w:val="Hyperlink"/>
        </w:rPr>
        <w:tab/>
      </w:r>
      <w:r>
        <w:fldChar w:fldCharType="begin"/>
      </w:r>
      <w:r>
        <w:rPr>
          <w:rStyle w:val="Hyperlink"/>
        </w:rPr>
        <w:instrText xml:space="preserve"> PAGEREF _Toc256000016 \h </w:instrText>
      </w:r>
      <w:r>
        <w:fldChar w:fldCharType="separate"/>
      </w:r>
      <w:r>
        <w:rPr>
          <w:rStyle w:val="Hyperlink"/>
        </w:rPr>
        <w:t>26</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"_Toc256000017" </w:instrText>
      </w:r>
      <w:r>
        <w:fldChar w:fldCharType="separate"/>
      </w:r>
      <w:r>
        <w:rPr>
          <w:rStyle w:val="Hyperlink"/>
          <w:rFonts w:hint="eastAsia"/>
        </w:rPr>
        <w:t>第二章 关键信息</w:t>
      </w:r>
      <w:r>
        <w:rPr>
          <w:rStyle w:val="Hyperlink"/>
        </w:rPr>
        <w:tab/>
      </w:r>
      <w:r>
        <w:fldChar w:fldCharType="begin"/>
      </w:r>
      <w:r>
        <w:rPr>
          <w:rStyle w:val="Hyperlink"/>
        </w:rPr>
        <w:instrText xml:space="preserve"> PAGEREF _Toc256000017 \h </w:instrText>
      </w:r>
      <w:r>
        <w:fldChar w:fldCharType="separate"/>
      </w:r>
      <w:r>
        <w:rPr>
          <w:rStyle w:val="Hyperlink"/>
        </w:rPr>
        <w:t>27</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"_Toc256000018" </w:instrText>
      </w:r>
      <w:r>
        <w:fldChar w:fldCharType="separate"/>
      </w:r>
      <w:r>
        <w:rPr>
          <w:rStyle w:val="Hyperlink"/>
          <w:rFonts w:hint="eastAsia"/>
        </w:rPr>
        <w:t>一、</w:t>
      </w:r>
      <w:r>
        <w:rPr>
          <w:rStyle w:val="Hyperlink"/>
          <w:rFonts w:ascii="宋体" w:hAnsi="宋体" w:hint="eastAsia"/>
        </w:rPr>
        <w:t>对通用条款的补充内容</w:t>
      </w:r>
      <w:r>
        <w:rPr>
          <w:rStyle w:val="Hyperlink"/>
        </w:rPr>
        <w:tab/>
      </w:r>
      <w:r>
        <w:fldChar w:fldCharType="begin"/>
      </w:r>
      <w:r>
        <w:rPr>
          <w:rStyle w:val="Hyperlink"/>
        </w:rPr>
        <w:instrText xml:space="preserve"> PAGEREF _Toc256000018 \h </w:instrText>
      </w:r>
      <w:r>
        <w:fldChar w:fldCharType="separate"/>
      </w:r>
      <w:r>
        <w:rPr>
          <w:rStyle w:val="Hyperlink"/>
        </w:rPr>
        <w:t>27</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"_Toc256000019" </w:instrText>
      </w:r>
      <w:r>
        <w:fldChar w:fldCharType="separate"/>
      </w:r>
      <w:r>
        <w:rPr>
          <w:rStyle w:val="Hyperlink"/>
          <w:rFonts w:hint="eastAsia"/>
        </w:rPr>
        <w:t>二、投标文件初审表</w:t>
      </w:r>
      <w:r>
        <w:rPr>
          <w:rStyle w:val="Hyperlink"/>
        </w:rPr>
        <w:tab/>
      </w:r>
      <w:r>
        <w:fldChar w:fldCharType="begin"/>
      </w:r>
      <w:r>
        <w:rPr>
          <w:rStyle w:val="Hyperlink"/>
        </w:rPr>
        <w:instrText xml:space="preserve"> PAGEREF _Toc256000019 \h </w:instrText>
      </w:r>
      <w:r>
        <w:fldChar w:fldCharType="separate"/>
      </w:r>
      <w:r>
        <w:rPr>
          <w:rStyle w:val="Hyperlink"/>
        </w:rPr>
        <w:t>28</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"_Toc256000020" </w:instrText>
      </w:r>
      <w:r>
        <w:fldChar w:fldCharType="separate"/>
      </w:r>
      <w:r>
        <w:rPr>
          <w:rStyle w:val="Hyperlink"/>
          <w:rFonts w:hint="eastAsia"/>
        </w:rPr>
        <w:t>三、评标信息</w:t>
      </w:r>
      <w:r>
        <w:rPr>
          <w:rStyle w:val="Hyperlink"/>
        </w:rPr>
        <w:tab/>
      </w:r>
      <w:r>
        <w:fldChar w:fldCharType="begin"/>
      </w:r>
      <w:r>
        <w:rPr>
          <w:rStyle w:val="Hyperlink"/>
        </w:rPr>
        <w:instrText xml:space="preserve"> PAGEREF _Toc256000020 \h </w:instrText>
      </w:r>
      <w:r>
        <w:fldChar w:fldCharType="separate"/>
      </w:r>
      <w:r>
        <w:rPr>
          <w:rStyle w:val="Hyperlink"/>
        </w:rPr>
        <w:t>29</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"_Toc256000021" </w:instrText>
      </w:r>
      <w:r>
        <w:fldChar w:fldCharType="separate"/>
      </w:r>
      <w:r>
        <w:rPr>
          <w:rStyle w:val="Hyperlink"/>
          <w:rFonts w:hint="eastAsia"/>
        </w:rPr>
        <w:t>四、其他关键信息</w:t>
      </w:r>
      <w:r>
        <w:rPr>
          <w:rStyle w:val="Hyperlink"/>
        </w:rPr>
        <w:tab/>
      </w:r>
      <w:r>
        <w:fldChar w:fldCharType="begin"/>
      </w:r>
      <w:r>
        <w:rPr>
          <w:rStyle w:val="Hyperlink"/>
        </w:rPr>
        <w:instrText xml:space="preserve"> PAGEREF _Toc256000021 \h </w:instrText>
      </w:r>
      <w:r>
        <w:fldChar w:fldCharType="separate"/>
      </w:r>
      <w:r>
        <w:rPr>
          <w:rStyle w:val="Hyperlink"/>
        </w:rPr>
        <w:t>34</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"_Toc256000022" </w:instrText>
      </w:r>
      <w:r>
        <w:fldChar w:fldCharType="separate"/>
      </w:r>
      <w:r>
        <w:rPr>
          <w:rStyle w:val="Hyperlink"/>
          <w:rFonts w:hint="eastAsia"/>
        </w:rPr>
        <w:t>第三章  项目需求</w:t>
      </w:r>
      <w:r>
        <w:rPr>
          <w:rStyle w:val="Hyperlink"/>
        </w:rPr>
        <w:tab/>
      </w:r>
      <w:r>
        <w:fldChar w:fldCharType="begin"/>
      </w:r>
      <w:r>
        <w:rPr>
          <w:rStyle w:val="Hyperlink"/>
        </w:rPr>
        <w:instrText xml:space="preserve"> PAGEREF _Toc256000022 \h </w:instrText>
      </w:r>
      <w:r>
        <w:fldChar w:fldCharType="separate"/>
      </w:r>
      <w:r>
        <w:rPr>
          <w:rStyle w:val="Hyperlink"/>
        </w:rPr>
        <w:t>35</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"_Toc256000023" </w:instrText>
      </w:r>
      <w:r>
        <w:fldChar w:fldCharType="separate"/>
      </w:r>
      <w:r>
        <w:rPr>
          <w:rStyle w:val="Hyperlink"/>
          <w:rFonts w:hint="eastAsia"/>
        </w:rPr>
        <w:t>一、项目</w:t>
      </w:r>
      <w:r>
        <w:rPr>
          <w:rStyle w:val="Hyperlink"/>
          <w:rFonts w:hint="eastAsia"/>
        </w:rPr>
        <w:t>背景</w:t>
      </w:r>
      <w:r>
        <w:rPr>
          <w:rStyle w:val="Hyperlink"/>
        </w:rPr>
        <w:tab/>
      </w:r>
      <w:r>
        <w:fldChar w:fldCharType="begin"/>
      </w:r>
      <w:r>
        <w:rPr>
          <w:rStyle w:val="Hyperlink"/>
        </w:rPr>
        <w:instrText xml:space="preserve"> PAGEREF _Toc256000023 \h </w:instrText>
      </w:r>
      <w:r>
        <w:fldChar w:fldCharType="separate"/>
      </w:r>
      <w:r>
        <w:rPr>
          <w:rStyle w:val="Hyperlink"/>
        </w:rPr>
        <w:t>36</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"_Toc256000024" </w:instrText>
      </w:r>
      <w:r>
        <w:fldChar w:fldCharType="separate"/>
      </w:r>
      <w:r>
        <w:rPr>
          <w:rStyle w:val="Hyperlink"/>
          <w:rFonts w:hint="eastAsia"/>
        </w:rPr>
        <w:t>二、商务需求</w:t>
      </w:r>
      <w:r>
        <w:rPr>
          <w:rStyle w:val="Hyperlink"/>
        </w:rPr>
        <w:tab/>
      </w:r>
      <w:r>
        <w:fldChar w:fldCharType="begin"/>
      </w:r>
      <w:r>
        <w:rPr>
          <w:rStyle w:val="Hyperlink"/>
        </w:rPr>
        <w:instrText xml:space="preserve"> PAGEREF _Toc256000024 \h </w:instrText>
      </w:r>
      <w:r>
        <w:fldChar w:fldCharType="separate"/>
      </w:r>
      <w:r>
        <w:rPr>
          <w:rStyle w:val="Hyperlink"/>
        </w:rPr>
        <w:t>36</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"_Toc256000025" </w:instrText>
      </w:r>
      <w:r>
        <w:fldChar w:fldCharType="separate"/>
      </w:r>
      <w:r>
        <w:rPr>
          <w:rStyle w:val="Hyperlink"/>
          <w:rFonts w:hint="eastAsia"/>
        </w:rPr>
        <w:t>三、服务清单</w:t>
      </w:r>
      <w:r>
        <w:rPr>
          <w:rStyle w:val="Hyperlink"/>
        </w:rPr>
        <w:tab/>
      </w:r>
      <w:r>
        <w:fldChar w:fldCharType="begin"/>
      </w:r>
      <w:r>
        <w:rPr>
          <w:rStyle w:val="Hyperlink"/>
        </w:rPr>
        <w:instrText xml:space="preserve"> PAGEREF _Toc256000025 \h </w:instrText>
      </w:r>
      <w:r>
        <w:fldChar w:fldCharType="separate"/>
      </w:r>
      <w:r>
        <w:rPr>
          <w:rStyle w:val="Hyperlink"/>
        </w:rPr>
        <w:t>37</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"_Toc256000026" </w:instrText>
      </w:r>
      <w:r>
        <w:fldChar w:fldCharType="separate"/>
      </w:r>
      <w:r>
        <w:rPr>
          <w:rStyle w:val="Hyperlink"/>
          <w:rFonts w:hint="eastAsia"/>
        </w:rPr>
        <w:t>四、具体技术要求</w:t>
      </w:r>
      <w:r>
        <w:rPr>
          <w:rStyle w:val="Hyperlink"/>
        </w:rPr>
        <w:tab/>
      </w:r>
      <w:r>
        <w:fldChar w:fldCharType="begin"/>
      </w:r>
      <w:r>
        <w:rPr>
          <w:rStyle w:val="Hyperlink"/>
        </w:rPr>
        <w:instrText xml:space="preserve"> PAGEREF _Toc256000026 \h </w:instrText>
      </w:r>
      <w:r>
        <w:fldChar w:fldCharType="separate"/>
      </w:r>
      <w:r>
        <w:rPr>
          <w:rStyle w:val="Hyperlink"/>
        </w:rPr>
        <w:t>37</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"_Toc256000027" </w:instrText>
      </w:r>
      <w:r>
        <w:fldChar w:fldCharType="separate"/>
      </w:r>
      <w:r>
        <w:rPr>
          <w:rStyle w:val="Hyperlink"/>
          <w:rFonts w:hint="eastAsia"/>
        </w:rPr>
        <w:t>五、实质性条款</w:t>
      </w:r>
      <w:r>
        <w:rPr>
          <w:rStyle w:val="Hyperlink"/>
        </w:rPr>
        <w:tab/>
      </w:r>
      <w:r>
        <w:fldChar w:fldCharType="begin"/>
      </w:r>
      <w:r>
        <w:rPr>
          <w:rStyle w:val="Hyperlink"/>
        </w:rPr>
        <w:instrText xml:space="preserve"> PAGEREF _Toc256000027 \h </w:instrText>
      </w:r>
      <w:r>
        <w:fldChar w:fldCharType="separate"/>
      </w:r>
      <w:r>
        <w:rPr>
          <w:rStyle w:val="Hyperlink"/>
        </w:rPr>
        <w:t>40</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"_Toc256000028" </w:instrText>
      </w:r>
      <w:r>
        <w:fldChar w:fldCharType="separate"/>
      </w:r>
      <w:r>
        <w:rPr>
          <w:rStyle w:val="Hyperlink"/>
          <w:rFonts w:hint="eastAsia"/>
        </w:rPr>
        <w:t>第四章  合同条款及格式</w:t>
      </w:r>
      <w:r>
        <w:rPr>
          <w:rStyle w:val="Hyperlink"/>
        </w:rPr>
        <w:tab/>
      </w:r>
      <w:r>
        <w:fldChar w:fldCharType="begin"/>
      </w:r>
      <w:r>
        <w:rPr>
          <w:rStyle w:val="Hyperlink"/>
        </w:rPr>
        <w:instrText xml:space="preserve"> PAGEREF _Toc256000028 \h </w:instrText>
      </w:r>
      <w:r>
        <w:fldChar w:fldCharType="separate"/>
      </w:r>
      <w:r>
        <w:rPr>
          <w:rStyle w:val="Hyperlink"/>
        </w:rPr>
        <w:t>41</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"_Toc256000029" </w:instrText>
      </w:r>
      <w:r>
        <w:fldChar w:fldCharType="separate"/>
      </w:r>
      <w:r>
        <w:rPr>
          <w:rStyle w:val="Hyperlink"/>
          <w:rFonts w:hint="eastAsia"/>
        </w:rPr>
        <w:t>第五章  投标文件的格式、附件</w:t>
      </w:r>
      <w:r>
        <w:rPr>
          <w:rStyle w:val="Hyperlink"/>
        </w:rPr>
        <w:tab/>
      </w:r>
      <w:r>
        <w:fldChar w:fldCharType="begin"/>
      </w:r>
      <w:r>
        <w:rPr>
          <w:rStyle w:val="Hyperlink"/>
        </w:rPr>
        <w:instrText xml:space="preserve"> PAGEREF _Toc256000029 \h </w:instrText>
      </w:r>
      <w:r>
        <w:fldChar w:fldCharType="separate"/>
      </w:r>
      <w:r>
        <w:rPr>
          <w:rStyle w:val="Hyperlink"/>
        </w:rPr>
        <w:t>46</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"_Toc256000030" </w:instrText>
      </w:r>
      <w:r>
        <w:fldChar w:fldCharType="separate"/>
      </w:r>
      <w:r>
        <w:rPr>
          <w:rStyle w:val="Hyperlink"/>
          <w:rFonts w:hint="eastAsia"/>
        </w:rPr>
        <w:t>信息公开部分</w:t>
      </w:r>
      <w:r>
        <w:rPr>
          <w:rStyle w:val="Hyperlink"/>
        </w:rPr>
        <w:tab/>
      </w:r>
      <w:r>
        <w:fldChar w:fldCharType="begin"/>
      </w:r>
      <w:r>
        <w:rPr>
          <w:rStyle w:val="Hyperlink"/>
        </w:rPr>
        <w:instrText xml:space="preserve"> PAGEREF _Toc256000030 \h </w:instrText>
      </w:r>
      <w:r>
        <w:fldChar w:fldCharType="separate"/>
      </w:r>
      <w:r>
        <w:rPr>
          <w:rStyle w:val="Hyperlink"/>
        </w:rPr>
        <w:t>48</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"_Toc256000031" </w:instrText>
      </w:r>
      <w:r>
        <w:fldChar w:fldCharType="separate"/>
      </w:r>
      <w:r>
        <w:rPr>
          <w:rStyle w:val="Hyperlink"/>
          <w:rFonts w:hint="eastAsia"/>
        </w:rPr>
        <w:t>一、投标函</w:t>
      </w:r>
      <w:r>
        <w:rPr>
          <w:rStyle w:val="Hyperlink"/>
        </w:rPr>
        <w:tab/>
      </w:r>
      <w:r>
        <w:fldChar w:fldCharType="begin"/>
      </w:r>
      <w:r>
        <w:rPr>
          <w:rStyle w:val="Hyperlink"/>
        </w:rPr>
        <w:instrText xml:space="preserve"> PAGEREF _Toc256000031 \h </w:instrText>
      </w:r>
      <w:r>
        <w:fldChar w:fldCharType="separate"/>
      </w:r>
      <w:r>
        <w:rPr>
          <w:rStyle w:val="Hyperlink"/>
        </w:rPr>
        <w:t>48</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"_Toc256000032" </w:instrText>
      </w:r>
      <w:r>
        <w:fldChar w:fldCharType="separate"/>
      </w:r>
      <w:r>
        <w:rPr>
          <w:rStyle w:val="Hyperlink"/>
          <w:rFonts w:hint="eastAsia"/>
        </w:rPr>
        <w:t>二、</w:t>
      </w:r>
      <w:r>
        <w:rPr>
          <w:rStyle w:val="Hyperlink"/>
          <w:rFonts w:ascii="宋体" w:hAnsi="宋体" w:cs="宋体" w:hint="eastAsia"/>
          <w:kern w:val="0"/>
        </w:rPr>
        <w:t>政府采购投标及履约承诺函</w:t>
      </w:r>
      <w:r>
        <w:rPr>
          <w:rStyle w:val="Hyperlink"/>
        </w:rPr>
        <w:tab/>
      </w:r>
      <w:r>
        <w:fldChar w:fldCharType="begin"/>
      </w:r>
      <w:r>
        <w:rPr>
          <w:rStyle w:val="Hyperlink"/>
        </w:rPr>
        <w:instrText xml:space="preserve"> PAGEREF _Toc256000032 \h </w:instrText>
      </w:r>
      <w:r>
        <w:fldChar w:fldCharType="separate"/>
      </w:r>
      <w:r>
        <w:rPr>
          <w:rStyle w:val="Hyperlink"/>
        </w:rPr>
        <w:t>49</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"_Toc256000033" </w:instrText>
      </w:r>
      <w:r>
        <w:fldChar w:fldCharType="separate"/>
      </w:r>
      <w:r>
        <w:rPr>
          <w:rStyle w:val="Hyperlink"/>
          <w:rFonts w:ascii="Arial" w:eastAsia="黑体" w:hAnsi="Arial" w:hint="eastAsia"/>
          <w:b/>
          <w:bCs/>
        </w:rPr>
        <w:t>三、供应商情况介绍</w:t>
      </w:r>
      <w:r>
        <w:rPr>
          <w:rStyle w:val="Hyperlink"/>
          <w:rFonts w:ascii="Arial" w:eastAsia="黑体" w:hAnsi="Arial" w:hint="eastAsia"/>
          <w:b/>
          <w:bCs/>
        </w:rPr>
        <w:t>及相关资格资质</w:t>
      </w:r>
      <w:r>
        <w:rPr>
          <w:rStyle w:val="Hyperlink"/>
        </w:rPr>
        <w:tab/>
      </w:r>
      <w:r>
        <w:fldChar w:fldCharType="begin"/>
      </w:r>
      <w:r>
        <w:rPr>
          <w:rStyle w:val="Hyperlink"/>
        </w:rPr>
        <w:instrText xml:space="preserve"> PAGEREF _Toc256000033 \h </w:instrText>
      </w:r>
      <w:r>
        <w:fldChar w:fldCharType="separate"/>
      </w:r>
      <w:r>
        <w:rPr>
          <w:rStyle w:val="Hyperlink"/>
        </w:rPr>
        <w:t>50</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"_Toc256000034" </w:instrText>
      </w:r>
      <w:r>
        <w:fldChar w:fldCharType="separate"/>
      </w:r>
      <w:r>
        <w:rPr>
          <w:rStyle w:val="Hyperlink"/>
          <w:rFonts w:hint="eastAsia"/>
        </w:rPr>
        <w:t>四、项目报价表</w:t>
      </w:r>
      <w:r>
        <w:rPr>
          <w:rStyle w:val="Hyperlink"/>
        </w:rPr>
        <w:tab/>
      </w:r>
      <w:r>
        <w:fldChar w:fldCharType="begin"/>
      </w:r>
      <w:r>
        <w:rPr>
          <w:rStyle w:val="Hyperlink"/>
        </w:rPr>
        <w:instrText xml:space="preserve"> PAGEREF _Toc256000034 \h </w:instrText>
      </w:r>
      <w:r>
        <w:fldChar w:fldCharType="separate"/>
      </w:r>
      <w:r>
        <w:rPr>
          <w:rStyle w:val="Hyperlink"/>
        </w:rPr>
        <w:t>53</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"_Toc256000035" </w:instrText>
      </w:r>
      <w:r>
        <w:fldChar w:fldCharType="separate"/>
      </w:r>
      <w:r>
        <w:rPr>
          <w:rStyle w:val="Hyperlink"/>
          <w:rFonts w:hint="eastAsia"/>
        </w:rPr>
        <w:t>五、</w:t>
      </w:r>
      <w:r>
        <w:rPr>
          <w:rStyle w:val="Hyperlink"/>
          <w:rFonts w:hint="eastAsia"/>
        </w:rPr>
        <w:t>应急医疗服务点（格式自定）</w:t>
      </w:r>
      <w:r>
        <w:rPr>
          <w:rStyle w:val="Hyperlink"/>
        </w:rPr>
        <w:tab/>
      </w:r>
      <w:r>
        <w:fldChar w:fldCharType="begin"/>
      </w:r>
      <w:r>
        <w:rPr>
          <w:rStyle w:val="Hyperlink"/>
        </w:rPr>
        <w:instrText xml:space="preserve"> PAGEREF _Toc256000035 \h </w:instrText>
      </w:r>
      <w:r>
        <w:fldChar w:fldCharType="separate"/>
      </w:r>
      <w:r>
        <w:rPr>
          <w:rStyle w:val="Hyperlink"/>
        </w:rPr>
        <w:t>54</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"_Toc256000036" </w:instrText>
      </w:r>
      <w:r>
        <w:fldChar w:fldCharType="separate"/>
      </w:r>
      <w:r>
        <w:rPr>
          <w:rStyle w:val="Hyperlink"/>
          <w:rFonts w:hint="eastAsia"/>
        </w:rPr>
        <w:t>六、</w:t>
      </w:r>
      <w:r>
        <w:rPr>
          <w:rStyle w:val="Hyperlink"/>
          <w:rFonts w:hint="eastAsia"/>
        </w:rPr>
        <w:t>拟安排的项目负责人情况（仅限一人）（格式自定）</w:t>
      </w:r>
      <w:r>
        <w:rPr>
          <w:rStyle w:val="Hyperlink"/>
        </w:rPr>
        <w:tab/>
      </w:r>
      <w:r>
        <w:fldChar w:fldCharType="begin"/>
      </w:r>
      <w:r>
        <w:rPr>
          <w:rStyle w:val="Hyperlink"/>
        </w:rPr>
        <w:instrText xml:space="preserve"> PAGEREF _Toc256000036 \h </w:instrText>
      </w:r>
      <w:r>
        <w:fldChar w:fldCharType="separate"/>
      </w:r>
      <w:r>
        <w:rPr>
          <w:rStyle w:val="Hyperlink"/>
        </w:rPr>
        <w:t>54</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"_Toc256000037" </w:instrText>
      </w:r>
      <w:r>
        <w:fldChar w:fldCharType="separate"/>
      </w:r>
      <w:r>
        <w:rPr>
          <w:rStyle w:val="Hyperlink"/>
          <w:rFonts w:hint="eastAsia"/>
        </w:rPr>
        <w:t>七、</w:t>
      </w:r>
      <w:r>
        <w:rPr>
          <w:rStyle w:val="Hyperlink"/>
          <w:rFonts w:hint="eastAsia"/>
        </w:rPr>
        <w:t>拟安排的项目主要团队成员（主要技术人员）情况（项目负责人除外）（格式自定）</w:t>
      </w:r>
      <w:r>
        <w:rPr>
          <w:rStyle w:val="Hyperlink"/>
        </w:rPr>
        <w:tab/>
      </w:r>
      <w:r>
        <w:fldChar w:fldCharType="begin"/>
      </w:r>
      <w:r>
        <w:rPr>
          <w:rStyle w:val="Hyperlink"/>
        </w:rPr>
        <w:instrText xml:space="preserve"> PAGEREF _Toc256000037 \h </w:instrText>
      </w:r>
      <w:r>
        <w:fldChar w:fldCharType="separate"/>
      </w:r>
      <w:r>
        <w:rPr>
          <w:rStyle w:val="Hyperlink"/>
        </w:rPr>
        <w:t>54</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"_Toc256000038" </w:instrText>
      </w:r>
      <w:r>
        <w:fldChar w:fldCharType="separate"/>
      </w:r>
      <w:r>
        <w:rPr>
          <w:rStyle w:val="Hyperlink"/>
          <w:rFonts w:hint="eastAsia"/>
        </w:rPr>
        <w:t>八、</w:t>
      </w:r>
      <w:r>
        <w:rPr>
          <w:rStyle w:val="Hyperlink"/>
          <w:rFonts w:hint="eastAsia"/>
        </w:rPr>
        <w:t>项目拟使用的车辆、场地、工具、机器等情况（格式自定）</w:t>
      </w:r>
      <w:r>
        <w:rPr>
          <w:rStyle w:val="Hyperlink"/>
        </w:rPr>
        <w:tab/>
      </w:r>
      <w:r>
        <w:fldChar w:fldCharType="begin"/>
      </w:r>
      <w:r>
        <w:rPr>
          <w:rStyle w:val="Hyperlink"/>
        </w:rPr>
        <w:instrText xml:space="preserve"> PAGEREF _Toc256000038 \h </w:instrText>
      </w:r>
      <w:r>
        <w:fldChar w:fldCharType="separate"/>
      </w:r>
      <w:r>
        <w:rPr>
          <w:rStyle w:val="Hyperlink"/>
        </w:rPr>
        <w:t>54</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"_Toc256000039" </w:instrText>
      </w:r>
      <w:r>
        <w:fldChar w:fldCharType="separate"/>
      </w:r>
      <w:r>
        <w:rPr>
          <w:rStyle w:val="Hyperlink"/>
          <w:rFonts w:hint="eastAsia"/>
        </w:rPr>
        <w:t>九、</w:t>
      </w:r>
      <w:r>
        <w:rPr>
          <w:rStyle w:val="Hyperlink"/>
          <w:rFonts w:hint="eastAsia"/>
        </w:rPr>
        <w:t>投标人认为需要加以说明的其他内容（公开部分）（格式自定）</w:t>
      </w:r>
      <w:r>
        <w:rPr>
          <w:rStyle w:val="Hyperlink"/>
        </w:rPr>
        <w:tab/>
      </w:r>
      <w:r>
        <w:fldChar w:fldCharType="begin"/>
      </w:r>
      <w:r>
        <w:rPr>
          <w:rStyle w:val="Hyperlink"/>
        </w:rPr>
        <w:instrText xml:space="preserve"> PAGEREF _Toc256000039 \h </w:instrText>
      </w:r>
      <w:r>
        <w:fldChar w:fldCharType="separate"/>
      </w:r>
      <w:r>
        <w:rPr>
          <w:rStyle w:val="Hyperlink"/>
        </w:rPr>
        <w:t>54</w:t>
      </w:r>
      <w:r>
        <w:fldChar w:fldCharType="end"/>
      </w:r>
      <w:r>
        <w:fldChar w:fldCharType="end"/>
      </w:r>
    </w:p>
    <w:p>
      <w:pPr>
        <w:pStyle w:val="TOC2"/>
        <w:tabs>
          <w:tab w:val="right" w:leader="dot" w:pos="9016"/>
        </w:tabs>
        <w:rPr>
          <w:rFonts w:asciiTheme="minorHAnsi" w:hAnsiTheme="minorHAnsi"/>
          <w:noProof/>
          <w:sz w:val="22"/>
        </w:rPr>
      </w:pPr>
      <w:r>
        <w:fldChar w:fldCharType="begin"/>
      </w:r>
      <w:r>
        <w:rPr>
          <w:rStyle w:val="Hyperlink"/>
        </w:rPr>
        <w:instrText xml:space="preserve"> HYPERLINK \l "_Toc256000040" </w:instrText>
      </w:r>
      <w:r>
        <w:fldChar w:fldCharType="separate"/>
      </w:r>
      <w:r>
        <w:rPr>
          <w:rStyle w:val="Hyperlink"/>
          <w:rFonts w:hint="eastAsia"/>
        </w:rPr>
        <w:t>信息不公开部分</w:t>
      </w:r>
      <w:r>
        <w:rPr>
          <w:rStyle w:val="Hyperlink"/>
        </w:rPr>
        <w:tab/>
      </w:r>
      <w:r>
        <w:fldChar w:fldCharType="begin"/>
      </w:r>
      <w:r>
        <w:rPr>
          <w:rStyle w:val="Hyperlink"/>
        </w:rPr>
        <w:instrText xml:space="preserve"> PAGEREF _Toc256000040 \h </w:instrText>
      </w:r>
      <w:r>
        <w:fldChar w:fldCharType="separate"/>
      </w:r>
      <w:r>
        <w:rPr>
          <w:rStyle w:val="Hyperlink"/>
        </w:rPr>
        <w:t>55</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"_Toc256000041" </w:instrText>
      </w:r>
      <w:r>
        <w:fldChar w:fldCharType="separate"/>
      </w:r>
      <w:r>
        <w:rPr>
          <w:rStyle w:val="Hyperlink"/>
          <w:rFonts w:ascii="宋体" w:hAnsi="宋体" w:cs="宋体" w:hint="eastAsia"/>
          <w:kern w:val="0"/>
        </w:rPr>
        <w:t>一、法定代表人（单位负责人）证明书</w:t>
      </w:r>
      <w:r>
        <w:rPr>
          <w:rStyle w:val="Hyperlink"/>
        </w:rPr>
        <w:tab/>
      </w:r>
      <w:r>
        <w:fldChar w:fldCharType="begin"/>
      </w:r>
      <w:r>
        <w:rPr>
          <w:rStyle w:val="Hyperlink"/>
        </w:rPr>
        <w:instrText xml:space="preserve"> PAGEREF _Toc256000041 \h </w:instrText>
      </w:r>
      <w:r>
        <w:fldChar w:fldCharType="separate"/>
      </w:r>
      <w:r>
        <w:rPr>
          <w:rStyle w:val="Hyperlink"/>
        </w:rPr>
        <w:t>55</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"_Toc256000044" </w:instrText>
      </w:r>
      <w:r>
        <w:fldChar w:fldCharType="separate"/>
      </w:r>
      <w:r>
        <w:rPr>
          <w:rStyle w:val="Hyperlink"/>
          <w:rFonts w:ascii="宋体" w:hAnsi="宋体" w:cs="宋体" w:hint="eastAsia"/>
          <w:kern w:val="0"/>
        </w:rPr>
        <w:t>二、授权委托书</w:t>
      </w:r>
      <w:r>
        <w:rPr>
          <w:rStyle w:val="Hyperlink"/>
        </w:rPr>
        <w:tab/>
      </w:r>
      <w:r>
        <w:fldChar w:fldCharType="begin"/>
      </w:r>
      <w:r>
        <w:rPr>
          <w:rStyle w:val="Hyperlink"/>
        </w:rPr>
        <w:instrText xml:space="preserve"> PAGEREF _Toc256000044 \h </w:instrText>
      </w:r>
      <w:r>
        <w:fldChar w:fldCharType="separate"/>
      </w:r>
      <w:r>
        <w:rPr>
          <w:rStyle w:val="Hyperlink"/>
        </w:rPr>
        <w:t>56</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"_Toc256000045" </w:instrText>
      </w:r>
      <w:r>
        <w:fldChar w:fldCharType="separate"/>
      </w:r>
      <w:r>
        <w:rPr>
          <w:rStyle w:val="Hyperlink"/>
          <w:rFonts w:ascii="宋体" w:hAnsi="宋体" w:cs="宋体" w:hint="eastAsia"/>
          <w:b/>
          <w:bCs/>
        </w:rPr>
        <w:t>三、</w:t>
      </w:r>
      <w:r>
        <w:rPr>
          <w:rStyle w:val="Hyperlink"/>
          <w:rFonts w:ascii="宋体" w:hAnsi="宋体" w:cs="宋体" w:hint="eastAsia"/>
          <w:b/>
          <w:bCs/>
        </w:rPr>
        <w:t>供应商基本情况表</w:t>
      </w:r>
      <w:r>
        <w:rPr>
          <w:rStyle w:val="Hyperlink"/>
        </w:rPr>
        <w:tab/>
      </w:r>
      <w:r>
        <w:fldChar w:fldCharType="begin"/>
      </w:r>
      <w:r>
        <w:rPr>
          <w:rStyle w:val="Hyperlink"/>
        </w:rPr>
        <w:instrText xml:space="preserve"> PAGEREF _Toc256000045 \h </w:instrText>
      </w:r>
      <w:r>
        <w:fldChar w:fldCharType="separate"/>
      </w:r>
      <w:r>
        <w:rPr>
          <w:rStyle w:val="Hyperlink"/>
        </w:rPr>
        <w:t>57</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"_Toc256000046" </w:instrText>
      </w:r>
      <w:r>
        <w:fldChar w:fldCharType="separate"/>
      </w:r>
      <w:r>
        <w:rPr>
          <w:rStyle w:val="Hyperlink"/>
          <w:rFonts w:ascii="宋体" w:hAnsi="宋体" w:cs="宋体" w:hint="eastAsia"/>
          <w:kern w:val="0"/>
        </w:rPr>
        <w:t>四、</w:t>
      </w:r>
      <w:r>
        <w:rPr>
          <w:rStyle w:val="Hyperlink"/>
          <w:rFonts w:ascii="宋体" w:hAnsi="宋体" w:cs="宋体" w:hint="eastAsia"/>
          <w:kern w:val="0"/>
        </w:rPr>
        <w:t>实质性条款响应情况表</w:t>
      </w:r>
      <w:r>
        <w:rPr>
          <w:rStyle w:val="Hyperlink"/>
        </w:rPr>
        <w:tab/>
      </w:r>
      <w:r>
        <w:fldChar w:fldCharType="begin"/>
      </w:r>
      <w:r>
        <w:rPr>
          <w:rStyle w:val="Hyperlink"/>
        </w:rPr>
        <w:instrText xml:space="preserve"> PAGEREF _Toc256000046 \h </w:instrText>
      </w:r>
      <w:r>
        <w:fldChar w:fldCharType="separate"/>
      </w:r>
      <w:r>
        <w:rPr>
          <w:rStyle w:val="Hyperlink"/>
        </w:rPr>
        <w:t>58</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"_Toc256000047" </w:instrText>
      </w:r>
      <w:r>
        <w:fldChar w:fldCharType="separate"/>
      </w:r>
      <w:r>
        <w:rPr>
          <w:rStyle w:val="Hyperlink"/>
          <w:rFonts w:ascii="黑体" w:hAnsi="黑体" w:hint="eastAsia"/>
          <w:b/>
          <w:bCs/>
        </w:rPr>
        <w:t>五、项目需求偏离表</w:t>
      </w:r>
      <w:r>
        <w:rPr>
          <w:rStyle w:val="Hyperlink"/>
        </w:rPr>
        <w:tab/>
      </w:r>
      <w:r>
        <w:fldChar w:fldCharType="begin"/>
      </w:r>
      <w:r>
        <w:rPr>
          <w:rStyle w:val="Hyperlink"/>
        </w:rPr>
        <w:instrText xml:space="preserve"> PAGEREF _Toc256000047 \h </w:instrText>
      </w:r>
      <w:r>
        <w:fldChar w:fldCharType="separate"/>
      </w:r>
      <w:r>
        <w:rPr>
          <w:rStyle w:val="Hyperlink"/>
        </w:rPr>
        <w:t>59</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"_Toc256000048" </w:instrText>
      </w:r>
      <w:r>
        <w:fldChar w:fldCharType="separate"/>
      </w:r>
      <w:r>
        <w:rPr>
          <w:rStyle w:val="Hyperlink"/>
          <w:rFonts w:ascii="黑体" w:hAnsi="黑体" w:hint="eastAsia"/>
          <w:b/>
          <w:bCs/>
        </w:rPr>
        <w:t>六、政府采购违法行为风险知悉确认书</w:t>
      </w:r>
      <w:r>
        <w:rPr>
          <w:rStyle w:val="Hyperlink"/>
        </w:rPr>
        <w:tab/>
      </w:r>
      <w:r>
        <w:fldChar w:fldCharType="begin"/>
      </w:r>
      <w:r>
        <w:rPr>
          <w:rStyle w:val="Hyperlink"/>
        </w:rPr>
        <w:instrText xml:space="preserve"> PAGEREF _Toc256000048 \h </w:instrText>
      </w:r>
      <w:r>
        <w:fldChar w:fldCharType="separate"/>
      </w:r>
      <w:r>
        <w:rPr>
          <w:rStyle w:val="Hyperlink"/>
        </w:rPr>
        <w:t>60</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"_Toc256000049" </w:instrText>
      </w:r>
      <w:r>
        <w:fldChar w:fldCharType="separate"/>
      </w:r>
      <w:r>
        <w:rPr>
          <w:rStyle w:val="Hyperlink"/>
          <w:rFonts w:ascii="Arial" w:eastAsia="黑体" w:hAnsi="Arial" w:hint="eastAsia"/>
        </w:rPr>
        <w:t>七、知识产权合规性承诺</w:t>
      </w:r>
      <w:r>
        <w:rPr>
          <w:rStyle w:val="Hyperlink"/>
        </w:rPr>
        <w:tab/>
      </w:r>
      <w:r>
        <w:fldChar w:fldCharType="begin"/>
      </w:r>
      <w:r>
        <w:rPr>
          <w:rStyle w:val="Hyperlink"/>
        </w:rPr>
        <w:instrText xml:space="preserve"> PAGEREF _Toc256000049 \h </w:instrText>
      </w:r>
      <w:r>
        <w:fldChar w:fldCharType="separate"/>
      </w:r>
      <w:r>
        <w:rPr>
          <w:rStyle w:val="Hyperlink"/>
        </w:rPr>
        <w:t>62</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"_Toc256000050" </w:instrText>
      </w:r>
      <w:r>
        <w:fldChar w:fldCharType="separate"/>
      </w:r>
      <w:r>
        <w:rPr>
          <w:rStyle w:val="Hyperlink"/>
          <w:rFonts w:ascii="黑体" w:eastAsia="黑体" w:hAnsi="黑体" w:cs="黑体" w:hint="eastAsia"/>
        </w:rPr>
        <w:t>八、</w:t>
      </w:r>
      <w:r>
        <w:rPr>
          <w:rStyle w:val="Hyperlink"/>
          <w:rFonts w:ascii="黑体" w:eastAsia="黑体" w:hAnsi="黑体" w:cs="黑体" w:hint="eastAsia"/>
        </w:rPr>
        <w:t>实施方案（格式自定）</w:t>
      </w:r>
      <w:r>
        <w:rPr>
          <w:rStyle w:val="Hyperlink"/>
        </w:rPr>
        <w:tab/>
      </w:r>
      <w:r>
        <w:fldChar w:fldCharType="begin"/>
      </w:r>
      <w:r>
        <w:rPr>
          <w:rStyle w:val="Hyperlink"/>
        </w:rPr>
        <w:instrText xml:space="preserve"> PAGEREF _Toc256000050 \h </w:instrText>
      </w:r>
      <w:r>
        <w:fldChar w:fldCharType="separate"/>
      </w:r>
      <w:r>
        <w:rPr>
          <w:rStyle w:val="Hyperlink"/>
        </w:rPr>
        <w:t>63</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"_Toc256000051" </w:instrText>
      </w:r>
      <w:r>
        <w:fldChar w:fldCharType="separate"/>
      </w:r>
      <w:r>
        <w:rPr>
          <w:rStyle w:val="Hyperlink"/>
          <w:rFonts w:ascii="黑体" w:eastAsia="黑体" w:hAnsi="黑体" w:cs="黑体" w:hint="eastAsia"/>
        </w:rPr>
        <w:t>九、</w:t>
      </w:r>
      <w:r>
        <w:rPr>
          <w:rStyle w:val="Hyperlink"/>
          <w:rFonts w:ascii="黑体" w:eastAsia="黑体" w:hAnsi="黑体" w:cs="黑体" w:hint="eastAsia"/>
        </w:rPr>
        <w:t>项目重点难点分析、应对措施及相关的合理化建议（格式自定）</w:t>
      </w:r>
      <w:r>
        <w:rPr>
          <w:rStyle w:val="Hyperlink"/>
        </w:rPr>
        <w:tab/>
      </w:r>
      <w:r>
        <w:fldChar w:fldCharType="begin"/>
      </w:r>
      <w:r>
        <w:rPr>
          <w:rStyle w:val="Hyperlink"/>
        </w:rPr>
        <w:instrText xml:space="preserve"> PAGEREF _Toc256000051 \h </w:instrText>
      </w:r>
      <w:r>
        <w:fldChar w:fldCharType="separate"/>
      </w:r>
      <w:r>
        <w:rPr>
          <w:rStyle w:val="Hyperlink"/>
        </w:rPr>
        <w:t>63</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"_Toc256000052" </w:instrText>
      </w:r>
      <w:r>
        <w:fldChar w:fldCharType="separate"/>
      </w:r>
      <w:r>
        <w:rPr>
          <w:rStyle w:val="Hyperlink"/>
          <w:rFonts w:ascii="黑体" w:eastAsia="黑体" w:hAnsi="黑体" w:cs="黑体" w:hint="eastAsia"/>
        </w:rPr>
        <w:t>十、</w:t>
      </w:r>
      <w:r>
        <w:rPr>
          <w:rStyle w:val="Hyperlink"/>
          <w:rFonts w:ascii="黑体" w:eastAsia="黑体" w:hAnsi="黑体" w:cs="黑体" w:hint="eastAsia"/>
        </w:rPr>
        <w:t>质量（完成时间、安全、环保）保障措施及方案（格式自定）</w:t>
      </w:r>
      <w:r>
        <w:rPr>
          <w:rStyle w:val="Hyperlink"/>
        </w:rPr>
        <w:tab/>
      </w:r>
      <w:r>
        <w:fldChar w:fldCharType="begin"/>
      </w:r>
      <w:r>
        <w:rPr>
          <w:rStyle w:val="Hyperlink"/>
        </w:rPr>
        <w:instrText xml:space="preserve"> PAGEREF _Toc256000052 \h </w:instrText>
      </w:r>
      <w:r>
        <w:fldChar w:fldCharType="separate"/>
      </w:r>
      <w:r>
        <w:rPr>
          <w:rStyle w:val="Hyperlink"/>
        </w:rPr>
        <w:t>63</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"_Toc256000053" </w:instrText>
      </w:r>
      <w:r>
        <w:fldChar w:fldCharType="separate"/>
      </w:r>
      <w:r>
        <w:rPr>
          <w:rStyle w:val="Hyperlink"/>
          <w:rFonts w:ascii="黑体" w:eastAsia="黑体" w:hAnsi="黑体" w:cs="黑体" w:hint="eastAsia"/>
        </w:rPr>
        <w:t>十一、</w:t>
      </w:r>
      <w:r>
        <w:rPr>
          <w:rStyle w:val="Hyperlink"/>
          <w:rFonts w:ascii="黑体" w:eastAsia="黑体" w:hAnsi="黑体" w:cs="黑体" w:hint="eastAsia"/>
        </w:rPr>
        <w:t>项目完成（服务期满）后的服务承诺（格式自定）</w:t>
      </w:r>
      <w:r>
        <w:rPr>
          <w:rStyle w:val="Hyperlink"/>
        </w:rPr>
        <w:tab/>
      </w:r>
      <w:r>
        <w:fldChar w:fldCharType="begin"/>
      </w:r>
      <w:r>
        <w:rPr>
          <w:rStyle w:val="Hyperlink"/>
        </w:rPr>
        <w:instrText xml:space="preserve"> PAGEREF _Toc256000053 \h </w:instrText>
      </w:r>
      <w:r>
        <w:fldChar w:fldCharType="separate"/>
      </w:r>
      <w:r>
        <w:rPr>
          <w:rStyle w:val="Hyperlink"/>
        </w:rPr>
        <w:t>63</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"_Toc256000054" </w:instrText>
      </w:r>
      <w:r>
        <w:fldChar w:fldCharType="separate"/>
      </w:r>
      <w:r>
        <w:rPr>
          <w:rStyle w:val="Hyperlink"/>
          <w:rFonts w:ascii="黑体" w:eastAsia="黑体" w:hAnsi="黑体" w:cs="黑体" w:hint="eastAsia"/>
        </w:rPr>
        <w:t>十二、</w:t>
      </w:r>
      <w:r>
        <w:rPr>
          <w:rStyle w:val="Hyperlink"/>
          <w:rFonts w:ascii="黑体" w:eastAsia="黑体" w:hAnsi="黑体" w:cs="黑体" w:hint="eastAsia"/>
        </w:rPr>
        <w:t>违约承诺（格式自定）</w:t>
      </w:r>
      <w:r>
        <w:rPr>
          <w:rStyle w:val="Hyperlink"/>
        </w:rPr>
        <w:tab/>
      </w:r>
      <w:r>
        <w:fldChar w:fldCharType="begin"/>
      </w:r>
      <w:r>
        <w:rPr>
          <w:rStyle w:val="Hyperlink"/>
        </w:rPr>
        <w:instrText xml:space="preserve"> PAGEREF _Toc256000054 \h </w:instrText>
      </w:r>
      <w:r>
        <w:fldChar w:fldCharType="separate"/>
      </w:r>
      <w:r>
        <w:rPr>
          <w:rStyle w:val="Hyperlink"/>
        </w:rPr>
        <w:t>63</w:t>
      </w:r>
      <w:r>
        <w:fldChar w:fldCharType="end"/>
      </w:r>
      <w:r>
        <w:fldChar w:fldCharType="end"/>
      </w:r>
    </w:p>
    <w:p>
      <w:pPr>
        <w:pStyle w:val="TOC3"/>
        <w:tabs>
          <w:tab w:val="right" w:leader="dot" w:pos="9016"/>
        </w:tabs>
        <w:rPr>
          <w:rFonts w:asciiTheme="minorHAnsi" w:hAnsiTheme="minorHAnsi"/>
          <w:noProof/>
          <w:sz w:val="22"/>
        </w:rPr>
      </w:pPr>
      <w:r>
        <w:fldChar w:fldCharType="begin"/>
      </w:r>
      <w:r>
        <w:rPr>
          <w:rStyle w:val="Hyperlink"/>
        </w:rPr>
        <w:instrText xml:space="preserve"> HYPERLINK \l "_Toc256000055" </w:instrText>
      </w:r>
      <w:r>
        <w:fldChar w:fldCharType="separate"/>
      </w:r>
      <w:r>
        <w:rPr>
          <w:rStyle w:val="Hyperlink"/>
          <w:rFonts w:ascii="黑体" w:eastAsia="黑体" w:hAnsi="黑体" w:cs="黑体" w:hint="eastAsia"/>
        </w:rPr>
        <w:t>十三、</w:t>
      </w:r>
      <w:r>
        <w:rPr>
          <w:rStyle w:val="Hyperlink"/>
          <w:rFonts w:ascii="黑体" w:eastAsia="黑体" w:hAnsi="黑体" w:cs="黑体" w:hint="eastAsia"/>
        </w:rPr>
        <w:t>投标人认为需要加以说明的其他内容（非公开部分）（格式自定）</w:t>
      </w:r>
      <w:r>
        <w:rPr>
          <w:rStyle w:val="Hyperlink"/>
        </w:rPr>
        <w:tab/>
      </w:r>
      <w:r>
        <w:fldChar w:fldCharType="begin"/>
      </w:r>
      <w:r>
        <w:rPr>
          <w:rStyle w:val="Hyperlink"/>
        </w:rPr>
        <w:instrText xml:space="preserve"> PAGEREF _Toc256000055 \h </w:instrText>
      </w:r>
      <w:r>
        <w:fldChar w:fldCharType="separate"/>
      </w:r>
      <w:r>
        <w:rPr>
          <w:rStyle w:val="Hyperlink"/>
        </w:rPr>
        <w:t>63</w:t>
      </w:r>
      <w:r>
        <w:fldChar w:fldCharType="end"/>
      </w:r>
      <w:r>
        <w:fldChar w:fldCharType="end"/>
      </w:r>
    </w:p>
    <w:p>
      <w:pPr>
        <w:spacing w:line="360" w:lineRule="auto"/>
        <w:ind w:firstLine="420" w:firstLineChars="200"/>
        <w:jc w:val="left"/>
      </w:pPr>
      <w:r>
        <w:fldChar w:fldCharType="end"/>
      </w:r>
    </w:p>
    <w:p>
      <w:pPr>
        <w:pStyle w:val="Heading1"/>
      </w:pPr>
      <w:bookmarkStart w:id="1" w:name="_Toc75268214"/>
      <w:r>
        <w:rPr>
          <w:rFonts w:hint="eastAsia"/>
          <w:b/>
          <w:color w:val="FF0000"/>
          <w:sz w:val="32"/>
          <w:szCs w:val="32"/>
        </w:rPr>
        <w:br w:type="page"/>
      </w:r>
      <w:bookmarkEnd w:id="1"/>
      <w:bookmarkStart w:id="2" w:name="_Toc25453"/>
      <w:bookmarkStart w:id="3" w:name="_Toc6428"/>
      <w:bookmarkStart w:id="4" w:name="_Toc27595"/>
      <w:bookmarkStart w:id="5" w:name="_Toc17858"/>
      <w:bookmarkStart w:id="6" w:name="_Toc256000001"/>
      <w:r>
        <w:rPr>
          <w:rFonts w:hint="eastAsia"/>
          <w:b/>
          <w:bCs/>
          <w:color w:val="FF0000"/>
          <w:sz w:val="32"/>
          <w:szCs w:val="32"/>
        </w:rPr>
        <w:t>特别警示条款</w:t>
      </w:r>
      <w:bookmarkEnd w:id="6"/>
      <w:bookmarkEnd w:id="2"/>
      <w:bookmarkEnd w:id="3"/>
      <w:bookmarkEnd w:id="4"/>
      <w:bookmarkEnd w:id="5"/>
    </w:p>
    <w:p>
      <w:pPr>
        <w:autoSpaceDE w:val="0"/>
        <w:autoSpaceDN w:val="0"/>
        <w:adjustRightInd w:val="0"/>
        <w:spacing w:line="360" w:lineRule="auto"/>
        <w:ind w:firstLine="420" w:firstLineChars="200"/>
        <w:jc w:val="left"/>
        <w:rPr>
          <w:rFonts w:ascii="宋体" w:hAnsi="宋体" w:cs="宋体" w:hint="eastAsia"/>
          <w:b/>
          <w:bCs/>
          <w:szCs w:val="21"/>
        </w:rPr>
      </w:pPr>
      <w:r>
        <w:rPr>
          <w:rFonts w:ascii="宋体" w:hAnsi="宋体" w:cs="宋体" w:hint="eastAsia"/>
          <w:b/>
          <w:bCs/>
          <w:szCs w:val="21"/>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11"/>
        <w:gridCol w:w="8142"/>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jc w:val="center"/>
        </w:trPr>
        <w:tc>
          <w:tcPr>
            <w:tcW w:w="811"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szCs w:val="21"/>
              </w:rPr>
              <w:t>序号</w:t>
            </w:r>
          </w:p>
        </w:tc>
        <w:tc>
          <w:tcPr>
            <w:tcW w:w="8142"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b/>
                <w:bCs/>
                <w:szCs w:val="21"/>
              </w:rPr>
              <w:t>供应商参与投标禁止情形</w:t>
            </w:r>
          </w:p>
        </w:tc>
      </w:tr>
      <w:tr>
        <w:tblPrEx>
          <w:tblW w:w="0" w:type="auto"/>
          <w:jc w:val="center"/>
          <w:tblCellMar>
            <w:top w:w="0" w:type="dxa"/>
            <w:left w:w="108" w:type="dxa"/>
            <w:bottom w:w="0" w:type="dxa"/>
            <w:right w:w="108" w:type="dxa"/>
          </w:tblCellMar>
        </w:tblPrEx>
        <w:trPr>
          <w:jc w:val="center"/>
        </w:trPr>
        <w:tc>
          <w:tcPr>
            <w:tcW w:w="811"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szCs w:val="21"/>
              </w:rPr>
              <w:t>1</w:t>
            </w:r>
          </w:p>
        </w:tc>
        <w:tc>
          <w:tcPr>
            <w:tcW w:w="8142" w:type="dxa"/>
            <w:noWrap w:val="0"/>
            <w:vAlign w:val="center"/>
          </w:tcPr>
          <w:p>
            <w:pPr>
              <w:keepNext w:val="0"/>
              <w:keepLines w:val="0"/>
              <w:suppressLineNumbers w:val="0"/>
              <w:spacing w:before="0" w:beforeAutospacing="0" w:after="0" w:afterAutospacing="0" w:line="400" w:lineRule="exact"/>
              <w:ind w:left="0" w:right="0"/>
              <w:jc w:val="left"/>
              <w:rPr>
                <w:rFonts w:ascii="宋体" w:eastAsia="宋体" w:hAnsi="宋体" w:cs="宋体" w:hint="eastAsia"/>
                <w:szCs w:val="21"/>
              </w:rPr>
            </w:pPr>
            <w:r>
              <w:rPr>
                <w:rFonts w:ascii="宋体" w:eastAsia="宋体" w:hAnsi="宋体" w:cs="宋体" w:hint="eastAsia"/>
                <w:szCs w:val="21"/>
              </w:rPr>
              <w:t>与其他投标供应商的法定代表人、主要经营负责人、投标授权代表人、项目负责人、主要技术人员为</w:t>
            </w:r>
            <w:r>
              <w:rPr>
                <w:rFonts w:ascii="宋体" w:eastAsia="宋体" w:hAnsi="宋体" w:cs="宋体" w:hint="eastAsia"/>
                <w:b/>
                <w:bCs/>
                <w:szCs w:val="21"/>
              </w:rPr>
              <w:t>同一人、属同一单位或者在同一单位缴纳社会保险</w:t>
            </w:r>
            <w:r>
              <w:rPr>
                <w:rFonts w:ascii="宋体" w:eastAsia="宋体" w:hAnsi="宋体" w:cs="宋体" w:hint="eastAsia"/>
                <w:szCs w:val="21"/>
              </w:rPr>
              <w:t>。</w:t>
            </w:r>
          </w:p>
        </w:tc>
      </w:tr>
      <w:tr>
        <w:tblPrEx>
          <w:tblW w:w="0" w:type="auto"/>
          <w:jc w:val="center"/>
          <w:tblCellMar>
            <w:top w:w="0" w:type="dxa"/>
            <w:left w:w="108" w:type="dxa"/>
            <w:bottom w:w="0" w:type="dxa"/>
            <w:right w:w="108" w:type="dxa"/>
          </w:tblCellMar>
        </w:tblPrEx>
        <w:trPr>
          <w:jc w:val="center"/>
        </w:trPr>
        <w:tc>
          <w:tcPr>
            <w:tcW w:w="811"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szCs w:val="21"/>
              </w:rPr>
              <w:t>2</w:t>
            </w:r>
          </w:p>
        </w:tc>
        <w:tc>
          <w:tcPr>
            <w:tcW w:w="8142" w:type="dxa"/>
            <w:noWrap w:val="0"/>
            <w:vAlign w:val="center"/>
          </w:tcPr>
          <w:p>
            <w:pPr>
              <w:keepNext w:val="0"/>
              <w:keepLines w:val="0"/>
              <w:suppressLineNumbers w:val="0"/>
              <w:spacing w:before="0" w:beforeAutospacing="0" w:after="0" w:afterAutospacing="0" w:line="400" w:lineRule="exact"/>
              <w:ind w:left="0" w:right="0"/>
              <w:jc w:val="left"/>
              <w:rPr>
                <w:rFonts w:ascii="宋体" w:eastAsia="宋体" w:hAnsi="宋体" w:cs="宋体" w:hint="eastAsia"/>
                <w:szCs w:val="21"/>
              </w:rPr>
            </w:pPr>
            <w:r>
              <w:rPr>
                <w:rFonts w:ascii="宋体" w:eastAsia="宋体" w:hAnsi="宋体" w:cs="宋体" w:hint="eastAsia"/>
                <w:szCs w:val="21"/>
              </w:rPr>
              <w:t>参与本项目政府采购活动时，与其他投标供应商存在单位负责人为</w:t>
            </w:r>
            <w:r>
              <w:rPr>
                <w:rFonts w:ascii="宋体" w:eastAsia="宋体" w:hAnsi="宋体" w:cs="宋体" w:hint="eastAsia"/>
                <w:b/>
                <w:bCs/>
                <w:szCs w:val="21"/>
              </w:rPr>
              <w:t>同一人或直接控股、管理关系</w:t>
            </w:r>
            <w:r>
              <w:rPr>
                <w:rFonts w:ascii="宋体" w:eastAsia="宋体" w:hAnsi="宋体" w:cs="宋体" w:hint="eastAsia"/>
                <w:szCs w:val="21"/>
              </w:rPr>
              <w:t>。</w:t>
            </w:r>
          </w:p>
        </w:tc>
      </w:tr>
      <w:tr>
        <w:tblPrEx>
          <w:tblW w:w="0" w:type="auto"/>
          <w:jc w:val="center"/>
          <w:tblCellMar>
            <w:top w:w="0" w:type="dxa"/>
            <w:left w:w="108" w:type="dxa"/>
            <w:bottom w:w="0" w:type="dxa"/>
            <w:right w:w="108" w:type="dxa"/>
          </w:tblCellMar>
        </w:tblPrEx>
        <w:trPr>
          <w:jc w:val="center"/>
        </w:trPr>
        <w:tc>
          <w:tcPr>
            <w:tcW w:w="811"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szCs w:val="21"/>
              </w:rPr>
              <w:t>3</w:t>
            </w:r>
          </w:p>
        </w:tc>
        <w:tc>
          <w:tcPr>
            <w:tcW w:w="8142" w:type="dxa"/>
            <w:noWrap w:val="0"/>
            <w:vAlign w:val="center"/>
          </w:tcPr>
          <w:p>
            <w:pPr>
              <w:keepNext w:val="0"/>
              <w:keepLines w:val="0"/>
              <w:suppressLineNumbers w:val="0"/>
              <w:spacing w:before="0" w:beforeAutospacing="0" w:after="0" w:afterAutospacing="0" w:line="400" w:lineRule="exact"/>
              <w:ind w:left="0" w:right="0"/>
              <w:jc w:val="left"/>
              <w:rPr>
                <w:rFonts w:ascii="宋体" w:eastAsia="宋体" w:hAnsi="宋体" w:cs="宋体" w:hint="eastAsia"/>
                <w:szCs w:val="21"/>
              </w:rPr>
            </w:pPr>
            <w:r>
              <w:rPr>
                <w:rFonts w:ascii="宋体" w:eastAsia="宋体" w:hAnsi="宋体" w:cs="宋体" w:hint="eastAsia"/>
                <w:szCs w:val="21"/>
              </w:rPr>
              <w:t>与其他投标供应商的投标文件或部分投标文件</w:t>
            </w:r>
            <w:r>
              <w:rPr>
                <w:rFonts w:ascii="宋体" w:eastAsia="宋体" w:hAnsi="宋体" w:cs="宋体" w:hint="eastAsia"/>
                <w:b/>
                <w:bCs/>
                <w:szCs w:val="21"/>
              </w:rPr>
              <w:t>相互混装或存在非正常一致</w:t>
            </w:r>
            <w:r>
              <w:rPr>
                <w:rFonts w:ascii="宋体" w:eastAsia="宋体" w:hAnsi="宋体" w:cs="宋体" w:hint="eastAsia"/>
                <w:szCs w:val="21"/>
              </w:rPr>
              <w:t>。</w:t>
            </w:r>
          </w:p>
        </w:tc>
      </w:tr>
      <w:tr>
        <w:tblPrEx>
          <w:tblW w:w="0" w:type="auto"/>
          <w:jc w:val="center"/>
          <w:tblCellMar>
            <w:top w:w="0" w:type="dxa"/>
            <w:left w:w="108" w:type="dxa"/>
            <w:bottom w:w="0" w:type="dxa"/>
            <w:right w:w="108" w:type="dxa"/>
          </w:tblCellMar>
        </w:tblPrEx>
        <w:trPr>
          <w:trHeight w:val="90"/>
          <w:jc w:val="center"/>
        </w:trPr>
        <w:tc>
          <w:tcPr>
            <w:tcW w:w="811"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szCs w:val="21"/>
              </w:rPr>
              <w:t>4</w:t>
            </w:r>
          </w:p>
        </w:tc>
        <w:tc>
          <w:tcPr>
            <w:tcW w:w="8142" w:type="dxa"/>
            <w:noWrap w:val="0"/>
            <w:vAlign w:val="center"/>
          </w:tcPr>
          <w:p>
            <w:pPr>
              <w:keepNext w:val="0"/>
              <w:keepLines w:val="0"/>
              <w:suppressLineNumbers w:val="0"/>
              <w:spacing w:before="0" w:beforeAutospacing="0" w:after="0" w:afterAutospacing="0" w:line="400" w:lineRule="exact"/>
              <w:ind w:left="0" w:right="0"/>
              <w:jc w:val="left"/>
              <w:rPr>
                <w:rFonts w:ascii="宋体" w:eastAsia="宋体" w:hAnsi="宋体" w:cs="宋体" w:hint="eastAsia"/>
                <w:szCs w:val="21"/>
              </w:rPr>
            </w:pPr>
            <w:r>
              <w:rPr>
                <w:rFonts w:ascii="宋体" w:eastAsia="宋体" w:hAnsi="宋体" w:cs="宋体" w:hint="eastAsia"/>
                <w:szCs w:val="21"/>
              </w:rPr>
              <w:t>与其他投标供应商的投标文件由</w:t>
            </w:r>
            <w:r>
              <w:rPr>
                <w:rFonts w:ascii="宋体" w:eastAsia="宋体" w:hAnsi="宋体" w:cs="宋体" w:hint="eastAsia"/>
                <w:b/>
                <w:bCs/>
                <w:szCs w:val="21"/>
              </w:rPr>
              <w:t>同一单位或者同一人编制</w:t>
            </w:r>
            <w:r>
              <w:rPr>
                <w:rFonts w:ascii="宋体" w:eastAsia="宋体" w:hAnsi="宋体" w:cs="宋体" w:hint="eastAsia"/>
                <w:szCs w:val="21"/>
              </w:rPr>
              <w:t>，或者使用</w:t>
            </w:r>
            <w:r>
              <w:rPr>
                <w:rFonts w:ascii="宋体" w:eastAsia="宋体" w:hAnsi="宋体" w:cs="宋体" w:hint="eastAsia"/>
                <w:b/>
                <w:bCs/>
                <w:szCs w:val="21"/>
              </w:rPr>
              <w:t>同一设备编制</w:t>
            </w:r>
            <w:r>
              <w:rPr>
                <w:rFonts w:ascii="宋体" w:eastAsia="宋体" w:hAnsi="宋体" w:cs="宋体" w:hint="eastAsia"/>
                <w:szCs w:val="21"/>
              </w:rPr>
              <w:t>（“文件制作机器码”“文件创建标识码”一致）。</w:t>
            </w:r>
          </w:p>
        </w:tc>
      </w:tr>
      <w:tr>
        <w:tblPrEx>
          <w:tblW w:w="0" w:type="auto"/>
          <w:jc w:val="center"/>
          <w:tblCellMar>
            <w:top w:w="0" w:type="dxa"/>
            <w:left w:w="108" w:type="dxa"/>
            <w:bottom w:w="0" w:type="dxa"/>
            <w:right w:w="108" w:type="dxa"/>
          </w:tblCellMar>
        </w:tblPrEx>
        <w:trPr>
          <w:jc w:val="center"/>
        </w:trPr>
        <w:tc>
          <w:tcPr>
            <w:tcW w:w="811"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szCs w:val="21"/>
              </w:rPr>
            </w:pPr>
            <w:r>
              <w:rPr>
                <w:rFonts w:ascii="宋体" w:eastAsia="宋体" w:hAnsi="宋体" w:cs="宋体" w:hint="eastAsia"/>
                <w:szCs w:val="21"/>
              </w:rPr>
              <w:t>5</w:t>
            </w:r>
          </w:p>
        </w:tc>
        <w:tc>
          <w:tcPr>
            <w:tcW w:w="8142" w:type="dxa"/>
            <w:noWrap w:val="0"/>
            <w:vAlign w:val="center"/>
          </w:tcPr>
          <w:p>
            <w:pPr>
              <w:keepNext w:val="0"/>
              <w:keepLines w:val="0"/>
              <w:suppressLineNumbers w:val="0"/>
              <w:spacing w:before="0" w:beforeAutospacing="0" w:after="0" w:afterAutospacing="0" w:line="400" w:lineRule="exact"/>
              <w:ind w:left="0" w:right="0"/>
              <w:jc w:val="left"/>
              <w:rPr>
                <w:rFonts w:ascii="宋体" w:eastAsia="宋体" w:hAnsi="宋体" w:cs="宋体" w:hint="eastAsia"/>
                <w:szCs w:val="21"/>
              </w:rPr>
            </w:pPr>
            <w:r>
              <w:rPr>
                <w:rFonts w:ascii="宋体" w:eastAsia="宋体" w:hAnsi="宋体" w:cs="宋体" w:hint="eastAsia"/>
                <w:szCs w:val="21"/>
              </w:rPr>
              <w:t>提供</w:t>
            </w:r>
            <w:r>
              <w:rPr>
                <w:rFonts w:ascii="宋体" w:eastAsia="宋体" w:hAnsi="宋体" w:cs="宋体" w:hint="eastAsia"/>
                <w:b/>
                <w:bCs/>
                <w:szCs w:val="21"/>
              </w:rPr>
              <w:t>未经出具机构核实</w:t>
            </w:r>
            <w:r>
              <w:rPr>
                <w:rFonts w:ascii="宋体" w:eastAsia="宋体" w:hAnsi="宋体" w:cs="宋体" w:hint="eastAsia"/>
                <w:szCs w:val="21"/>
              </w:rPr>
              <w:t>的虚假的检验检测报告、业绩材料、社保缴纳证明、学历学位证书、职称认证证书等材料。</w:t>
            </w:r>
          </w:p>
        </w:tc>
      </w:tr>
      <w:tr>
        <w:tblPrEx>
          <w:tblW w:w="0" w:type="auto"/>
          <w:jc w:val="center"/>
          <w:tblCellMar>
            <w:top w:w="0" w:type="dxa"/>
            <w:left w:w="108" w:type="dxa"/>
            <w:bottom w:w="0" w:type="dxa"/>
            <w:right w:w="108" w:type="dxa"/>
          </w:tblCellMar>
        </w:tblPrEx>
        <w:trPr>
          <w:jc w:val="center"/>
        </w:trPr>
        <w:tc>
          <w:tcPr>
            <w:tcW w:w="811"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szCs w:val="21"/>
              </w:rPr>
            </w:pPr>
            <w:r>
              <w:rPr>
                <w:rFonts w:ascii="宋体" w:eastAsia="宋体" w:hAnsi="宋体" w:cs="宋体" w:hint="eastAsia"/>
                <w:szCs w:val="21"/>
              </w:rPr>
              <w:t>6</w:t>
            </w:r>
          </w:p>
        </w:tc>
        <w:tc>
          <w:tcPr>
            <w:tcW w:w="8142" w:type="dxa"/>
            <w:noWrap w:val="0"/>
            <w:vAlign w:val="center"/>
          </w:tcPr>
          <w:p>
            <w:pPr>
              <w:keepNext w:val="0"/>
              <w:keepLines w:val="0"/>
              <w:suppressLineNumbers w:val="0"/>
              <w:spacing w:before="0" w:beforeAutospacing="0" w:after="0" w:afterAutospacing="0" w:line="400" w:lineRule="exact"/>
              <w:ind w:left="0" w:right="0"/>
              <w:jc w:val="left"/>
              <w:rPr>
                <w:rFonts w:ascii="宋体" w:eastAsia="宋体" w:hAnsi="宋体" w:cs="宋体" w:hint="eastAsia"/>
                <w:szCs w:val="21"/>
              </w:rPr>
            </w:pPr>
            <w:r>
              <w:rPr>
                <w:rFonts w:ascii="宋体" w:eastAsia="宋体" w:hAnsi="宋体" w:cs="宋体" w:hint="eastAsia"/>
                <w:szCs w:val="21"/>
              </w:rPr>
              <w:t>擅自将投标密钥或电子营业执照出借他人使用或未妥善保管。</w:t>
            </w:r>
          </w:p>
        </w:tc>
      </w:tr>
    </w:tbl>
    <w:p>
      <w:pPr>
        <w:spacing w:line="360" w:lineRule="auto"/>
        <w:ind w:firstLine="420" w:firstLineChars="200"/>
        <w:rPr>
          <w:rFonts w:ascii="宋体" w:hAnsi="宋体"/>
          <w:bCs/>
          <w:szCs w:val="21"/>
        </w:rPr>
      </w:pPr>
      <w:r>
        <w:rPr>
          <w:rFonts w:ascii="宋体" w:hAnsi="宋体" w:hint="eastAsia"/>
          <w:bCs/>
          <w:szCs w:val="21"/>
        </w:rPr>
        <w:t>一、《深圳经济特区政府采购条例》第五十七条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spacing w:line="360" w:lineRule="auto"/>
        <w:ind w:firstLine="420" w:firstLineChars="200"/>
        <w:rPr>
          <w:rFonts w:ascii="宋体" w:hAnsi="宋体"/>
          <w:bCs/>
          <w:szCs w:val="21"/>
        </w:rPr>
      </w:pPr>
      <w:r>
        <w:rPr>
          <w:rFonts w:ascii="宋体" w:hAnsi="宋体" w:hint="eastAsia"/>
          <w:bCs/>
          <w:szCs w:val="21"/>
        </w:rPr>
        <w:t>（一）在采购活动中应当回避而未回避的；</w:t>
      </w:r>
    </w:p>
    <w:p>
      <w:pPr>
        <w:spacing w:line="360" w:lineRule="auto"/>
        <w:ind w:firstLine="420" w:firstLineChars="200"/>
        <w:rPr>
          <w:rFonts w:ascii="宋体" w:hAnsi="宋体"/>
          <w:bCs/>
          <w:szCs w:val="21"/>
        </w:rPr>
      </w:pPr>
      <w:r>
        <w:rPr>
          <w:rFonts w:ascii="宋体" w:hAnsi="宋体" w:hint="eastAsia"/>
          <w:bCs/>
          <w:szCs w:val="21"/>
        </w:rPr>
        <w:t>（二）未按本条例规定签订、履行采购合同，造成严重后果的；</w:t>
      </w:r>
    </w:p>
    <w:p>
      <w:pPr>
        <w:spacing w:line="360" w:lineRule="auto"/>
        <w:ind w:firstLine="420" w:firstLineChars="200"/>
        <w:rPr>
          <w:rFonts w:ascii="宋体" w:hAnsi="宋体"/>
          <w:bCs/>
          <w:szCs w:val="21"/>
        </w:rPr>
      </w:pPr>
      <w:r>
        <w:rPr>
          <w:rFonts w:ascii="宋体" w:hAnsi="宋体" w:hint="eastAsia"/>
          <w:bCs/>
          <w:szCs w:val="21"/>
        </w:rPr>
        <w:t>（三）隐瞒真实情况，提供虚假资料的；</w:t>
      </w:r>
    </w:p>
    <w:p>
      <w:pPr>
        <w:spacing w:line="360" w:lineRule="auto"/>
        <w:ind w:firstLine="420" w:firstLineChars="200"/>
        <w:rPr>
          <w:rFonts w:ascii="宋体" w:hAnsi="宋体"/>
          <w:bCs/>
          <w:szCs w:val="21"/>
        </w:rPr>
      </w:pPr>
      <w:r>
        <w:rPr>
          <w:rFonts w:ascii="宋体" w:hAnsi="宋体" w:hint="eastAsia"/>
          <w:bCs/>
          <w:szCs w:val="21"/>
        </w:rPr>
        <w:t>（四）以非法手段排斥其他供应商参与竞争的；</w:t>
      </w:r>
    </w:p>
    <w:p>
      <w:pPr>
        <w:spacing w:line="360" w:lineRule="auto"/>
        <w:ind w:firstLine="420" w:firstLineChars="200"/>
        <w:rPr>
          <w:rFonts w:ascii="宋体" w:hAnsi="宋体"/>
          <w:bCs/>
          <w:szCs w:val="21"/>
        </w:rPr>
      </w:pPr>
      <w:r>
        <w:rPr>
          <w:rFonts w:ascii="宋体" w:hAnsi="宋体" w:hint="eastAsia"/>
          <w:bCs/>
          <w:szCs w:val="21"/>
        </w:rPr>
        <w:t>（五）与其他采购参加人串通投标的；</w:t>
      </w:r>
    </w:p>
    <w:p>
      <w:pPr>
        <w:spacing w:line="360" w:lineRule="auto"/>
        <w:ind w:firstLine="420" w:firstLineChars="200"/>
        <w:rPr>
          <w:rFonts w:ascii="宋体" w:hAnsi="宋体"/>
          <w:bCs/>
          <w:szCs w:val="21"/>
        </w:rPr>
      </w:pPr>
      <w:r>
        <w:rPr>
          <w:rFonts w:ascii="宋体" w:hAnsi="宋体" w:hint="eastAsia"/>
          <w:bCs/>
          <w:szCs w:val="21"/>
        </w:rPr>
        <w:t>（六）恶意投诉的；</w:t>
      </w:r>
    </w:p>
    <w:p>
      <w:pPr>
        <w:spacing w:line="360" w:lineRule="auto"/>
        <w:ind w:firstLine="420" w:firstLineChars="200"/>
        <w:rPr>
          <w:rFonts w:ascii="宋体" w:hAnsi="宋体"/>
          <w:bCs/>
          <w:szCs w:val="21"/>
        </w:rPr>
      </w:pPr>
      <w:r>
        <w:rPr>
          <w:rFonts w:ascii="宋体" w:hAnsi="宋体" w:hint="eastAsia"/>
          <w:bCs/>
          <w:szCs w:val="21"/>
        </w:rPr>
        <w:t>（七）向采购项目相关人行贿或者提供其他不当利益的；</w:t>
      </w:r>
    </w:p>
    <w:p>
      <w:pPr>
        <w:spacing w:line="360" w:lineRule="auto"/>
        <w:ind w:firstLine="420" w:firstLineChars="200"/>
        <w:rPr>
          <w:rFonts w:ascii="宋体" w:hAnsi="宋体"/>
          <w:bCs/>
          <w:szCs w:val="21"/>
        </w:rPr>
      </w:pPr>
      <w:r>
        <w:rPr>
          <w:rFonts w:ascii="宋体" w:hAnsi="宋体" w:hint="eastAsia"/>
          <w:bCs/>
          <w:szCs w:val="21"/>
        </w:rPr>
        <w:t>（八）阻碍、抗拒主管部门监督检查的；</w:t>
      </w:r>
    </w:p>
    <w:p>
      <w:pPr>
        <w:spacing w:line="360" w:lineRule="auto"/>
        <w:ind w:firstLine="420" w:firstLineChars="200"/>
        <w:rPr>
          <w:rFonts w:ascii="宋体" w:hAnsi="宋体" w:hint="eastAsia"/>
          <w:bCs/>
          <w:szCs w:val="21"/>
        </w:rPr>
      </w:pPr>
      <w:r>
        <w:rPr>
          <w:rFonts w:ascii="宋体" w:hAnsi="宋体" w:hint="eastAsia"/>
          <w:bCs/>
          <w:szCs w:val="21"/>
        </w:rPr>
        <w:t>（九）其他违反本条例规定的行为。</w:t>
      </w:r>
    </w:p>
    <w:p>
      <w:pPr>
        <w:pStyle w:val="BodyText"/>
        <w:spacing w:after="0" w:line="360" w:lineRule="auto"/>
        <w:ind w:firstLine="420"/>
        <w:rPr>
          <w:rFonts w:ascii="宋体" w:hAnsi="宋体" w:hint="eastAsia"/>
          <w:bCs/>
          <w:szCs w:val="21"/>
        </w:rPr>
      </w:pPr>
      <w:r>
        <w:rPr>
          <w:rFonts w:ascii="宋体" w:hAnsi="宋体" w:hint="eastAsia"/>
          <w:bCs/>
          <w:szCs w:val="21"/>
        </w:rPr>
        <w:t>二、《深圳经济特区政府采购条例实施细则》第七十五条 供应商有下列情形之一的，属于采购条例所称的串通投标行为，按照采购条例第五十七条有关规定处理：</w:t>
      </w:r>
    </w:p>
    <w:p>
      <w:pPr>
        <w:pStyle w:val="BodyText"/>
        <w:spacing w:after="0" w:line="360" w:lineRule="auto"/>
        <w:ind w:firstLine="420"/>
        <w:rPr>
          <w:rFonts w:ascii="宋体" w:hAnsi="宋体" w:hint="eastAsia"/>
          <w:bCs/>
          <w:szCs w:val="21"/>
        </w:rPr>
      </w:pPr>
      <w:r>
        <w:rPr>
          <w:rFonts w:ascii="宋体" w:hAnsi="宋体" w:hint="eastAsia"/>
          <w:bCs/>
          <w:szCs w:val="21"/>
        </w:rPr>
        <w:t>（一）投标供应商之间相互约定给予未中标的供应商利益补偿。</w:t>
      </w:r>
    </w:p>
    <w:p>
      <w:pPr>
        <w:pStyle w:val="BodyText"/>
        <w:spacing w:after="0" w:line="360" w:lineRule="auto"/>
        <w:ind w:firstLine="420"/>
        <w:rPr>
          <w:rFonts w:ascii="宋体" w:hAnsi="宋体" w:hint="eastAsia"/>
          <w:bCs/>
          <w:szCs w:val="21"/>
        </w:rPr>
      </w:pPr>
      <w:r>
        <w:rPr>
          <w:rFonts w:ascii="宋体" w:hAnsi="宋体" w:hint="eastAsia"/>
          <w:bCs/>
          <w:szCs w:val="21"/>
        </w:rPr>
        <w:t>（二）不同投标供应商的法定代表人、主要经营负责人、项目投标授权代表人、项目负责人、主要技术人员为同一人、属同一单位或者在同一单位缴纳社会保险。</w:t>
      </w:r>
    </w:p>
    <w:p>
      <w:pPr>
        <w:pStyle w:val="BodyText"/>
        <w:spacing w:after="0" w:line="360" w:lineRule="auto"/>
        <w:ind w:firstLine="420"/>
        <w:rPr>
          <w:rFonts w:ascii="宋体" w:hAnsi="宋体" w:hint="eastAsia"/>
          <w:bCs/>
          <w:szCs w:val="21"/>
        </w:rPr>
      </w:pPr>
      <w:r>
        <w:rPr>
          <w:rFonts w:ascii="宋体" w:hAnsi="宋体" w:hint="eastAsia"/>
          <w:bCs/>
          <w:szCs w:val="21"/>
        </w:rPr>
        <w:t>（三）不同投标供应商的投标文件由同一单位或者同一人编制，或者由同一人分阶段参与编制的。</w:t>
      </w:r>
    </w:p>
    <w:p>
      <w:pPr>
        <w:pStyle w:val="BodyText"/>
        <w:spacing w:after="0" w:line="360" w:lineRule="auto"/>
        <w:ind w:firstLine="420"/>
        <w:rPr>
          <w:rFonts w:ascii="宋体" w:hAnsi="宋体" w:hint="eastAsia"/>
          <w:bCs/>
          <w:szCs w:val="21"/>
        </w:rPr>
      </w:pPr>
      <w:r>
        <w:rPr>
          <w:rFonts w:ascii="宋体" w:hAnsi="宋体" w:hint="eastAsia"/>
          <w:bCs/>
          <w:szCs w:val="21"/>
        </w:rPr>
        <w:t>（四）不同投标供应商的投标文件或部分投标文件相互混装。</w:t>
      </w:r>
    </w:p>
    <w:p>
      <w:pPr>
        <w:pStyle w:val="BodyText"/>
        <w:spacing w:after="0" w:line="360" w:lineRule="auto"/>
        <w:ind w:firstLine="420"/>
        <w:rPr>
          <w:rFonts w:ascii="宋体" w:hAnsi="宋体" w:hint="eastAsia"/>
          <w:bCs/>
          <w:szCs w:val="21"/>
        </w:rPr>
      </w:pPr>
      <w:r>
        <w:rPr>
          <w:rFonts w:ascii="宋体" w:hAnsi="宋体" w:hint="eastAsia"/>
          <w:bCs/>
          <w:szCs w:val="21"/>
        </w:rPr>
        <w:t>（五）不同投标供应商的投标文件内容存在非正常一致。</w:t>
      </w:r>
    </w:p>
    <w:p>
      <w:pPr>
        <w:pStyle w:val="BodyText"/>
        <w:spacing w:after="0" w:line="360" w:lineRule="auto"/>
        <w:ind w:firstLine="420"/>
        <w:rPr>
          <w:rFonts w:ascii="宋体" w:hAnsi="宋体" w:hint="eastAsia"/>
          <w:bCs/>
          <w:szCs w:val="21"/>
        </w:rPr>
      </w:pPr>
      <w:r>
        <w:rPr>
          <w:rFonts w:ascii="宋体" w:hAnsi="宋体" w:hint="eastAsia"/>
          <w:bCs/>
          <w:szCs w:val="21"/>
        </w:rPr>
        <w:t>（六）由同一单位工作人员为两家以上（含两家）供应商进行同一项投标活动的。</w:t>
      </w:r>
    </w:p>
    <w:p>
      <w:pPr>
        <w:pStyle w:val="BodyText"/>
        <w:spacing w:after="0" w:line="360" w:lineRule="auto"/>
        <w:ind w:firstLine="420"/>
        <w:rPr>
          <w:rFonts w:ascii="宋体" w:hAnsi="宋体" w:hint="eastAsia"/>
          <w:bCs/>
          <w:szCs w:val="21"/>
        </w:rPr>
      </w:pPr>
      <w:r>
        <w:rPr>
          <w:rFonts w:ascii="宋体" w:hAnsi="宋体" w:hint="eastAsia"/>
          <w:bCs/>
          <w:szCs w:val="21"/>
        </w:rPr>
        <w:t>（七）主管部门依照法律、法规认定的其他情形</w:t>
      </w:r>
    </w:p>
    <w:p>
      <w:pPr>
        <w:pStyle w:val="BodyText"/>
        <w:spacing w:after="0" w:line="360" w:lineRule="auto"/>
        <w:ind w:firstLine="420"/>
        <w:rPr>
          <w:rFonts w:ascii="宋体" w:hAnsi="宋体" w:hint="eastAsia"/>
          <w:bCs/>
          <w:szCs w:val="21"/>
        </w:rPr>
      </w:pPr>
      <w:r>
        <w:rPr>
          <w:rFonts w:ascii="宋体" w:hAnsi="宋体" w:hint="eastAsia"/>
          <w:bCs/>
          <w:szCs w:val="21"/>
        </w:rPr>
        <w:t>三、《深圳经济特区政府采购条例实施细则》第七十七条 供应商有下列情形之一的，属于隐瞒真实情况，提供虚假资料，按照采购条例第五十七条的有关规定处理：</w:t>
      </w:r>
    </w:p>
    <w:p>
      <w:pPr>
        <w:pStyle w:val="BodyText"/>
        <w:spacing w:after="0" w:line="360" w:lineRule="auto"/>
        <w:ind w:firstLine="420"/>
        <w:rPr>
          <w:rFonts w:ascii="宋体" w:hAnsi="宋体" w:hint="eastAsia"/>
          <w:bCs/>
          <w:szCs w:val="21"/>
        </w:rPr>
      </w:pPr>
      <w:r>
        <w:rPr>
          <w:rFonts w:ascii="宋体" w:hAnsi="宋体" w:hint="eastAsia"/>
          <w:bCs/>
          <w:szCs w:val="21"/>
        </w:rPr>
        <w:t>（一）通过转让或者租借等方式从其他单位获取资格或者资质证书投标的。</w:t>
      </w:r>
    </w:p>
    <w:p>
      <w:pPr>
        <w:pStyle w:val="BodyText"/>
        <w:spacing w:after="0" w:line="360" w:lineRule="auto"/>
        <w:ind w:firstLine="420"/>
        <w:rPr>
          <w:rFonts w:ascii="宋体" w:hAnsi="宋体" w:hint="eastAsia"/>
          <w:bCs/>
          <w:szCs w:val="21"/>
        </w:rPr>
      </w:pPr>
      <w:r>
        <w:rPr>
          <w:rFonts w:ascii="宋体" w:hAnsi="宋体" w:hint="eastAsia"/>
          <w:bCs/>
          <w:szCs w:val="21"/>
        </w:rPr>
        <w:t>（二）由其他单位或者其他单位负责人在投标供应商编制的投标文件上加盖印章或者签字的。</w:t>
      </w:r>
    </w:p>
    <w:p>
      <w:pPr>
        <w:pStyle w:val="BodyText"/>
        <w:spacing w:after="0" w:line="360" w:lineRule="auto"/>
        <w:ind w:firstLine="420"/>
        <w:rPr>
          <w:rFonts w:ascii="宋体" w:hAnsi="宋体" w:hint="eastAsia"/>
          <w:bCs/>
          <w:szCs w:val="21"/>
        </w:rPr>
      </w:pPr>
      <w:r>
        <w:rPr>
          <w:rFonts w:ascii="宋体" w:hAnsi="宋体" w:hint="eastAsia"/>
          <w:bCs/>
          <w:szCs w:val="21"/>
        </w:rPr>
        <w:t>（三）项目负责人或者主要技术人员不是本单位人员的。</w:t>
      </w:r>
    </w:p>
    <w:p>
      <w:pPr>
        <w:pStyle w:val="BodyText"/>
        <w:spacing w:after="0" w:line="360" w:lineRule="auto"/>
        <w:ind w:firstLine="420"/>
        <w:rPr>
          <w:rFonts w:ascii="宋体" w:hAnsi="宋体" w:hint="eastAsia"/>
          <w:bCs/>
          <w:szCs w:val="21"/>
        </w:rPr>
      </w:pPr>
      <w:r>
        <w:rPr>
          <w:rFonts w:ascii="宋体" w:hAnsi="宋体" w:hint="eastAsia"/>
          <w:bCs/>
          <w:szCs w:val="21"/>
        </w:rPr>
        <w:t>（四）投标保证金不是从投标供应商基本账户转出的。</w:t>
      </w:r>
    </w:p>
    <w:p>
      <w:pPr>
        <w:pStyle w:val="BodyText"/>
        <w:spacing w:after="0" w:line="360" w:lineRule="auto"/>
        <w:ind w:firstLine="420"/>
        <w:rPr>
          <w:rFonts w:ascii="宋体" w:hAnsi="宋体" w:hint="eastAsia"/>
          <w:bCs/>
          <w:szCs w:val="21"/>
        </w:rPr>
      </w:pPr>
      <w:r>
        <w:rPr>
          <w:rFonts w:ascii="宋体" w:hAnsi="宋体" w:hint="eastAsia"/>
          <w:bCs/>
          <w:szCs w:val="21"/>
        </w:rPr>
        <w:t>（五）其他隐瞒真实情况、提供虚假资料的行为。</w:t>
      </w:r>
    </w:p>
    <w:p>
      <w:pPr>
        <w:pStyle w:val="BodyText"/>
        <w:spacing w:after="0" w:line="360" w:lineRule="auto"/>
        <w:ind w:firstLine="420"/>
        <w:rPr>
          <w:rFonts w:ascii="宋体" w:hAnsi="宋体"/>
          <w:bCs/>
          <w:szCs w:val="21"/>
        </w:rPr>
      </w:pPr>
      <w:r>
        <w:rPr>
          <w:rFonts w:ascii="宋体" w:hAnsi="宋体" w:hint="eastAsia"/>
          <w:bCs/>
          <w:szCs w:val="21"/>
        </w:rPr>
        <w:t xml:space="preserve">投标供应商不能提供项目负责人或者主要技术人员的劳动合同、社会保险等劳动关系证明材料的，视为存在前款第（三）项规定的情形。 </w:t>
      </w:r>
    </w:p>
    <w:p>
      <w:pPr>
        <w:spacing w:line="360" w:lineRule="auto"/>
        <w:ind w:firstLine="420" w:firstLineChars="200"/>
        <w:rPr>
          <w:rFonts w:ascii="宋体" w:hAnsi="宋体"/>
          <w:bCs/>
          <w:szCs w:val="21"/>
        </w:rPr>
      </w:pPr>
      <w:r>
        <w:rPr>
          <w:rFonts w:ascii="宋体" w:hAnsi="宋体" w:hint="eastAsia"/>
          <w:bCs/>
          <w:szCs w:val="21"/>
        </w:rPr>
        <w:t>四、根据《深圳市财政局关于明确政府采购保证金管理工作的通知》（深财购[2019]42号）的要求，供应商在政府采购活动中出现《深圳经济特区政府采购条例实施细则》以下情形的，采购人或招标机构可将有关情况报同级财政部门，由财政部门根据实际情况记入供应商诚信档案，予以通报：</w:t>
      </w:r>
    </w:p>
    <w:p>
      <w:pPr>
        <w:spacing w:line="360" w:lineRule="auto"/>
        <w:ind w:firstLine="420" w:firstLineChars="200"/>
        <w:rPr>
          <w:rFonts w:ascii="宋体" w:hAnsi="宋体"/>
          <w:bCs/>
          <w:szCs w:val="21"/>
        </w:rPr>
      </w:pPr>
      <w:r>
        <w:rPr>
          <w:rFonts w:ascii="宋体" w:hAnsi="宋体"/>
          <w:bCs/>
          <w:szCs w:val="21"/>
        </w:rPr>
        <w:t>（一）投标截止后，撤销投标的；</w:t>
      </w:r>
    </w:p>
    <w:p>
      <w:pPr>
        <w:spacing w:line="360" w:lineRule="auto"/>
        <w:ind w:firstLine="420" w:firstLineChars="200"/>
        <w:rPr>
          <w:rFonts w:ascii="宋体" w:hAnsi="宋体"/>
          <w:bCs/>
          <w:szCs w:val="21"/>
        </w:rPr>
      </w:pPr>
      <w:r>
        <w:rPr>
          <w:rFonts w:ascii="宋体" w:hAnsi="宋体"/>
          <w:bCs/>
          <w:szCs w:val="21"/>
        </w:rPr>
        <w:t>（二）中标后无正当理由未在规定期限内签订合同的；</w:t>
      </w:r>
    </w:p>
    <w:p>
      <w:pPr>
        <w:spacing w:line="360" w:lineRule="auto"/>
        <w:ind w:firstLine="420" w:firstLineChars="200"/>
        <w:rPr>
          <w:rFonts w:ascii="宋体" w:hAnsi="宋体"/>
          <w:bCs/>
          <w:szCs w:val="21"/>
        </w:rPr>
      </w:pPr>
      <w:r>
        <w:rPr>
          <w:rFonts w:ascii="宋体" w:hAnsi="宋体"/>
          <w:bCs/>
          <w:szCs w:val="21"/>
        </w:rPr>
        <w:t>（三）将中标项目转让给他人、或者在投标文件中未说明且未经采购人、采购招标机构同意，将中标项目分包给他人的；</w:t>
      </w:r>
    </w:p>
    <w:p>
      <w:pPr>
        <w:spacing w:line="360" w:lineRule="auto"/>
        <w:ind w:firstLine="420" w:firstLineChars="200"/>
        <w:jc w:val="left"/>
        <w:rPr>
          <w:rFonts w:ascii="宋体" w:hAnsi="宋体"/>
          <w:b/>
          <w:szCs w:val="21"/>
        </w:rPr>
      </w:pPr>
      <w:r>
        <w:rPr>
          <w:rFonts w:ascii="宋体" w:hAnsi="宋体"/>
          <w:bCs/>
          <w:szCs w:val="21"/>
        </w:rPr>
        <w:t>（四）拒绝履行合同义务的</w:t>
      </w:r>
      <w:r>
        <w:rPr>
          <w:rFonts w:ascii="宋体" w:hAnsi="宋体" w:hint="eastAsia"/>
          <w:bCs/>
          <w:szCs w:val="21"/>
        </w:rPr>
        <w:t>。</w:t>
      </w:r>
    </w:p>
    <w:p>
      <w:pPr>
        <w:pStyle w:val="TOC1"/>
        <w:tabs>
          <w:tab w:val="right" w:leader="dot" w:pos="8296"/>
        </w:tabs>
      </w:pPr>
    </w:p>
    <w:p/>
    <w:p/>
    <w:p/>
    <w:p/>
    <w:p/>
    <w:p/>
    <w:p/>
    <w:p/>
    <w:p/>
    <w:p/>
    <w:p>
      <w:pPr>
        <w:rPr>
          <w:rFonts w:hint="eastAsia"/>
        </w:rPr>
      </w:pPr>
    </w:p>
    <w:p>
      <w:pPr>
        <w:pStyle w:val="Heading2"/>
        <w:rPr>
          <w:rFonts w:hint="eastAsia"/>
        </w:rPr>
      </w:pPr>
    </w:p>
    <w:p>
      <w:pPr>
        <w:rPr>
          <w:rFonts w:hint="eastAsia"/>
        </w:rPr>
      </w:pPr>
    </w:p>
    <w:p>
      <w:pPr>
        <w:rPr>
          <w:rFonts w:hint="eastAsia"/>
        </w:rPr>
      </w:pPr>
    </w:p>
    <w:p>
      <w:pPr>
        <w:rPr>
          <w:rFonts w:hint="eastAsia"/>
        </w:rPr>
      </w:pPr>
    </w:p>
    <w:p/>
    <w:p/>
    <w:p/>
    <w:p/>
    <w:p/>
    <w:p>
      <w:pPr>
        <w:pStyle w:val="Title"/>
        <w:spacing w:before="120" w:after="120"/>
        <w:rPr>
          <w:b w:val="0"/>
        </w:rPr>
      </w:pPr>
      <w:bookmarkStart w:id="7" w:name="_Toc27159"/>
      <w:bookmarkStart w:id="8" w:name="_Toc20943"/>
      <w:bookmarkStart w:id="9" w:name="_Toc11367"/>
      <w:bookmarkStart w:id="10" w:name="_Toc14721"/>
      <w:bookmarkStart w:id="11" w:name="_Toc256000003"/>
      <w:r>
        <w:rPr>
          <w:rFonts w:eastAsia="黑体" w:hint="eastAsia"/>
          <w:b w:val="0"/>
          <w:sz w:val="44"/>
        </w:rPr>
        <w:t>第一册 通用条款</w:t>
      </w:r>
      <w:bookmarkEnd w:id="11"/>
      <w:bookmarkEnd w:id="7"/>
      <w:bookmarkEnd w:id="8"/>
      <w:bookmarkEnd w:id="9"/>
      <w:bookmarkEnd w:id="10"/>
    </w:p>
    <w:p/>
    <w:p/>
    <w:p/>
    <w:p/>
    <w:p/>
    <w:p/>
    <w:p/>
    <w:p/>
    <w:p/>
    <w:p/>
    <w:p/>
    <w:p/>
    <w:p/>
    <w:p/>
    <w:p/>
    <w:p/>
    <w:p/>
    <w:p>
      <w:pPr>
        <w:pStyle w:val="Heading2"/>
        <w:numPr>
          <w:ilvl w:val="0"/>
          <w:numId w:val="1"/>
        </w:numPr>
        <w:spacing w:line="360" w:lineRule="auto"/>
        <w:jc w:val="center"/>
        <w:rPr>
          <w:rFonts w:hint="eastAsia"/>
        </w:rPr>
      </w:pPr>
      <w:bookmarkStart w:id="12" w:name="bt工程概况"/>
      <w:bookmarkEnd w:id="12"/>
      <w:r>
        <w:rPr>
          <w:rFonts w:hint="eastAsia"/>
        </w:rPr>
        <w:br w:type="page"/>
      </w:r>
      <w:r>
        <w:rPr>
          <w:rFonts w:hint="eastAsia"/>
        </w:rPr>
        <w:t xml:space="preserve"> </w:t>
      </w:r>
      <w:bookmarkStart w:id="13" w:name="_Toc5335"/>
      <w:bookmarkStart w:id="14" w:name="_Toc14623"/>
      <w:bookmarkStart w:id="15" w:name="_Toc15631"/>
      <w:bookmarkStart w:id="16" w:name="_Toc16508"/>
      <w:bookmarkStart w:id="17" w:name="_Toc256000004"/>
      <w:r>
        <w:rPr>
          <w:rFonts w:hint="eastAsia"/>
        </w:rPr>
        <w:t>总则</w:t>
      </w:r>
      <w:bookmarkEnd w:id="17"/>
      <w:bookmarkEnd w:id="13"/>
      <w:bookmarkEnd w:id="14"/>
      <w:bookmarkEnd w:id="15"/>
      <w:bookmarkEnd w:id="16"/>
    </w:p>
    <w:p>
      <w:pPr>
        <w:snapToGrid w:val="0"/>
        <w:spacing w:line="360" w:lineRule="auto"/>
        <w:rPr>
          <w:rFonts w:ascii="黑体" w:eastAsia="黑体" w:hAnsi="黑体" w:cs="黑体" w:hint="eastAsia"/>
          <w:kern w:val="0"/>
          <w:sz w:val="24"/>
        </w:rPr>
      </w:pPr>
      <w:r>
        <w:rPr>
          <w:rFonts w:ascii="黑体" w:eastAsia="黑体" w:hAnsi="黑体" w:cs="黑体" w:hint="eastAsia"/>
          <w:kern w:val="0"/>
          <w:sz w:val="24"/>
        </w:rPr>
        <w:t>1. 通用条款说明</w:t>
      </w:r>
    </w:p>
    <w:p>
      <w:pPr>
        <w:snapToGrid w:val="0"/>
        <w:spacing w:line="360" w:lineRule="auto"/>
        <w:ind w:firstLine="412" w:firstLineChars="196"/>
        <w:rPr>
          <w:rFonts w:ascii="宋体" w:hAnsi="宋体" w:cs="宋体"/>
          <w:kern w:val="0"/>
          <w:szCs w:val="21"/>
        </w:rPr>
      </w:pPr>
      <w:r>
        <w:rPr>
          <w:rFonts w:ascii="宋体" w:hAnsi="宋体" w:cs="宋体" w:hint="eastAsia"/>
          <w:kern w:val="0"/>
          <w:szCs w:val="21"/>
        </w:rPr>
        <w:t>1.1政府集中采购机构发出招标文件通用条款版本，列出深圳市政府采购项目进行招标采购所适用的通用条款内容。如有需要，政府集中采购机构可以对通用条款的内容进行补充。</w:t>
      </w:r>
    </w:p>
    <w:p>
      <w:pPr>
        <w:snapToGrid w:val="0"/>
        <w:spacing w:line="360" w:lineRule="auto"/>
        <w:ind w:firstLine="412" w:firstLineChars="196"/>
        <w:rPr>
          <w:rFonts w:ascii="宋体" w:hAnsi="宋体" w:cs="宋体"/>
          <w:kern w:val="0"/>
          <w:szCs w:val="21"/>
        </w:rPr>
      </w:pPr>
      <w:r>
        <w:rPr>
          <w:rFonts w:ascii="宋体" w:hAnsi="宋体" w:cs="宋体" w:hint="eastAsia"/>
          <w:kern w:val="0"/>
          <w:szCs w:val="21"/>
        </w:rPr>
        <w:t>1.2招标文件分为第一册“通用条款”和第二册“专用条款”。</w:t>
      </w:r>
    </w:p>
    <w:p>
      <w:pPr>
        <w:snapToGrid w:val="0"/>
        <w:spacing w:line="360" w:lineRule="auto"/>
        <w:ind w:firstLine="412" w:firstLineChars="196"/>
        <w:rPr>
          <w:rFonts w:ascii="宋体" w:hAnsi="宋体" w:cs="宋体"/>
          <w:kern w:val="0"/>
          <w:szCs w:val="21"/>
        </w:rPr>
      </w:pPr>
      <w:r>
        <w:rPr>
          <w:rFonts w:ascii="宋体" w:hAnsi="宋体" w:cs="宋体" w:hint="eastAsia"/>
          <w:kern w:val="0"/>
          <w:szCs w:val="21"/>
        </w:rPr>
        <w:t>1.3“专用条款”是对本次采购项目的具体要求，包含招标公告、对通用条款的补充内容及其他关键信息、用户需求书、投标文件格式及附件、合同条款及格式等内容。</w:t>
      </w:r>
    </w:p>
    <w:p>
      <w:pPr>
        <w:snapToGrid w:val="0"/>
        <w:spacing w:line="360" w:lineRule="auto"/>
        <w:ind w:firstLine="412" w:firstLineChars="196"/>
        <w:rPr>
          <w:rFonts w:ascii="宋体" w:hAnsi="宋体" w:cs="宋体"/>
          <w:kern w:val="0"/>
          <w:szCs w:val="21"/>
        </w:rPr>
      </w:pPr>
      <w:r>
        <w:rPr>
          <w:rFonts w:ascii="宋体" w:hAnsi="宋体" w:cs="宋体" w:hint="eastAsia"/>
          <w:kern w:val="0"/>
          <w:szCs w:val="21"/>
        </w:rPr>
        <w:t>1.4“通用条款”是适用于政府采购公开招标项目的基础性条款，具有普遍性和通用性。</w:t>
      </w:r>
    </w:p>
    <w:p>
      <w:pPr>
        <w:snapToGrid w:val="0"/>
        <w:spacing w:line="360" w:lineRule="auto"/>
        <w:ind w:firstLine="412" w:firstLineChars="196"/>
        <w:rPr>
          <w:rFonts w:ascii="宋体" w:hAnsi="宋体" w:cs="宋体"/>
          <w:kern w:val="0"/>
          <w:szCs w:val="21"/>
        </w:rPr>
      </w:pPr>
      <w:r>
        <w:rPr>
          <w:rFonts w:ascii="宋体" w:hAnsi="宋体" w:cs="宋体" w:hint="eastAsia"/>
          <w:kern w:val="0"/>
          <w:szCs w:val="21"/>
        </w:rPr>
        <w:t>1.5“专用条款”和“通用条款”表述不一致或有冲突时，以“专用条款”为准。</w:t>
      </w:r>
    </w:p>
    <w:p>
      <w:pPr>
        <w:snapToGrid w:val="0"/>
        <w:spacing w:line="360" w:lineRule="auto"/>
        <w:rPr>
          <w:rFonts w:ascii="黑体" w:eastAsia="黑体" w:hAnsi="宋体"/>
          <w:sz w:val="24"/>
        </w:rPr>
      </w:pPr>
      <w:bookmarkStart w:id="18" w:name="_Toc73518119"/>
      <w:bookmarkStart w:id="19" w:name="_Toc73521637"/>
      <w:bookmarkStart w:id="20" w:name="_Toc73517641"/>
      <w:bookmarkStart w:id="21" w:name="_Toc60560627"/>
      <w:bookmarkStart w:id="22" w:name="_Toc73521549"/>
      <w:bookmarkStart w:id="23" w:name="_Toc100052366"/>
      <w:bookmarkStart w:id="24" w:name="_Toc60631622"/>
      <w:r>
        <w:rPr>
          <w:rFonts w:ascii="黑体" w:eastAsia="黑体" w:hAnsi="宋体" w:hint="eastAsia"/>
          <w:sz w:val="24"/>
        </w:rPr>
        <w:t>2</w:t>
      </w:r>
      <w:r>
        <w:rPr>
          <w:rFonts w:ascii="黑体" w:eastAsia="黑体" w:hAnsi="宋体"/>
          <w:sz w:val="24"/>
        </w:rPr>
        <w:t>．</w:t>
      </w:r>
      <w:r>
        <w:rPr>
          <w:rFonts w:ascii="黑体" w:eastAsia="黑体" w:hAnsi="宋体" w:hint="eastAsia"/>
          <w:sz w:val="24"/>
        </w:rPr>
        <w:t>招标说明</w:t>
      </w:r>
      <w:bookmarkEnd w:id="18"/>
      <w:bookmarkEnd w:id="19"/>
      <w:bookmarkEnd w:id="20"/>
      <w:bookmarkEnd w:id="21"/>
      <w:bookmarkEnd w:id="22"/>
      <w:bookmarkEnd w:id="23"/>
      <w:bookmarkEnd w:id="24"/>
    </w:p>
    <w:p>
      <w:pPr>
        <w:snapToGrid w:val="0"/>
        <w:spacing w:line="360" w:lineRule="auto"/>
        <w:ind w:firstLine="412" w:firstLineChars="196"/>
        <w:rPr>
          <w:rFonts w:ascii="宋体" w:hAnsi="宋体"/>
          <w:szCs w:val="21"/>
        </w:rPr>
      </w:pPr>
      <w:r>
        <w:rPr>
          <w:rFonts w:ascii="宋体" w:hAnsi="宋体" w:hint="eastAsia"/>
          <w:szCs w:val="21"/>
        </w:rPr>
        <w:t>本项目按照</w:t>
      </w:r>
      <w:r>
        <w:rPr>
          <w:rFonts w:ascii="宋体" w:hAnsi="宋体" w:cs="宋体"/>
          <w:kern w:val="0"/>
          <w:szCs w:val="21"/>
        </w:rPr>
        <w:t>《深圳经济特区政府采购条例》</w:t>
      </w:r>
      <w:r>
        <w:rPr>
          <w:rFonts w:ascii="宋体" w:hAnsi="宋体" w:cs="宋体" w:hint="eastAsia"/>
          <w:kern w:val="0"/>
          <w:szCs w:val="21"/>
        </w:rPr>
        <w:t>、</w:t>
      </w:r>
      <w:r>
        <w:rPr>
          <w:rFonts w:ascii="宋体" w:hAnsi="宋体" w:cs="宋体"/>
          <w:kern w:val="0"/>
          <w:szCs w:val="21"/>
        </w:rPr>
        <w:t>《深圳经济特区政府采购条例实施细则》</w:t>
      </w:r>
      <w:r>
        <w:rPr>
          <w:rFonts w:ascii="宋体" w:hAnsi="宋体" w:hint="eastAsia"/>
          <w:szCs w:val="21"/>
        </w:rPr>
        <w:t>的规定，并参考有关法规、政策、规章、规定，通过公开招标择优选定供应商。</w:t>
      </w:r>
    </w:p>
    <w:p>
      <w:pPr>
        <w:snapToGrid w:val="0"/>
        <w:spacing w:line="360" w:lineRule="auto"/>
        <w:rPr>
          <w:rFonts w:ascii="黑体" w:eastAsia="黑体" w:hAnsi="宋体"/>
          <w:sz w:val="24"/>
        </w:rPr>
      </w:pPr>
      <w:bookmarkStart w:id="25" w:name="_Toc73518120"/>
      <w:bookmarkStart w:id="26" w:name="_Toc100052367"/>
      <w:bookmarkStart w:id="27" w:name="_Toc73521638"/>
      <w:bookmarkStart w:id="28" w:name="_Toc73521550"/>
      <w:bookmarkStart w:id="29" w:name="_Toc60631623"/>
      <w:bookmarkStart w:id="30" w:name="_Toc60560628"/>
      <w:bookmarkStart w:id="31" w:name="_Toc73517642"/>
      <w:r>
        <w:rPr>
          <w:rFonts w:ascii="黑体" w:eastAsia="黑体" w:hAnsi="宋体" w:hint="eastAsia"/>
          <w:sz w:val="24"/>
        </w:rPr>
        <w:t>3．定义</w:t>
      </w:r>
      <w:bookmarkEnd w:id="25"/>
      <w:bookmarkEnd w:id="26"/>
      <w:bookmarkEnd w:id="27"/>
      <w:bookmarkEnd w:id="28"/>
      <w:bookmarkEnd w:id="29"/>
      <w:bookmarkEnd w:id="30"/>
      <w:bookmarkEnd w:id="31"/>
    </w:p>
    <w:p>
      <w:pPr>
        <w:snapToGrid w:val="0"/>
        <w:spacing w:line="360" w:lineRule="auto"/>
        <w:ind w:firstLine="420" w:firstLineChars="200"/>
        <w:rPr>
          <w:rFonts w:ascii="宋体" w:hAnsi="宋体"/>
          <w:szCs w:val="21"/>
        </w:rPr>
      </w:pPr>
      <w:r>
        <w:rPr>
          <w:rFonts w:ascii="宋体" w:hAnsi="宋体"/>
          <w:szCs w:val="21"/>
        </w:rPr>
        <w:t>招标文件中下列术语应解释为：</w:t>
      </w:r>
    </w:p>
    <w:p>
      <w:pPr>
        <w:snapToGrid w:val="0"/>
        <w:spacing w:line="360" w:lineRule="auto"/>
        <w:ind w:firstLine="412" w:firstLineChars="196"/>
        <w:rPr>
          <w:rFonts w:ascii="宋体" w:hAnsi="宋体"/>
          <w:szCs w:val="21"/>
        </w:rPr>
      </w:pPr>
      <w:r>
        <w:rPr>
          <w:rFonts w:ascii="宋体" w:hAnsi="宋体" w:hint="eastAsia"/>
          <w:szCs w:val="21"/>
        </w:rPr>
        <w:t>3.</w:t>
      </w:r>
      <w:r>
        <w:rPr>
          <w:rFonts w:ascii="宋体" w:hAnsi="宋体"/>
          <w:szCs w:val="21"/>
        </w:rPr>
        <w:t>1</w:t>
      </w:r>
      <w:r>
        <w:rPr>
          <w:rFonts w:ascii="宋体" w:hAnsi="宋体" w:hint="eastAsia"/>
          <w:szCs w:val="21"/>
        </w:rPr>
        <w:t xml:space="preserve"> “政府采购代理机构”、“招标机构”，系</w:t>
      </w:r>
      <w:r>
        <w:rPr>
          <w:spacing w:val="8"/>
        </w:rPr>
        <w:t>指根据采购人的委托，代理政府采购事宜的机构</w:t>
      </w:r>
      <w:r>
        <w:rPr>
          <w:rFonts w:hint="eastAsia"/>
          <w:spacing w:val="8"/>
        </w:rPr>
        <w:t>，在此特指拥有政府采购代理资格的</w:t>
      </w:r>
      <w:r>
        <w:rPr>
          <w:rFonts w:hint="eastAsia"/>
          <w:b/>
          <w:spacing w:val="8"/>
        </w:rPr>
        <w:t>深圳华仑诚工程管理有限公司</w:t>
      </w:r>
      <w:r>
        <w:rPr>
          <w:rFonts w:hint="eastAsia"/>
          <w:spacing w:val="8"/>
        </w:rPr>
        <w:t>。</w:t>
      </w:r>
    </w:p>
    <w:p>
      <w:pPr>
        <w:snapToGrid w:val="0"/>
        <w:spacing w:line="360" w:lineRule="auto"/>
        <w:ind w:firstLine="412" w:firstLineChars="196"/>
        <w:rPr>
          <w:rFonts w:ascii="宋体" w:hAnsi="宋体"/>
          <w:szCs w:val="21"/>
        </w:rPr>
      </w:pPr>
      <w:r>
        <w:rPr>
          <w:rFonts w:ascii="宋体" w:hAnsi="宋体" w:hint="eastAsia"/>
          <w:szCs w:val="21"/>
        </w:rPr>
        <w:t xml:space="preserve">3.2 “采购人”、“采购单位”：系指利用财政性资金依法进行政府采购的国家机关、事业单位、团体组织。 </w:t>
      </w:r>
    </w:p>
    <w:p>
      <w:pPr>
        <w:snapToGrid w:val="0"/>
        <w:spacing w:line="360" w:lineRule="auto"/>
        <w:ind w:firstLine="412" w:firstLineChars="196"/>
        <w:rPr>
          <w:rFonts w:ascii="宋体" w:hAnsi="宋体"/>
          <w:szCs w:val="21"/>
        </w:rPr>
      </w:pPr>
      <w:r>
        <w:rPr>
          <w:rFonts w:ascii="宋体" w:hAnsi="宋体" w:hint="eastAsia"/>
          <w:szCs w:val="21"/>
        </w:rPr>
        <w:t>3.3 “投标人”、“投标方”，即供应商，是指愿意按照招标文件要求向采购人提供货物、工程或者服务的法人、其他组织或者自然人。</w:t>
      </w:r>
    </w:p>
    <w:p>
      <w:pPr>
        <w:snapToGrid w:val="0"/>
        <w:spacing w:line="360" w:lineRule="auto"/>
        <w:ind w:firstLine="412" w:firstLineChars="196"/>
        <w:rPr>
          <w:rFonts w:ascii="宋体" w:hAnsi="宋体"/>
          <w:szCs w:val="21"/>
        </w:rPr>
      </w:pPr>
      <w:r>
        <w:rPr>
          <w:rFonts w:ascii="宋体" w:hAnsi="宋体" w:hint="eastAsia"/>
          <w:szCs w:val="21"/>
        </w:rPr>
        <w:t>3.4 “评审委员会”是依据《深圳经济特区政府采购条例》有关规定组建的专门负责本项目评标工作的临时性机构。</w:t>
      </w:r>
    </w:p>
    <w:p>
      <w:pPr>
        <w:snapToGrid w:val="0"/>
        <w:spacing w:line="360" w:lineRule="auto"/>
        <w:ind w:firstLine="412" w:firstLineChars="196"/>
        <w:rPr>
          <w:rFonts w:ascii="宋体" w:hAnsi="宋体"/>
          <w:szCs w:val="21"/>
        </w:rPr>
      </w:pPr>
      <w:r>
        <w:rPr>
          <w:rFonts w:ascii="宋体" w:hAnsi="宋体" w:hint="eastAsia"/>
          <w:szCs w:val="21"/>
        </w:rPr>
        <w:t>3.5 “日期”</w:t>
      </w:r>
      <w:r>
        <w:rPr>
          <w:rFonts w:ascii="宋体" w:hAnsi="宋体"/>
          <w:szCs w:val="21"/>
        </w:rPr>
        <w:t>指</w:t>
      </w:r>
      <w:r>
        <w:rPr>
          <w:rFonts w:ascii="宋体" w:hAnsi="宋体" w:hint="eastAsia"/>
          <w:szCs w:val="21"/>
        </w:rPr>
        <w:t>公历日。</w:t>
      </w:r>
    </w:p>
    <w:p>
      <w:pPr>
        <w:snapToGrid w:val="0"/>
        <w:spacing w:line="360" w:lineRule="auto"/>
        <w:ind w:firstLine="412" w:firstLineChars="196"/>
        <w:rPr>
          <w:rFonts w:ascii="宋体" w:hAnsi="宋体"/>
          <w:szCs w:val="21"/>
        </w:rPr>
      </w:pPr>
      <w:r>
        <w:rPr>
          <w:rFonts w:ascii="宋体" w:hAnsi="宋体" w:hint="eastAsia"/>
          <w:szCs w:val="21"/>
        </w:rPr>
        <w:t>3.6 “合同”指由本次招标所产生的合同或合约文件。</w:t>
      </w:r>
    </w:p>
    <w:p>
      <w:pPr>
        <w:wordWrap w:val="0"/>
        <w:snapToGrid w:val="0"/>
        <w:spacing w:line="360" w:lineRule="auto"/>
        <w:ind w:firstLine="412" w:firstLineChars="196"/>
        <w:rPr>
          <w:rFonts w:ascii="宋体" w:hAnsi="宋体"/>
          <w:szCs w:val="21"/>
        </w:rPr>
      </w:pPr>
      <w:r>
        <w:rPr>
          <w:rFonts w:ascii="宋体" w:hAnsi="宋体" w:hint="eastAsia"/>
          <w:szCs w:val="21"/>
        </w:rPr>
        <w:t>3.7 “电子投标文件”指利用深圳公共资源交易中心（深圳交易集团有限公司龙岗分公司）网站提供的深圳智慧采购平台投标文件制作专用软件（以下简称：投标文件制作软件）制作并加密的投标文件,适用于网上投标；（投标文件制作软件可从“下载地址：http://zfcg.szggzy.com/TPBidder/DownLoad/深圳市智慧采购平台投标文件制作专用软件.zip”下载）。</w:t>
      </w:r>
    </w:p>
    <w:p>
      <w:pPr>
        <w:snapToGrid w:val="0"/>
        <w:spacing w:line="360" w:lineRule="auto"/>
        <w:ind w:firstLine="412" w:firstLineChars="196"/>
        <w:rPr>
          <w:rFonts w:ascii="宋体" w:hAnsi="宋体"/>
          <w:szCs w:val="21"/>
        </w:rPr>
      </w:pPr>
      <w:r>
        <w:rPr>
          <w:rFonts w:ascii="宋体" w:hAnsi="宋体" w:hint="eastAsia"/>
          <w:szCs w:val="21"/>
        </w:rPr>
        <w:t>3.8 “网上投标”指通过深圳公共资源交易中心（深圳交易集团有限公司龙岗分公司）http://lg.szzfcg.cn/网站上传电子投标文件。</w:t>
      </w:r>
    </w:p>
    <w:p>
      <w:pPr>
        <w:snapToGrid w:val="0"/>
        <w:spacing w:line="360" w:lineRule="auto"/>
        <w:ind w:firstLine="412" w:firstLineChars="196"/>
        <w:rPr>
          <w:rFonts w:ascii="宋体" w:hAnsi="宋体" w:hint="eastAsia"/>
          <w:szCs w:val="21"/>
        </w:rPr>
      </w:pPr>
      <w:r>
        <w:rPr>
          <w:rFonts w:ascii="宋体" w:hAnsi="宋体" w:hint="eastAsia"/>
          <w:szCs w:val="21"/>
        </w:rPr>
        <w:t>3.9招标文件中的标题或题名仅起引导作用，而不应视为对招标文件内容的理解和解释。</w:t>
      </w:r>
    </w:p>
    <w:p>
      <w:pPr>
        <w:spacing w:line="360" w:lineRule="auto"/>
        <w:rPr>
          <w:rFonts w:ascii="黑体" w:eastAsia="黑体" w:hAnsi="宋体"/>
          <w:sz w:val="24"/>
        </w:rPr>
      </w:pPr>
      <w:r>
        <w:rPr>
          <w:rFonts w:ascii="黑体" w:eastAsia="黑体" w:hAnsi="宋体" w:hint="eastAsia"/>
          <w:sz w:val="24"/>
        </w:rPr>
        <w:t>4. 政府采购供应商责任</w:t>
      </w:r>
    </w:p>
    <w:p>
      <w:pPr>
        <w:spacing w:line="360" w:lineRule="auto"/>
        <w:ind w:firstLine="412" w:firstLineChars="196"/>
        <w:rPr>
          <w:rFonts w:ascii="宋体" w:hAnsi="宋体"/>
        </w:rPr>
      </w:pPr>
      <w:r>
        <w:rPr>
          <w:rFonts w:ascii="宋体" w:hAnsi="宋体" w:hint="eastAsia"/>
        </w:rPr>
        <w:t>4.1欢迎诚信、有实力和有社会责任心的供应商参与政府采购事业。</w:t>
      </w:r>
    </w:p>
    <w:p>
      <w:pPr>
        <w:spacing w:line="360" w:lineRule="auto"/>
        <w:ind w:firstLine="412" w:firstLineChars="196"/>
        <w:rPr>
          <w:rFonts w:ascii="宋体" w:hAnsi="宋体"/>
        </w:rPr>
      </w:pPr>
      <w:r>
        <w:rPr>
          <w:rFonts w:ascii="宋体" w:hAnsi="宋体" w:hint="eastAsia"/>
        </w:rPr>
        <w:t>4.2投标人应当遵循公平竞争的原则，不得恶意串通，不得妨碍其他投标人的竞争行为，不得损害采购人或者其他投标人的合法权益。如违反上述要求，经核实后，供应商的投标无效。</w:t>
      </w:r>
    </w:p>
    <w:p>
      <w:pPr>
        <w:spacing w:line="360" w:lineRule="auto"/>
        <w:rPr>
          <w:rFonts w:ascii="黑体" w:eastAsia="黑体" w:hAnsi="宋体"/>
          <w:sz w:val="24"/>
        </w:rPr>
      </w:pPr>
      <w:r>
        <w:rPr>
          <w:rFonts w:ascii="黑体" w:eastAsia="黑体" w:hAnsi="宋体" w:hint="eastAsia"/>
          <w:sz w:val="24"/>
        </w:rPr>
        <w:t>5．投标人参加政府采购的条件</w:t>
      </w:r>
    </w:p>
    <w:p>
      <w:pPr>
        <w:spacing w:line="360" w:lineRule="auto"/>
        <w:ind w:firstLine="412" w:firstLineChars="196"/>
        <w:rPr>
          <w:rFonts w:ascii="宋体" w:hAnsi="宋体"/>
        </w:rPr>
      </w:pPr>
      <w:r>
        <w:rPr>
          <w:rFonts w:ascii="宋体" w:hAnsi="宋体" w:hint="eastAsia"/>
        </w:rPr>
        <w:t>5.1投标人应在投标前到</w:t>
      </w:r>
      <w:r>
        <w:rPr>
          <w:rFonts w:ascii="宋体" w:hAnsi="宋体" w:hint="eastAsia"/>
          <w:b/>
          <w:bCs/>
        </w:rPr>
        <w:t>深圳公共资源交易中心（具体在深圳交易集团有限公司政府采购业务分公司进行办理）</w:t>
      </w:r>
      <w:r>
        <w:rPr>
          <w:rFonts w:ascii="宋体" w:hAnsi="宋体" w:hint="eastAsia"/>
        </w:rPr>
        <w:t>进行注册并办理电子密钥。《</w:t>
      </w:r>
      <w:r>
        <w:fldChar w:fldCharType="begin"/>
      </w:r>
      <w:r>
        <w:instrText xml:space="preserve"> HYPERLINK "http://www.szzfcg.cn/viewer.do?id=2455258" \t "documentViewer2455258" </w:instrText>
      </w:r>
      <w:r>
        <w:fldChar w:fldCharType="separate"/>
      </w:r>
      <w:r>
        <w:rPr>
          <w:rFonts w:ascii="宋体" w:hAnsi="宋体"/>
        </w:rPr>
        <w:t>供应商注册及电子密钥新申请指引</w:t>
      </w:r>
      <w:r>
        <w:fldChar w:fldCharType="end"/>
      </w:r>
      <w:r>
        <w:rPr>
          <w:rFonts w:ascii="宋体" w:hAnsi="宋体" w:hint="eastAsia"/>
        </w:rPr>
        <w:t>》详见</w:t>
      </w:r>
      <w:r>
        <w:t>http://zfcg.szggzy.com/</w:t>
      </w:r>
      <w:r>
        <w:rPr>
          <w:rFonts w:ascii="宋体" w:hAnsi="宋体" w:hint="eastAsia"/>
        </w:rPr>
        <w:t>。</w:t>
      </w:r>
    </w:p>
    <w:p>
      <w:pPr>
        <w:spacing w:line="360" w:lineRule="auto"/>
        <w:ind w:firstLine="412" w:firstLineChars="196"/>
        <w:rPr>
          <w:rFonts w:ascii="宋体" w:hAnsi="宋体"/>
        </w:rPr>
      </w:pPr>
      <w:r>
        <w:rPr>
          <w:rFonts w:ascii="宋体" w:hAnsi="宋体" w:hint="eastAsia"/>
        </w:rPr>
        <w:t>5.2投标人资格要求</w:t>
      </w:r>
    </w:p>
    <w:p>
      <w:pPr>
        <w:spacing w:line="360" w:lineRule="auto"/>
        <w:ind w:firstLine="412" w:firstLineChars="196"/>
        <w:rPr>
          <w:rFonts w:ascii="宋体" w:hAnsi="宋体"/>
        </w:rPr>
      </w:pPr>
      <w:r>
        <w:rPr>
          <w:rFonts w:ascii="宋体" w:hAnsi="宋体" w:hint="eastAsia"/>
        </w:rPr>
        <w:t>参加本项目的投标人应具备的资格条件详见本项目招标公告中 “投标人资格要求”（即申请人的资格要求）的内容。</w:t>
      </w:r>
    </w:p>
    <w:p>
      <w:pPr>
        <w:spacing w:line="360" w:lineRule="auto"/>
        <w:ind w:firstLine="412" w:firstLineChars="196"/>
        <w:rPr>
          <w:rFonts w:ascii="宋体" w:hAnsi="宋体"/>
        </w:rPr>
      </w:pPr>
      <w:r>
        <w:rPr>
          <w:rFonts w:ascii="宋体" w:hAnsi="宋体" w:hint="eastAsia"/>
        </w:rPr>
        <w:t>5.3联合体投标</w:t>
      </w:r>
    </w:p>
    <w:p>
      <w:pPr>
        <w:spacing w:line="360" w:lineRule="auto"/>
        <w:ind w:firstLine="412" w:firstLineChars="196"/>
        <w:rPr>
          <w:rFonts w:ascii="宋体" w:hAnsi="宋体"/>
        </w:rPr>
      </w:pPr>
      <w:r>
        <w:rPr>
          <w:rFonts w:ascii="宋体" w:hAnsi="宋体" w:hint="eastAsia"/>
        </w:rPr>
        <w:t>5.3.1  以下有关联合体投标的条款仅适用于允许投标人组成联合体投标的项目。</w:t>
      </w:r>
    </w:p>
    <w:p>
      <w:pPr>
        <w:spacing w:line="360" w:lineRule="auto"/>
        <w:ind w:firstLine="412" w:firstLineChars="196"/>
        <w:rPr>
          <w:rFonts w:ascii="宋体" w:hAnsi="宋体"/>
        </w:rPr>
      </w:pPr>
      <w:r>
        <w:rPr>
          <w:rFonts w:ascii="宋体" w:hAnsi="宋体" w:hint="eastAsia"/>
        </w:rPr>
        <w:t>5.3.2  由两个或两个以上的自然人、法人或者其他组织可以组成一个联合体，以一个供应商的身份共同投标时，应符合以下原则：</w:t>
      </w:r>
    </w:p>
    <w:p>
      <w:pPr>
        <w:spacing w:line="360" w:lineRule="auto"/>
        <w:ind w:firstLine="412" w:firstLineChars="196"/>
        <w:rPr>
          <w:rFonts w:ascii="宋体" w:hAnsi="宋体"/>
        </w:rPr>
      </w:pPr>
      <w:r>
        <w:rPr>
          <w:rFonts w:ascii="宋体" w:hAnsi="宋体" w:hint="eastAsia"/>
        </w:rPr>
        <w:t>（1）投标联合体各方参加政府采购活动应当具备下列条件：</w:t>
      </w:r>
      <w:r>
        <w:rPr>
          <w:rFonts w:ascii="宋体" w:hAnsi="宋体"/>
        </w:rPr>
        <w:t xml:space="preserve"> </w:t>
      </w:r>
    </w:p>
    <w:p>
      <w:pPr>
        <w:spacing w:line="360" w:lineRule="auto"/>
        <w:ind w:left="420" w:firstLine="412" w:leftChars="200" w:firstLineChars="196"/>
        <w:rPr>
          <w:rFonts w:ascii="宋体" w:hAnsi="宋体"/>
        </w:rPr>
      </w:pPr>
      <w:r>
        <w:rPr>
          <w:rFonts w:ascii="宋体" w:hAnsi="宋体" w:hint="eastAsia"/>
        </w:rPr>
        <w:t>1、具有独立承担民事责任的能力；</w:t>
      </w:r>
      <w:r>
        <w:rPr>
          <w:rFonts w:ascii="宋体" w:hAnsi="宋体"/>
        </w:rPr>
        <w:t xml:space="preserve"> </w:t>
      </w:r>
    </w:p>
    <w:p>
      <w:pPr>
        <w:spacing w:line="360" w:lineRule="auto"/>
        <w:ind w:left="420" w:firstLine="412" w:firstLineChars="196"/>
        <w:rPr>
          <w:rFonts w:ascii="宋体" w:hAnsi="宋体"/>
        </w:rPr>
      </w:pPr>
      <w:r>
        <w:rPr>
          <w:rFonts w:ascii="宋体" w:hAnsi="宋体" w:hint="eastAsia"/>
        </w:rPr>
        <w:t>2、有良好的商业信誉和健全的财务会计制度；</w:t>
      </w:r>
      <w:r>
        <w:rPr>
          <w:rFonts w:ascii="宋体" w:hAnsi="宋体"/>
        </w:rPr>
        <w:t xml:space="preserve"> </w:t>
      </w:r>
    </w:p>
    <w:p>
      <w:pPr>
        <w:spacing w:line="360" w:lineRule="auto"/>
        <w:ind w:left="420" w:firstLine="412" w:leftChars="200" w:firstLineChars="196"/>
        <w:rPr>
          <w:rFonts w:ascii="宋体" w:hAnsi="宋体"/>
        </w:rPr>
      </w:pPr>
      <w:r>
        <w:rPr>
          <w:rFonts w:ascii="宋体" w:hAnsi="宋体" w:hint="eastAsia"/>
        </w:rPr>
        <w:t>3、具有履行合同所必需的设备和专业技术能力；</w:t>
      </w:r>
      <w:r>
        <w:rPr>
          <w:rFonts w:ascii="宋体" w:hAnsi="宋体"/>
        </w:rPr>
        <w:t xml:space="preserve"> </w:t>
      </w:r>
    </w:p>
    <w:p>
      <w:pPr>
        <w:spacing w:line="360" w:lineRule="auto"/>
        <w:ind w:left="420" w:firstLine="412" w:leftChars="200" w:firstLineChars="196"/>
        <w:rPr>
          <w:rFonts w:ascii="宋体" w:hAnsi="宋体"/>
        </w:rPr>
      </w:pPr>
      <w:r>
        <w:rPr>
          <w:rFonts w:ascii="宋体" w:hAnsi="宋体" w:hint="eastAsia"/>
        </w:rPr>
        <w:t>4、有依法缴纳税收和社会保障资金的良好记录；</w:t>
      </w:r>
      <w:r>
        <w:rPr>
          <w:rFonts w:ascii="宋体" w:hAnsi="宋体"/>
        </w:rPr>
        <w:t xml:space="preserve"> </w:t>
      </w:r>
    </w:p>
    <w:p>
      <w:pPr>
        <w:spacing w:line="360" w:lineRule="auto"/>
        <w:ind w:left="420" w:firstLine="412" w:leftChars="200" w:firstLineChars="196"/>
        <w:rPr>
          <w:rFonts w:ascii="宋体" w:hAnsi="宋体"/>
        </w:rPr>
      </w:pPr>
      <w:r>
        <w:rPr>
          <w:rFonts w:ascii="宋体" w:hAnsi="宋体" w:hint="eastAsia"/>
        </w:rPr>
        <w:t>5、参加政府采购活动前三年内，在经营活动中没有重大违法记录；</w:t>
      </w:r>
      <w:r>
        <w:rPr>
          <w:rFonts w:ascii="宋体" w:hAnsi="宋体"/>
        </w:rPr>
        <w:t xml:space="preserve"> </w:t>
      </w:r>
    </w:p>
    <w:p>
      <w:pPr>
        <w:spacing w:line="360" w:lineRule="auto"/>
        <w:ind w:left="420" w:firstLine="412" w:leftChars="200" w:firstLineChars="196"/>
        <w:rPr>
          <w:rFonts w:ascii="宋体" w:hAnsi="宋体"/>
        </w:rPr>
      </w:pPr>
      <w:r>
        <w:rPr>
          <w:rFonts w:ascii="宋体" w:hAnsi="宋体" w:hint="eastAsia"/>
        </w:rPr>
        <w:t>6、法律、行政法规规定的其他条件。</w:t>
      </w:r>
      <w:r>
        <w:rPr>
          <w:rFonts w:ascii="宋体" w:hAnsi="宋体"/>
        </w:rPr>
        <w:t xml:space="preserve"> </w:t>
      </w:r>
    </w:p>
    <w:p>
      <w:pPr>
        <w:spacing w:line="360" w:lineRule="auto"/>
        <w:ind w:firstLine="412" w:firstLineChars="196"/>
        <w:rPr>
          <w:rFonts w:ascii="宋体" w:hAnsi="宋体"/>
        </w:rPr>
      </w:pPr>
      <w:r>
        <w:rPr>
          <w:rFonts w:ascii="宋体" w:hAnsi="宋体" w:hint="eastAsia"/>
        </w:rPr>
        <w:t>（2）在投标截止前，投标联合体各方均应注册成政府集中采购机构供应商；</w:t>
      </w:r>
    </w:p>
    <w:p>
      <w:pPr>
        <w:spacing w:line="360" w:lineRule="auto"/>
        <w:ind w:firstLine="412" w:firstLineChars="196"/>
        <w:rPr>
          <w:rFonts w:ascii="宋体" w:hAnsi="宋体"/>
        </w:rPr>
      </w:pPr>
      <w:r>
        <w:rPr>
          <w:rFonts w:ascii="宋体" w:hAnsi="宋体" w:hint="eastAsia"/>
        </w:rPr>
        <w:t>（3）联合体中有同类资质的供应商按照联合体分工承担相同工作的，应当按照资质等级较低的供应商确定资质等级；</w:t>
      </w:r>
    </w:p>
    <w:p>
      <w:pPr>
        <w:spacing w:line="360" w:lineRule="auto"/>
        <w:ind w:firstLine="412"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pPr>
        <w:spacing w:line="360" w:lineRule="auto"/>
        <w:ind w:firstLine="412" w:firstLineChars="196"/>
        <w:rPr>
          <w:rFonts w:ascii="宋体" w:hAnsi="宋体"/>
        </w:rPr>
      </w:pPr>
      <w:r>
        <w:rPr>
          <w:rFonts w:ascii="宋体" w:hAnsi="宋体" w:hint="eastAsia"/>
        </w:rPr>
        <w:t>（5）投标人的投标文件及中标后签署的合同协议对联合体各方均具法律约束力；</w:t>
      </w:r>
    </w:p>
    <w:p>
      <w:pPr>
        <w:spacing w:line="360" w:lineRule="auto"/>
        <w:ind w:firstLine="412" w:firstLineChars="196"/>
        <w:rPr>
          <w:rFonts w:ascii="宋体" w:hAnsi="宋体"/>
        </w:rPr>
      </w:pPr>
      <w:r>
        <w:rPr>
          <w:rFonts w:ascii="宋体" w:hAnsi="宋体" w:hint="eastAsia"/>
        </w:rPr>
        <w:t>（6）联合体各方应当签订联合体投标协议，明确约定各方拟承担的工作和责任，并将该协议随投标文件一并递交给政府集中采购机构；</w:t>
      </w:r>
    </w:p>
    <w:p>
      <w:pPr>
        <w:spacing w:line="360" w:lineRule="auto"/>
        <w:ind w:firstLine="412" w:firstLineChars="196"/>
        <w:rPr>
          <w:rFonts w:ascii="宋体" w:hAnsi="宋体"/>
        </w:rPr>
      </w:pPr>
      <w:r>
        <w:rPr>
          <w:rFonts w:ascii="宋体" w:hAnsi="宋体" w:hint="eastAsia"/>
        </w:rPr>
        <w:t>（7）联合体中标后，联合体各方应当共同与采购人签订合同，就中标项目向采购人承担连带责任；</w:t>
      </w:r>
    </w:p>
    <w:p>
      <w:pPr>
        <w:spacing w:line="360" w:lineRule="auto"/>
        <w:ind w:firstLine="412" w:firstLineChars="196"/>
        <w:rPr>
          <w:rFonts w:ascii="宋体" w:hAnsi="宋体"/>
        </w:rPr>
      </w:pPr>
      <w:r>
        <w:rPr>
          <w:rFonts w:ascii="宋体" w:hAnsi="宋体" w:hint="eastAsia"/>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pPr>
        <w:spacing w:line="360" w:lineRule="auto"/>
        <w:ind w:firstLine="412" w:firstLineChars="196"/>
        <w:rPr>
          <w:rFonts w:ascii="宋体" w:hAnsi="宋体"/>
        </w:rPr>
      </w:pPr>
      <w:r>
        <w:rPr>
          <w:rFonts w:ascii="宋体" w:hAnsi="宋体" w:hint="eastAsia"/>
        </w:rPr>
        <w:t>（9）本通用条款中“投标人”一词亦指联合体各方，专用条款另有规定或说明的除外。</w:t>
      </w:r>
    </w:p>
    <w:p>
      <w:pPr>
        <w:spacing w:line="360" w:lineRule="auto"/>
        <w:rPr>
          <w:rFonts w:ascii="黑体" w:eastAsia="黑体" w:hAnsi="宋体"/>
          <w:sz w:val="24"/>
        </w:rPr>
      </w:pPr>
      <w:r>
        <w:rPr>
          <w:rFonts w:ascii="黑体" w:eastAsia="黑体" w:hAnsi="宋体" w:hint="eastAsia"/>
          <w:sz w:val="24"/>
        </w:rPr>
        <w:t>6．政策导向</w:t>
      </w:r>
    </w:p>
    <w:p>
      <w:pPr>
        <w:spacing w:line="360" w:lineRule="auto"/>
        <w:ind w:firstLine="412" w:firstLineChars="196"/>
        <w:rPr>
          <w:rFonts w:ascii="宋体" w:hAnsi="宋体"/>
        </w:rPr>
      </w:pPr>
      <w:r>
        <w:rPr>
          <w:rFonts w:ascii="宋体" w:hAnsi="宋体" w:hint="eastAsia"/>
        </w:rPr>
        <w:t>6.1</w:t>
      </w:r>
      <w:r>
        <w:rPr>
          <w:rFonts w:ascii="宋体" w:hAnsi="宋体"/>
        </w:rPr>
        <w:t xml:space="preserve">  </w:t>
      </w:r>
      <w:r>
        <w:rPr>
          <w:rFonts w:ascii="宋体" w:hAnsi="宋体" w:hint="eastAsia"/>
        </w:rPr>
        <w:t>政府采购扶持贫困地区、中小企业、监狱企业和残疾人福利性单位发展，支持节能减排、环境保护。</w:t>
      </w:r>
    </w:p>
    <w:p>
      <w:pPr>
        <w:spacing w:line="360" w:lineRule="auto"/>
        <w:ind w:firstLine="405"/>
        <w:rPr>
          <w:shd w:val="clear" w:color="auto" w:fill="FFFFFF"/>
        </w:rPr>
      </w:pPr>
      <w:r>
        <w:rPr>
          <w:rFonts w:ascii="宋体" w:hAnsi="宋体" w:hint="eastAsia"/>
        </w:rPr>
        <w:t>6.2</w:t>
      </w:r>
      <w:r>
        <w:rPr>
          <w:rFonts w:ascii="宋体" w:hAnsi="宋体"/>
        </w:rPr>
        <w:t xml:space="preserve">  </w:t>
      </w:r>
      <w:r>
        <w:rPr>
          <w:rFonts w:ascii="宋体" w:hAnsi="宋体" w:hint="eastAsia"/>
        </w:rPr>
        <w:t>本项目落实深圳市政府采购供应商诚信管理政策要求。</w:t>
      </w:r>
    </w:p>
    <w:p>
      <w:pPr>
        <w:spacing w:line="360" w:lineRule="auto"/>
        <w:rPr>
          <w:rFonts w:ascii="黑体" w:eastAsia="黑体" w:hAnsi="宋体"/>
          <w:sz w:val="24"/>
        </w:rPr>
      </w:pPr>
      <w:r>
        <w:rPr>
          <w:rFonts w:ascii="黑体" w:eastAsia="黑体" w:hAnsi="宋体" w:hint="eastAsia"/>
          <w:sz w:val="24"/>
        </w:rPr>
        <w:t>7. 本项目若涉及采购货物，则合格的货物及相应服务应满足以下要求：</w:t>
      </w:r>
    </w:p>
    <w:p>
      <w:pPr>
        <w:spacing w:line="360" w:lineRule="auto"/>
        <w:ind w:firstLine="412" w:firstLineChars="196"/>
        <w:rPr>
          <w:rFonts w:ascii="宋体" w:hAnsi="宋体"/>
        </w:rPr>
      </w:pPr>
      <w:r>
        <w:rPr>
          <w:rFonts w:ascii="宋体" w:hAnsi="宋体" w:hint="eastAsia"/>
        </w:rPr>
        <w:t>7</w:t>
      </w:r>
      <w:r>
        <w:rPr>
          <w:rFonts w:ascii="宋体" w:hAnsi="宋体"/>
        </w:rPr>
        <w:t xml:space="preserve">.1  </w:t>
      </w:r>
      <w:r>
        <w:rPr>
          <w:rFonts w:ascii="宋体" w:hAnsi="宋体" w:hint="eastAsia"/>
        </w:rPr>
        <w:t>必须是全新、未使用过的原装合格正品（包括零部件），如安装或配置了软件的，须为正版软件。</w:t>
      </w:r>
    </w:p>
    <w:p>
      <w:pPr>
        <w:spacing w:line="360" w:lineRule="auto"/>
        <w:ind w:firstLine="412" w:firstLineChars="196"/>
        <w:rPr>
          <w:rFonts w:ascii="宋体" w:hAnsi="宋体"/>
        </w:rPr>
      </w:pPr>
      <w:r>
        <w:rPr>
          <w:rFonts w:ascii="宋体" w:hAnsi="宋体" w:hint="eastAsia"/>
        </w:rPr>
        <w:t>7.2  国产的货物及其有关服务必须符合中华人民共和国的设计、制造生产标准及行业标准。招标公告有其他要求的，亦应符合其要求。</w:t>
      </w:r>
    </w:p>
    <w:p>
      <w:pPr>
        <w:spacing w:line="360" w:lineRule="auto"/>
        <w:ind w:firstLine="412" w:firstLineChars="196"/>
        <w:rPr>
          <w:rFonts w:ascii="宋体" w:hAnsi="宋体"/>
        </w:rPr>
      </w:pPr>
      <w:r>
        <w:rPr>
          <w:rFonts w:ascii="宋体" w:hAnsi="宋体" w:hint="eastAsia"/>
        </w:rPr>
        <w:t>7</w:t>
      </w:r>
      <w:r>
        <w:rPr>
          <w:rFonts w:ascii="宋体" w:hAnsi="宋体"/>
        </w:rPr>
        <w:t>.</w:t>
      </w:r>
      <w:r>
        <w:rPr>
          <w:rFonts w:ascii="宋体" w:hAnsi="宋体" w:hint="eastAsia"/>
        </w:rPr>
        <w:t>3</w:t>
      </w:r>
      <w:r>
        <w:rPr>
          <w:rFonts w:ascii="宋体" w:hAnsi="宋体"/>
        </w:rPr>
        <w:t xml:space="preserve">  </w:t>
      </w:r>
      <w:r>
        <w:rPr>
          <w:rFonts w:ascii="宋体" w:hAnsi="宋体" w:hint="eastAsia"/>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spacing w:line="360" w:lineRule="auto"/>
        <w:ind w:firstLine="412" w:firstLineChars="196"/>
        <w:rPr>
          <w:rFonts w:ascii="宋体" w:hAnsi="宋体"/>
        </w:rPr>
      </w:pPr>
      <w:r>
        <w:rPr>
          <w:rFonts w:ascii="宋体" w:hAnsi="宋体" w:hint="eastAsia"/>
        </w:rPr>
        <w:t>7</w:t>
      </w:r>
      <w:r>
        <w:rPr>
          <w:rFonts w:ascii="宋体" w:hAnsi="宋体"/>
        </w:rPr>
        <w:t>.</w:t>
      </w:r>
      <w:r>
        <w:rPr>
          <w:rFonts w:ascii="宋体" w:hAnsi="宋体" w:hint="eastAsia"/>
        </w:rPr>
        <w:t>4</w:t>
      </w:r>
      <w:r>
        <w:rPr>
          <w:rFonts w:ascii="宋体" w:hAnsi="宋体"/>
        </w:rPr>
        <w:t xml:space="preserve">  </w:t>
      </w:r>
      <w:r>
        <w:rPr>
          <w:rFonts w:ascii="宋体" w:hAnsi="宋体" w:hint="eastAsia"/>
        </w:rPr>
        <w:t>投标人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p>
    <w:p>
      <w:pPr>
        <w:spacing w:line="360" w:lineRule="auto"/>
        <w:ind w:firstLine="412" w:firstLineChars="196"/>
        <w:rPr>
          <w:rFonts w:ascii="宋体" w:hAnsi="宋体"/>
        </w:rPr>
      </w:pPr>
      <w:r>
        <w:rPr>
          <w:rFonts w:ascii="宋体" w:hAnsi="宋体" w:hint="eastAsia"/>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spacing w:line="360" w:lineRule="auto"/>
        <w:ind w:firstLine="412" w:firstLineChars="196"/>
        <w:rPr>
          <w:rFonts w:ascii="宋体" w:hAnsi="宋体"/>
        </w:rPr>
      </w:pPr>
      <w:r>
        <w:rPr>
          <w:rFonts w:ascii="宋体" w:hAnsi="宋体" w:hint="eastAsia"/>
        </w:rPr>
        <w:t>7.6  工期要求：投标人在投标时对其所投项目应提交交货进度、交货计划等，在合同规定的时间内完成项目实施工作。</w:t>
      </w:r>
    </w:p>
    <w:p>
      <w:pPr>
        <w:spacing w:line="360" w:lineRule="auto"/>
        <w:ind w:firstLine="412" w:firstLineChars="196"/>
        <w:rPr>
          <w:rFonts w:ascii="宋体" w:hAnsi="宋体"/>
        </w:rPr>
      </w:pPr>
      <w:r>
        <w:rPr>
          <w:rFonts w:ascii="宋体" w:hAnsi="宋体" w:hint="eastAsia"/>
        </w:rPr>
        <w:t>7.7  投标人必须承担的设备运输、安装调试、验收检测和提供设备操作说明书、图纸等其他相关及类似的义务。</w:t>
      </w:r>
    </w:p>
    <w:p>
      <w:pPr>
        <w:pStyle w:val="NormalIndent"/>
        <w:ind w:firstLine="0" w:firstLineChars="0"/>
      </w:pPr>
    </w:p>
    <w:p>
      <w:pPr>
        <w:snapToGrid w:val="0"/>
        <w:spacing w:line="360" w:lineRule="auto"/>
        <w:rPr>
          <w:rFonts w:ascii="黑体" w:eastAsia="黑体" w:hAnsi="宋体"/>
          <w:sz w:val="24"/>
        </w:rPr>
      </w:pPr>
      <w:bookmarkStart w:id="32" w:name="_Toc100052370"/>
      <w:bookmarkStart w:id="33" w:name="_Toc60560631"/>
      <w:bookmarkStart w:id="34" w:name="_Toc73517645"/>
      <w:bookmarkStart w:id="35" w:name="_Toc73521641"/>
      <w:bookmarkStart w:id="36" w:name="_Toc73518123"/>
      <w:bookmarkStart w:id="37" w:name="_Toc60631626"/>
      <w:bookmarkStart w:id="38" w:name="_Toc73521553"/>
      <w:r>
        <w:rPr>
          <w:rFonts w:ascii="黑体" w:eastAsia="黑体" w:hAnsi="宋体" w:hint="eastAsia"/>
          <w:sz w:val="24"/>
        </w:rPr>
        <w:t>8．投标费用</w:t>
      </w:r>
      <w:bookmarkEnd w:id="32"/>
      <w:bookmarkEnd w:id="33"/>
      <w:bookmarkEnd w:id="34"/>
      <w:bookmarkEnd w:id="35"/>
      <w:bookmarkEnd w:id="36"/>
      <w:bookmarkEnd w:id="37"/>
      <w:bookmarkEnd w:id="38"/>
    </w:p>
    <w:p>
      <w:pPr>
        <w:snapToGrid w:val="0"/>
        <w:spacing w:line="360" w:lineRule="auto"/>
        <w:ind w:firstLine="412" w:firstLineChars="196"/>
        <w:rPr>
          <w:rFonts w:ascii="宋体" w:hAnsi="宋体"/>
          <w:szCs w:val="21"/>
        </w:rPr>
      </w:pPr>
      <w:r>
        <w:rPr>
          <w:rFonts w:ascii="宋体" w:hAnsi="宋体" w:hint="eastAsia"/>
          <w:szCs w:val="21"/>
        </w:rPr>
        <w:t>不论投标结果如何，投标人应承担其编制投标文件与递交投标文件所涉及的一切费用。</w:t>
      </w:r>
    </w:p>
    <w:p>
      <w:pPr>
        <w:snapToGrid w:val="0"/>
        <w:spacing w:line="360" w:lineRule="auto"/>
        <w:rPr>
          <w:rFonts w:ascii="黑体" w:eastAsia="黑体" w:hAnsi="宋体"/>
          <w:sz w:val="24"/>
        </w:rPr>
      </w:pPr>
      <w:bookmarkStart w:id="39" w:name="_Toc100052371"/>
      <w:bookmarkStart w:id="40" w:name="_Toc60631627"/>
      <w:bookmarkStart w:id="41" w:name="_Toc73521642"/>
      <w:bookmarkStart w:id="42" w:name="_Toc73517646"/>
      <w:bookmarkStart w:id="43" w:name="_Toc73518124"/>
      <w:bookmarkStart w:id="44" w:name="_Toc60560632"/>
      <w:bookmarkStart w:id="45" w:name="_Toc73521554"/>
      <w:r>
        <w:rPr>
          <w:rFonts w:ascii="黑体" w:eastAsia="黑体" w:hAnsi="宋体" w:hint="eastAsia"/>
          <w:sz w:val="24"/>
        </w:rPr>
        <w:t>9．踏勘现场</w:t>
      </w:r>
      <w:bookmarkEnd w:id="39"/>
      <w:bookmarkEnd w:id="40"/>
      <w:bookmarkEnd w:id="41"/>
      <w:bookmarkEnd w:id="42"/>
      <w:bookmarkEnd w:id="43"/>
      <w:bookmarkEnd w:id="44"/>
      <w:bookmarkEnd w:id="45"/>
    </w:p>
    <w:p>
      <w:pPr>
        <w:snapToGrid w:val="0"/>
        <w:spacing w:line="360" w:lineRule="auto"/>
        <w:ind w:firstLine="412" w:firstLineChars="196"/>
        <w:rPr>
          <w:rFonts w:ascii="宋体" w:hAnsi="宋体"/>
        </w:rPr>
      </w:pPr>
      <w:bookmarkStart w:id="46" w:name="_Toc78260681"/>
      <w:bookmarkStart w:id="47" w:name="_Toc100052372"/>
      <w:r>
        <w:rPr>
          <w:rFonts w:ascii="宋体" w:hAnsi="宋体" w:hint="eastAsia"/>
        </w:rPr>
        <w:t>9.1如有需要（详见专用条款），政府采购代理机构或采购单位将组织投标人对项目现场及周围环境进行踏勘，以便投标人获取有关编制投标文件和签署合同所需的所有资料。踏勘现场所发生的费用由投标人自行承担，投标人应按采购公告所约定的时间、地点踏勘现场。</w:t>
      </w:r>
    </w:p>
    <w:p>
      <w:pPr>
        <w:snapToGrid w:val="0"/>
        <w:spacing w:line="360" w:lineRule="auto"/>
        <w:ind w:firstLine="412" w:firstLineChars="196"/>
        <w:rPr>
          <w:rFonts w:ascii="宋体" w:hAnsi="宋体"/>
        </w:rPr>
      </w:pPr>
      <w:r>
        <w:rPr>
          <w:rFonts w:ascii="宋体" w:hAnsi="宋体" w:hint="eastAsia"/>
        </w:rPr>
        <w:t>9.2投标人及其人员经过采购人的允许，可以进入采购人的项目现场踏勘。若招标文件要求投标人于统一时间地点踏勘现场的，投标人应当按时前往。</w:t>
      </w:r>
    </w:p>
    <w:p>
      <w:pPr>
        <w:snapToGrid w:val="0"/>
        <w:spacing w:line="360" w:lineRule="auto"/>
        <w:ind w:firstLine="412" w:firstLineChars="196"/>
        <w:rPr>
          <w:rFonts w:ascii="宋体" w:hAnsi="宋体"/>
        </w:rPr>
      </w:pPr>
      <w:r>
        <w:rPr>
          <w:rFonts w:ascii="宋体" w:hAnsi="宋体" w:hint="eastAsia"/>
        </w:rPr>
        <w:t>9.3采购单位必须通过政府采购代理机构向投标人提供有关现场的资料和数据。</w:t>
      </w:r>
    </w:p>
    <w:p>
      <w:pPr>
        <w:snapToGrid w:val="0"/>
        <w:spacing w:line="360" w:lineRule="auto"/>
        <w:ind w:firstLine="412" w:firstLineChars="196"/>
        <w:rPr>
          <w:rFonts w:ascii="宋体" w:hAnsi="宋体"/>
        </w:rPr>
      </w:pPr>
      <w:r>
        <w:rPr>
          <w:rFonts w:ascii="宋体" w:hAnsi="宋体" w:hint="eastAsia"/>
        </w:rPr>
        <w:t>9.4任何人或任何组织在踏勘现场时向投标人提交的任何书面或口头上的资料，未经政府采购代理机构在网上发布或书面通知，均作无效处理。政府采购代理机构对投标人由此而做出的推论、理解和结论概不负责。</w:t>
      </w:r>
    </w:p>
    <w:p>
      <w:pPr>
        <w:snapToGrid w:val="0"/>
        <w:spacing w:line="360" w:lineRule="auto"/>
        <w:ind w:firstLine="412" w:firstLineChars="196"/>
        <w:rPr>
          <w:rFonts w:ascii="宋体" w:hAnsi="宋体" w:hint="eastAsia"/>
        </w:rPr>
      </w:pPr>
      <w:r>
        <w:rPr>
          <w:rFonts w:ascii="宋体" w:hAnsi="宋体" w:hint="eastAsia"/>
        </w:rPr>
        <w:t>9.5 未参与现场踏勘不作为否定投标人资格的理由。</w:t>
      </w:r>
    </w:p>
    <w:p>
      <w:pPr>
        <w:spacing w:line="360" w:lineRule="auto"/>
        <w:rPr>
          <w:rFonts w:ascii="黑体" w:eastAsia="黑体" w:hAnsi="宋体" w:hint="eastAsia"/>
          <w:sz w:val="24"/>
        </w:rPr>
      </w:pPr>
      <w:r>
        <w:rPr>
          <w:rFonts w:ascii="黑体" w:eastAsia="黑体" w:hAnsi="宋体" w:hint="eastAsia"/>
          <w:sz w:val="24"/>
        </w:rPr>
        <w:t>1</w:t>
      </w:r>
      <w:r>
        <w:rPr>
          <w:rFonts w:ascii="黑体" w:eastAsia="黑体" w:hAnsi="宋体"/>
          <w:sz w:val="24"/>
        </w:rPr>
        <w:t>0</w:t>
      </w:r>
      <w:r>
        <w:rPr>
          <w:rFonts w:ascii="黑体" w:eastAsia="黑体" w:hAnsi="宋体" w:hint="eastAsia"/>
          <w:sz w:val="24"/>
        </w:rPr>
        <w:t>．招标答疑</w:t>
      </w:r>
    </w:p>
    <w:p>
      <w:pPr>
        <w:spacing w:line="360" w:lineRule="auto"/>
        <w:ind w:firstLine="412" w:firstLineChars="196"/>
        <w:rPr>
          <w:rFonts w:ascii="宋体" w:hAnsi="宋体"/>
          <w:szCs w:val="21"/>
        </w:rPr>
      </w:pPr>
      <w:r>
        <w:rPr>
          <w:rFonts w:ascii="宋体" w:hAnsi="宋体" w:hint="eastAsia"/>
          <w:szCs w:val="21"/>
        </w:rPr>
        <w:t>10.1招标答疑的目的是澄清、解答投标人在查阅招标文件后或现场踏勘中可能提出的与投标有关的疑问或询问。</w:t>
      </w:r>
    </w:p>
    <w:p>
      <w:pPr>
        <w:spacing w:line="360" w:lineRule="auto"/>
        <w:ind w:firstLine="412" w:firstLineChars="196"/>
        <w:rPr>
          <w:rFonts w:ascii="宋体" w:hAnsi="宋体"/>
          <w:szCs w:val="21"/>
        </w:rPr>
      </w:pPr>
      <w:r>
        <w:rPr>
          <w:rFonts w:ascii="宋体" w:hAnsi="宋体" w:hint="eastAsia"/>
          <w:szCs w:val="21"/>
        </w:rPr>
        <w:t>10.2</w:t>
      </w:r>
      <w:r>
        <w:rPr>
          <w:rFonts w:hint="eastAsia"/>
        </w:rPr>
        <w:t>投标人如对招标文件内容有疑问，必须在招标文件规定的质疑截止时间前以网上提问形式提交给政府采购代理机构。</w:t>
      </w:r>
    </w:p>
    <w:p>
      <w:pPr>
        <w:spacing w:line="360" w:lineRule="auto"/>
        <w:ind w:firstLine="412" w:firstLineChars="196"/>
        <w:rPr>
          <w:rFonts w:ascii="宋体" w:hAnsi="宋体"/>
        </w:rPr>
      </w:pPr>
      <w:r>
        <w:rPr>
          <w:rFonts w:ascii="宋体" w:hAnsi="宋体" w:hint="eastAsia"/>
        </w:rPr>
        <w:t>1</w:t>
      </w:r>
      <w:r>
        <w:rPr>
          <w:rFonts w:ascii="宋体" w:hAnsi="宋体"/>
        </w:rPr>
        <w:t>0</w:t>
      </w:r>
      <w:r>
        <w:rPr>
          <w:rFonts w:ascii="宋体" w:hAnsi="宋体" w:hint="eastAsia"/>
        </w:rPr>
        <w:t>.3如采购人或政府采购代理机构认为有必要组织现场答疑会，投标人应按照招标文件规定的时间或政府采购代理机构另行书面通知（包括政府集中采购机构网站发布方式，如更正公告等）的时间和地点，参与标前会议。</w:t>
      </w:r>
    </w:p>
    <w:p>
      <w:pPr>
        <w:spacing w:line="360" w:lineRule="auto"/>
        <w:ind w:firstLine="412" w:firstLineChars="196"/>
        <w:rPr>
          <w:rFonts w:ascii="宋体" w:hAnsi="宋体"/>
        </w:rPr>
      </w:pPr>
      <w:r>
        <w:rPr>
          <w:rFonts w:ascii="宋体" w:hAnsi="宋体"/>
        </w:rPr>
        <w:t>10</w:t>
      </w:r>
      <w:r>
        <w:rPr>
          <w:rFonts w:ascii="宋体" w:hAnsi="宋体" w:hint="eastAsia"/>
        </w:rPr>
        <w:t>.4任何人或任何组织在现场答疑会时向投标人提供的任何书面资料或口头承诺，未经政府采购代理机构在网上发布或书面通知，均作无效处理。</w:t>
      </w:r>
    </w:p>
    <w:p>
      <w:pPr>
        <w:spacing w:line="360" w:lineRule="auto"/>
        <w:ind w:firstLine="412" w:firstLineChars="196"/>
        <w:rPr>
          <w:rFonts w:ascii="宋体" w:hAnsi="宋体"/>
        </w:rPr>
      </w:pPr>
      <w:r>
        <w:rPr>
          <w:rFonts w:ascii="宋体" w:hAnsi="宋体" w:hint="eastAsia"/>
        </w:rPr>
        <w:t>1</w:t>
      </w:r>
      <w:r>
        <w:rPr>
          <w:rFonts w:ascii="宋体" w:hAnsi="宋体"/>
        </w:rPr>
        <w:t>0</w:t>
      </w:r>
      <w:r>
        <w:rPr>
          <w:rFonts w:ascii="宋体" w:hAnsi="宋体" w:hint="eastAsia"/>
        </w:rPr>
        <w:t>.5未参与标前会议不作为否定投标人资格的理由。</w:t>
      </w:r>
      <w:bookmarkEnd w:id="46"/>
      <w:bookmarkEnd w:id="47"/>
      <w:bookmarkStart w:id="48" w:name="_Toc73521556"/>
      <w:bookmarkStart w:id="49" w:name="_Toc73521644"/>
      <w:bookmarkStart w:id="50" w:name="_Toc73517648"/>
      <w:bookmarkStart w:id="51" w:name="_Toc101074878"/>
      <w:bookmarkStart w:id="52" w:name="_Toc73518126"/>
      <w:bookmarkStart w:id="53" w:name="_Toc100052373"/>
    </w:p>
    <w:p>
      <w:pPr>
        <w:pStyle w:val="Heading2"/>
        <w:spacing w:line="360" w:lineRule="auto"/>
        <w:jc w:val="center"/>
      </w:pPr>
      <w:bookmarkStart w:id="54" w:name="_Toc32179"/>
      <w:bookmarkStart w:id="55" w:name="_Toc11013"/>
      <w:bookmarkStart w:id="56" w:name="_Toc32540"/>
      <w:bookmarkStart w:id="57" w:name="_Toc27511"/>
      <w:bookmarkStart w:id="58" w:name="_Toc256000005"/>
      <w:r>
        <w:rPr>
          <w:rFonts w:hint="eastAsia"/>
        </w:rPr>
        <w:t>第二章 招标文件</w:t>
      </w:r>
      <w:bookmarkEnd w:id="58"/>
      <w:bookmarkEnd w:id="48"/>
      <w:bookmarkEnd w:id="49"/>
      <w:bookmarkEnd w:id="50"/>
      <w:bookmarkEnd w:id="51"/>
      <w:bookmarkEnd w:id="52"/>
      <w:bookmarkEnd w:id="53"/>
      <w:bookmarkEnd w:id="54"/>
      <w:bookmarkEnd w:id="55"/>
      <w:bookmarkEnd w:id="56"/>
      <w:bookmarkEnd w:id="57"/>
    </w:p>
    <w:p>
      <w:pPr>
        <w:snapToGrid w:val="0"/>
        <w:spacing w:line="360" w:lineRule="auto"/>
        <w:rPr>
          <w:rFonts w:ascii="黑体" w:eastAsia="黑体" w:hAnsi="宋体"/>
          <w:sz w:val="24"/>
        </w:rPr>
      </w:pPr>
      <w:bookmarkStart w:id="59" w:name="_Toc73521557"/>
      <w:bookmarkStart w:id="60" w:name="_Toc73517649"/>
      <w:bookmarkStart w:id="61" w:name="_Toc73521645"/>
      <w:bookmarkStart w:id="62" w:name="_Toc73518127"/>
      <w:bookmarkStart w:id="63" w:name="_Toc100052374"/>
      <w:bookmarkStart w:id="64" w:name="OLE_LINK10"/>
      <w:bookmarkStart w:id="65" w:name="_Toc100052375"/>
      <w:bookmarkStart w:id="66" w:name="_Toc60631631"/>
      <w:bookmarkStart w:id="67" w:name="_Toc73521558"/>
      <w:bookmarkStart w:id="68" w:name="_Toc73521646"/>
      <w:bookmarkStart w:id="69" w:name="_Toc60560636"/>
      <w:bookmarkStart w:id="70" w:name="_Toc73518128"/>
      <w:bookmarkStart w:id="71" w:name="_Toc73517650"/>
      <w:r>
        <w:rPr>
          <w:rFonts w:ascii="黑体" w:eastAsia="黑体" w:hAnsi="宋体" w:hint="eastAsia"/>
          <w:sz w:val="24"/>
        </w:rPr>
        <w:t>11．招标文件的组成</w:t>
      </w:r>
      <w:bookmarkEnd w:id="59"/>
      <w:bookmarkEnd w:id="60"/>
      <w:bookmarkEnd w:id="61"/>
      <w:bookmarkEnd w:id="62"/>
      <w:bookmarkEnd w:id="63"/>
    </w:p>
    <w:p>
      <w:pPr>
        <w:snapToGrid w:val="0"/>
        <w:spacing w:line="360" w:lineRule="auto"/>
        <w:ind w:firstLine="412" w:firstLineChars="196"/>
        <w:rPr>
          <w:rFonts w:ascii="宋体" w:hAnsi="宋体"/>
          <w:szCs w:val="21"/>
        </w:rPr>
      </w:pPr>
      <w:r>
        <w:rPr>
          <w:rFonts w:ascii="宋体" w:hAnsi="宋体" w:hint="eastAsia"/>
          <w:szCs w:val="21"/>
        </w:rPr>
        <w:t>11.1招标文件除以下内容外，政府采购代理机构在招标期间发出的</w:t>
      </w:r>
      <w:r>
        <w:rPr>
          <w:rFonts w:ascii="宋体" w:hAnsi="宋体" w:hint="eastAsia"/>
        </w:rPr>
        <w:t>澄清或修改等相关公告或通知内容</w:t>
      </w:r>
      <w:r>
        <w:rPr>
          <w:rFonts w:ascii="宋体" w:hAnsi="宋体" w:hint="eastAsia"/>
          <w:szCs w:val="21"/>
        </w:rPr>
        <w:t>，均是招标文件的组成部分，对投标人起约束作用；</w:t>
      </w:r>
    </w:p>
    <w:p>
      <w:pPr>
        <w:snapToGrid w:val="0"/>
        <w:spacing w:line="360" w:lineRule="auto"/>
        <w:ind w:firstLine="412" w:firstLineChars="196"/>
        <w:rPr>
          <w:rFonts w:ascii="宋体" w:hAnsi="宋体"/>
          <w:szCs w:val="21"/>
        </w:rPr>
      </w:pPr>
      <w:r>
        <w:rPr>
          <w:rFonts w:ascii="宋体" w:hAnsi="宋体" w:hint="eastAsia"/>
          <w:szCs w:val="21"/>
        </w:rPr>
        <w:t>招标文件包括下列内容：</w:t>
      </w:r>
    </w:p>
    <w:p>
      <w:pPr>
        <w:spacing w:line="360" w:lineRule="auto"/>
        <w:ind w:firstLine="420" w:firstLineChars="200"/>
        <w:rPr>
          <w:rFonts w:ascii="宋体" w:hAnsi="宋体"/>
          <w:b/>
          <w:szCs w:val="21"/>
        </w:rPr>
      </w:pPr>
      <w:r>
        <w:rPr>
          <w:rFonts w:ascii="宋体" w:hAnsi="宋体" w:hint="eastAsia"/>
          <w:b/>
          <w:szCs w:val="21"/>
        </w:rPr>
        <w:t>第一册  通用条款</w:t>
      </w:r>
    </w:p>
    <w:p>
      <w:pPr>
        <w:spacing w:line="360" w:lineRule="auto"/>
        <w:ind w:firstLine="840" w:firstLineChars="400"/>
        <w:rPr>
          <w:rFonts w:ascii="宋体" w:hAnsi="宋体"/>
          <w:szCs w:val="21"/>
        </w:rPr>
      </w:pPr>
      <w:r>
        <w:rPr>
          <w:rFonts w:ascii="宋体" w:hAnsi="宋体" w:hint="eastAsia"/>
          <w:szCs w:val="21"/>
        </w:rPr>
        <w:t>第一章 总则</w:t>
      </w:r>
    </w:p>
    <w:p>
      <w:pPr>
        <w:spacing w:line="360" w:lineRule="auto"/>
        <w:ind w:firstLine="840" w:firstLineChars="400"/>
        <w:rPr>
          <w:rFonts w:ascii="宋体" w:hAnsi="宋体"/>
          <w:szCs w:val="21"/>
        </w:rPr>
      </w:pPr>
      <w:r>
        <w:rPr>
          <w:rFonts w:ascii="宋体" w:hAnsi="宋体" w:hint="eastAsia"/>
          <w:szCs w:val="21"/>
        </w:rPr>
        <w:t>第二章 招标文件</w:t>
      </w:r>
    </w:p>
    <w:p>
      <w:pPr>
        <w:spacing w:line="360" w:lineRule="auto"/>
        <w:ind w:firstLine="840" w:firstLineChars="400"/>
        <w:rPr>
          <w:rFonts w:ascii="宋体" w:hAnsi="宋体"/>
          <w:szCs w:val="21"/>
        </w:rPr>
      </w:pPr>
      <w:r>
        <w:rPr>
          <w:rFonts w:ascii="宋体" w:hAnsi="宋体" w:hint="eastAsia"/>
          <w:szCs w:val="21"/>
        </w:rPr>
        <w:t>第三章 投标文件的编制</w:t>
      </w:r>
    </w:p>
    <w:p>
      <w:pPr>
        <w:spacing w:line="360" w:lineRule="auto"/>
        <w:ind w:firstLine="840" w:firstLineChars="400"/>
        <w:rPr>
          <w:rFonts w:ascii="宋体" w:hAnsi="宋体"/>
          <w:szCs w:val="21"/>
        </w:rPr>
      </w:pPr>
      <w:r>
        <w:rPr>
          <w:rFonts w:ascii="宋体" w:hAnsi="宋体" w:hint="eastAsia"/>
          <w:szCs w:val="21"/>
        </w:rPr>
        <w:t>第四章 投标文件的递交</w:t>
      </w:r>
    </w:p>
    <w:p>
      <w:pPr>
        <w:spacing w:line="360" w:lineRule="auto"/>
        <w:ind w:firstLine="840" w:firstLineChars="400"/>
        <w:rPr>
          <w:rFonts w:ascii="宋体" w:hAnsi="宋体"/>
          <w:szCs w:val="21"/>
        </w:rPr>
      </w:pPr>
      <w:r>
        <w:rPr>
          <w:rFonts w:ascii="宋体" w:hAnsi="宋体" w:hint="eastAsia"/>
          <w:szCs w:val="21"/>
        </w:rPr>
        <w:t>第五章 开标</w:t>
      </w:r>
    </w:p>
    <w:p>
      <w:pPr>
        <w:spacing w:line="360" w:lineRule="auto"/>
        <w:ind w:firstLine="840" w:firstLineChars="400"/>
        <w:rPr>
          <w:rFonts w:ascii="宋体" w:hAnsi="宋体" w:hint="eastAsia"/>
          <w:szCs w:val="21"/>
        </w:rPr>
      </w:pPr>
      <w:r>
        <w:rPr>
          <w:rFonts w:ascii="宋体" w:hAnsi="宋体" w:hint="eastAsia"/>
          <w:szCs w:val="21"/>
        </w:rPr>
        <w:t>第六章 评审要求</w:t>
      </w:r>
    </w:p>
    <w:p>
      <w:pPr>
        <w:spacing w:line="360" w:lineRule="auto"/>
        <w:ind w:firstLine="840" w:firstLineChars="400"/>
        <w:rPr>
          <w:rFonts w:ascii="宋体" w:hAnsi="宋体" w:hint="eastAsia"/>
          <w:szCs w:val="21"/>
        </w:rPr>
      </w:pPr>
      <w:r>
        <w:rPr>
          <w:rFonts w:ascii="宋体" w:hAnsi="宋体" w:hint="eastAsia"/>
          <w:szCs w:val="21"/>
        </w:rPr>
        <w:t>第七章 评审程序及评审方法</w:t>
      </w:r>
    </w:p>
    <w:p>
      <w:pPr>
        <w:spacing w:line="360" w:lineRule="auto"/>
        <w:ind w:firstLine="840" w:firstLineChars="400"/>
        <w:rPr>
          <w:rFonts w:hint="eastAsia"/>
        </w:rPr>
      </w:pPr>
      <w:r>
        <w:rPr>
          <w:rFonts w:ascii="宋体" w:hAnsi="宋体" w:hint="eastAsia"/>
          <w:szCs w:val="21"/>
        </w:rPr>
        <w:t>第八章 定标及公示</w:t>
      </w:r>
    </w:p>
    <w:p>
      <w:pPr>
        <w:spacing w:line="360" w:lineRule="auto"/>
        <w:ind w:firstLine="840" w:firstLineChars="400"/>
        <w:rPr>
          <w:rFonts w:ascii="宋体" w:hAnsi="宋体"/>
          <w:szCs w:val="21"/>
        </w:rPr>
      </w:pPr>
      <w:r>
        <w:rPr>
          <w:rFonts w:ascii="宋体" w:hAnsi="宋体" w:hint="eastAsia"/>
          <w:szCs w:val="21"/>
        </w:rPr>
        <w:t>第九章 公开招标失败的后续处理</w:t>
      </w:r>
    </w:p>
    <w:p>
      <w:pPr>
        <w:spacing w:line="360" w:lineRule="auto"/>
        <w:ind w:firstLine="840" w:firstLineChars="400"/>
        <w:rPr>
          <w:rFonts w:ascii="宋体" w:hAnsi="宋体" w:hint="eastAsia"/>
          <w:szCs w:val="21"/>
        </w:rPr>
      </w:pPr>
      <w:r>
        <w:rPr>
          <w:rFonts w:ascii="宋体" w:hAnsi="宋体" w:hint="eastAsia"/>
          <w:szCs w:val="21"/>
        </w:rPr>
        <w:t>第十章 合同的授予与备案</w:t>
      </w:r>
    </w:p>
    <w:p>
      <w:pPr>
        <w:spacing w:line="360" w:lineRule="auto"/>
        <w:ind w:firstLine="840" w:firstLineChars="400"/>
        <w:rPr>
          <w:rFonts w:hint="eastAsia"/>
        </w:rPr>
      </w:pPr>
      <w:r>
        <w:rPr>
          <w:rFonts w:hint="eastAsia"/>
        </w:rPr>
        <w:t>第十一章 项目质疑受理与答复</w:t>
      </w:r>
    </w:p>
    <w:p>
      <w:pPr>
        <w:spacing w:line="360" w:lineRule="auto"/>
        <w:ind w:firstLine="420" w:firstLineChars="200"/>
        <w:rPr>
          <w:rFonts w:ascii="宋体" w:hAnsi="宋体"/>
          <w:b/>
          <w:szCs w:val="21"/>
        </w:rPr>
      </w:pPr>
      <w:r>
        <w:rPr>
          <w:rFonts w:ascii="宋体" w:hAnsi="宋体" w:hint="eastAsia"/>
          <w:b/>
          <w:szCs w:val="21"/>
        </w:rPr>
        <w:t>第二册  专用条款</w:t>
      </w:r>
    </w:p>
    <w:p>
      <w:pPr>
        <w:spacing w:line="360" w:lineRule="auto"/>
        <w:ind w:firstLine="840" w:firstLineChars="400"/>
        <w:rPr>
          <w:rFonts w:ascii="宋体" w:hAnsi="宋体"/>
          <w:szCs w:val="21"/>
        </w:rPr>
      </w:pPr>
      <w:r>
        <w:rPr>
          <w:rFonts w:ascii="宋体" w:hAnsi="宋体" w:hint="eastAsia"/>
          <w:szCs w:val="21"/>
        </w:rPr>
        <w:t>第一章 招标公告</w:t>
      </w:r>
    </w:p>
    <w:p>
      <w:pPr>
        <w:spacing w:line="360" w:lineRule="auto"/>
        <w:ind w:firstLine="840" w:firstLineChars="400"/>
        <w:rPr>
          <w:rFonts w:ascii="宋体" w:hAnsi="宋体"/>
          <w:szCs w:val="21"/>
        </w:rPr>
      </w:pPr>
      <w:r>
        <w:rPr>
          <w:rFonts w:ascii="宋体" w:hAnsi="宋体" w:hint="eastAsia"/>
          <w:szCs w:val="21"/>
        </w:rPr>
        <w:t>第二章 关键信息</w:t>
      </w:r>
    </w:p>
    <w:p>
      <w:pPr>
        <w:spacing w:line="360" w:lineRule="auto"/>
        <w:ind w:firstLine="1260" w:firstLineChars="600"/>
        <w:rPr>
          <w:rFonts w:ascii="宋体" w:hAnsi="宋体"/>
          <w:szCs w:val="21"/>
        </w:rPr>
      </w:pPr>
      <w:r>
        <w:rPr>
          <w:rFonts w:ascii="宋体" w:hAnsi="宋体" w:hint="eastAsia"/>
          <w:szCs w:val="21"/>
        </w:rPr>
        <w:t>一、对通用条款的补充内容</w:t>
      </w:r>
    </w:p>
    <w:p>
      <w:pPr>
        <w:spacing w:line="360" w:lineRule="auto"/>
        <w:ind w:firstLine="1260" w:firstLineChars="600"/>
        <w:rPr>
          <w:rFonts w:ascii="宋体" w:hAnsi="宋体"/>
          <w:szCs w:val="21"/>
        </w:rPr>
      </w:pPr>
      <w:r>
        <w:rPr>
          <w:rFonts w:ascii="宋体" w:hAnsi="宋体" w:hint="eastAsia"/>
          <w:szCs w:val="21"/>
        </w:rPr>
        <w:t>二、投标文件初审表</w:t>
      </w:r>
    </w:p>
    <w:p>
      <w:pPr>
        <w:spacing w:line="360" w:lineRule="auto"/>
        <w:ind w:firstLine="1260" w:firstLineChars="600"/>
        <w:rPr>
          <w:rFonts w:ascii="宋体" w:hAnsi="宋体" w:hint="eastAsia"/>
          <w:szCs w:val="21"/>
        </w:rPr>
      </w:pPr>
      <w:r>
        <w:rPr>
          <w:rFonts w:ascii="宋体" w:hAnsi="宋体" w:hint="eastAsia"/>
          <w:szCs w:val="21"/>
        </w:rPr>
        <w:t>三、评标信息</w:t>
      </w:r>
    </w:p>
    <w:p>
      <w:pPr>
        <w:spacing w:line="360" w:lineRule="auto"/>
        <w:ind w:firstLine="1260" w:firstLineChars="600"/>
        <w:rPr>
          <w:rFonts w:eastAsia="宋体" w:hint="default"/>
          <w:lang w:val="en-US" w:eastAsia="zh-CN"/>
        </w:rPr>
      </w:pPr>
      <w:r>
        <w:rPr>
          <w:rFonts w:ascii="宋体" w:hAnsi="宋体" w:hint="eastAsia"/>
          <w:szCs w:val="21"/>
          <w:lang w:val="en-US" w:eastAsia="zh-CN"/>
        </w:rPr>
        <w:t>四、其他关键信息</w:t>
      </w:r>
    </w:p>
    <w:p>
      <w:pPr>
        <w:spacing w:line="360" w:lineRule="auto"/>
        <w:ind w:firstLine="840" w:firstLineChars="400"/>
        <w:rPr>
          <w:rFonts w:ascii="宋体" w:hAnsi="宋体"/>
          <w:szCs w:val="21"/>
        </w:rPr>
      </w:pPr>
      <w:r>
        <w:rPr>
          <w:rFonts w:ascii="宋体" w:hAnsi="宋体" w:hint="eastAsia"/>
          <w:szCs w:val="21"/>
        </w:rPr>
        <w:t>第三章 项目需求</w:t>
      </w:r>
    </w:p>
    <w:p>
      <w:pPr>
        <w:spacing w:line="360" w:lineRule="auto"/>
        <w:ind w:firstLine="840" w:firstLineChars="400"/>
        <w:rPr>
          <w:rFonts w:ascii="宋体" w:hAnsi="宋体"/>
          <w:szCs w:val="21"/>
        </w:rPr>
      </w:pPr>
      <w:r>
        <w:rPr>
          <w:rFonts w:ascii="宋体" w:hAnsi="宋体" w:hint="eastAsia"/>
          <w:szCs w:val="21"/>
        </w:rPr>
        <w:t>第四章 合同条款及格式</w:t>
      </w:r>
    </w:p>
    <w:p>
      <w:pPr>
        <w:spacing w:line="360" w:lineRule="auto"/>
        <w:ind w:firstLine="840" w:firstLineChars="400"/>
        <w:rPr>
          <w:rFonts w:ascii="宋体" w:hAnsi="宋体"/>
          <w:szCs w:val="21"/>
        </w:rPr>
      </w:pPr>
      <w:r>
        <w:rPr>
          <w:rFonts w:ascii="宋体" w:hAnsi="宋体" w:hint="eastAsia"/>
          <w:szCs w:val="21"/>
        </w:rPr>
        <w:t>第五章 投标文件的格式、附件</w:t>
      </w:r>
    </w:p>
    <w:p>
      <w:pPr>
        <w:snapToGrid w:val="0"/>
        <w:spacing w:line="360" w:lineRule="auto"/>
        <w:ind w:firstLine="412" w:firstLineChars="196"/>
        <w:rPr>
          <w:rFonts w:ascii="宋体" w:hAnsi="宋体"/>
          <w:szCs w:val="21"/>
        </w:rPr>
      </w:pPr>
      <w:r>
        <w:rPr>
          <w:rFonts w:ascii="宋体" w:hAnsi="宋体" w:hint="eastAsia"/>
          <w:szCs w:val="21"/>
        </w:rPr>
        <w:t xml:space="preserve">11.2 </w:t>
      </w:r>
      <w:r>
        <w:rPr>
          <w:rFonts w:ascii="宋体" w:hAnsi="宋体" w:hint="eastAsia"/>
        </w:rPr>
        <w:t>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r>
        <w:rPr>
          <w:rFonts w:ascii="宋体" w:hAnsi="宋体" w:hint="eastAsia"/>
          <w:szCs w:val="21"/>
        </w:rPr>
        <w:t>。</w:t>
      </w:r>
    </w:p>
    <w:p>
      <w:pPr>
        <w:snapToGrid w:val="0"/>
        <w:spacing w:line="360" w:lineRule="auto"/>
        <w:ind w:firstLine="412" w:firstLineChars="196"/>
        <w:rPr>
          <w:rFonts w:ascii="宋体" w:hAnsi="宋体" w:hint="eastAsia"/>
        </w:rPr>
      </w:pPr>
      <w:r>
        <w:rPr>
          <w:rFonts w:ascii="宋体" w:hAnsi="宋体" w:hint="eastAsia"/>
          <w:szCs w:val="21"/>
        </w:rPr>
        <w:t>11.4</w:t>
      </w:r>
      <w:r>
        <w:rPr>
          <w:rFonts w:ascii="宋体" w:hAnsi="宋体" w:hint="eastAsia"/>
        </w:rPr>
        <w:t>任何人或任何组织向投标人提交的任何书面或口头资料，未经政府采购代理机构在网上发布或书面通知，均作无效处理，不得作为招标文件的组成部分。政府采购代理机构对投标人由此而做出的推论、理解和结论概不负责。</w:t>
      </w:r>
      <w:bookmarkEnd w:id="64"/>
    </w:p>
    <w:p>
      <w:pPr>
        <w:snapToGrid w:val="0"/>
        <w:spacing w:line="360" w:lineRule="auto"/>
        <w:rPr>
          <w:rFonts w:ascii="黑体" w:eastAsia="黑体" w:hAnsi="宋体"/>
          <w:sz w:val="24"/>
        </w:rPr>
      </w:pPr>
      <w:r>
        <w:rPr>
          <w:rFonts w:ascii="黑体" w:eastAsia="黑体" w:hAnsi="宋体" w:hint="eastAsia"/>
          <w:sz w:val="24"/>
        </w:rPr>
        <w:t>12．招标文件的澄清</w:t>
      </w:r>
      <w:bookmarkEnd w:id="65"/>
      <w:bookmarkEnd w:id="66"/>
      <w:bookmarkEnd w:id="67"/>
      <w:bookmarkEnd w:id="68"/>
      <w:bookmarkEnd w:id="69"/>
      <w:bookmarkEnd w:id="70"/>
      <w:bookmarkEnd w:id="71"/>
    </w:p>
    <w:p>
      <w:pPr>
        <w:snapToGrid w:val="0"/>
        <w:spacing w:line="360" w:lineRule="auto"/>
        <w:ind w:firstLine="412" w:firstLineChars="196"/>
        <w:rPr>
          <w:rFonts w:ascii="宋体" w:hAnsi="宋体" w:hint="eastAsia"/>
          <w:szCs w:val="21"/>
        </w:rPr>
      </w:pPr>
      <w:bookmarkStart w:id="72" w:name="_Toc73517651"/>
      <w:bookmarkStart w:id="73" w:name="_Toc60560637"/>
      <w:bookmarkStart w:id="74" w:name="_Toc73521559"/>
      <w:bookmarkStart w:id="75" w:name="_Toc60631632"/>
      <w:bookmarkStart w:id="76" w:name="_Toc73521647"/>
      <w:bookmarkStart w:id="77" w:name="_Toc100052376"/>
      <w:bookmarkStart w:id="78" w:name="_Toc73518129"/>
      <w:r>
        <w:rPr>
          <w:rFonts w:ascii="宋体" w:hAnsi="宋体" w:hint="eastAsia"/>
          <w:szCs w:val="21"/>
        </w:rPr>
        <w:t>12.1招标文件澄清的目的是澄清、解答投标人在查阅招标文件后或现场踏勘中可能提出的与投标有关的疑问或询问。</w:t>
      </w:r>
    </w:p>
    <w:p>
      <w:pPr>
        <w:snapToGrid w:val="0"/>
        <w:spacing w:line="360" w:lineRule="auto"/>
        <w:ind w:firstLine="412" w:firstLineChars="196"/>
        <w:rPr>
          <w:rFonts w:ascii="宋体" w:hAnsi="宋体" w:hint="eastAsia"/>
          <w:szCs w:val="21"/>
        </w:rPr>
      </w:pPr>
      <w:r>
        <w:rPr>
          <w:rFonts w:ascii="宋体" w:hAnsi="宋体" w:hint="eastAsia"/>
          <w:szCs w:val="21"/>
        </w:rPr>
        <w:t>12.2投标人如对招标文件内容有疑问，应当在招标公告规定的澄清（提问）截止时间前以网上提问的形式通过网上政府采购系统提交给政府采购代理机构。</w:t>
      </w:r>
    </w:p>
    <w:p>
      <w:pPr>
        <w:snapToGrid w:val="0"/>
        <w:spacing w:line="360" w:lineRule="auto"/>
        <w:ind w:firstLine="412" w:firstLineChars="196"/>
        <w:rPr>
          <w:rFonts w:ascii="宋体" w:hAnsi="宋体"/>
          <w:szCs w:val="21"/>
        </w:rPr>
      </w:pPr>
      <w:r>
        <w:rPr>
          <w:rFonts w:ascii="宋体" w:hAnsi="宋体" w:hint="eastAsia"/>
          <w:szCs w:val="21"/>
        </w:rPr>
        <w:t>12.3不论是政府采购代理机构根据需要主动对招标文件进行必要的澄清或是根据投标人的要求对招标文件做出澄清，政府采购代理机构都将在投标截止日期前以书面形式（包括政府集中采购机构网站发布方式）答复或发送给所有投标人。答复内容是招标文件的组成部分，对投标人起约束作用，其有效性按照本通用条款第13.3、13.4款规定执行。</w:t>
      </w:r>
    </w:p>
    <w:p>
      <w:pPr>
        <w:snapToGrid w:val="0"/>
        <w:spacing w:line="360" w:lineRule="auto"/>
        <w:rPr>
          <w:rFonts w:ascii="黑体" w:eastAsia="黑体" w:hAnsi="宋体"/>
          <w:sz w:val="24"/>
        </w:rPr>
      </w:pPr>
      <w:r>
        <w:rPr>
          <w:rFonts w:ascii="黑体" w:eastAsia="黑体" w:hAnsi="宋体"/>
          <w:sz w:val="24"/>
        </w:rPr>
        <w:t>1</w:t>
      </w:r>
      <w:r>
        <w:rPr>
          <w:rFonts w:ascii="黑体" w:eastAsia="黑体" w:hAnsi="宋体" w:hint="eastAsia"/>
          <w:sz w:val="24"/>
        </w:rPr>
        <w:t>3．招标文件的修改</w:t>
      </w:r>
      <w:bookmarkEnd w:id="72"/>
      <w:bookmarkEnd w:id="73"/>
      <w:bookmarkEnd w:id="74"/>
      <w:bookmarkEnd w:id="75"/>
      <w:bookmarkEnd w:id="76"/>
      <w:bookmarkEnd w:id="77"/>
      <w:bookmarkEnd w:id="78"/>
    </w:p>
    <w:p>
      <w:pPr>
        <w:snapToGrid w:val="0"/>
        <w:spacing w:line="360" w:lineRule="auto"/>
        <w:ind w:firstLine="412" w:firstLineChars="196"/>
        <w:rPr>
          <w:rFonts w:ascii="宋体" w:hAnsi="宋体"/>
          <w:szCs w:val="21"/>
        </w:rPr>
      </w:pPr>
      <w:r>
        <w:rPr>
          <w:rFonts w:ascii="宋体" w:hAnsi="宋体"/>
          <w:szCs w:val="21"/>
        </w:rPr>
        <w:t>1</w:t>
      </w:r>
      <w:r>
        <w:rPr>
          <w:rFonts w:ascii="宋体" w:hAnsi="宋体" w:hint="eastAsia"/>
          <w:szCs w:val="21"/>
        </w:rPr>
        <w:t>3.1 招标文件发出后，在投标截止日期前任何时候，确需要变更招标内容的，政府采购代理机构可主动地或在解答投标人提出的澄清问题时对招标文件进行修改；</w:t>
      </w:r>
    </w:p>
    <w:p>
      <w:pPr>
        <w:spacing w:line="360" w:lineRule="auto"/>
        <w:ind w:firstLine="420" w:firstLineChars="200"/>
        <w:rPr>
          <w:rFonts w:ascii="宋体" w:hAnsi="宋体"/>
          <w:szCs w:val="21"/>
        </w:rPr>
      </w:pPr>
      <w:r>
        <w:rPr>
          <w:rFonts w:ascii="宋体" w:hAnsi="宋体"/>
          <w:szCs w:val="21"/>
        </w:rPr>
        <w:t>1</w:t>
      </w:r>
      <w:r>
        <w:rPr>
          <w:rFonts w:ascii="宋体" w:hAnsi="宋体" w:hint="eastAsia"/>
          <w:szCs w:val="21"/>
        </w:rPr>
        <w:t>3.2招标文件的修改以书面形式（包括政府集中采购机构网站发布方式，如更正公告等）发送给所有投标人，招标文件的修改内容作为招标文件的组成部分，并具有约束力。</w:t>
      </w:r>
    </w:p>
    <w:p>
      <w:pPr>
        <w:snapToGrid w:val="0"/>
        <w:spacing w:line="360" w:lineRule="auto"/>
        <w:ind w:firstLine="412" w:firstLineChars="196"/>
        <w:rPr>
          <w:rFonts w:ascii="宋体" w:hAnsi="宋体"/>
          <w:szCs w:val="21"/>
        </w:rPr>
      </w:pPr>
      <w:r>
        <w:rPr>
          <w:rFonts w:ascii="宋体" w:hAnsi="宋体" w:hint="eastAsia"/>
          <w:szCs w:val="21"/>
        </w:rPr>
        <w:t>13.3 招标文件、招标文件澄清（答疑）纪要、招标文件修改补充通知内容均以书面明确或网上公开发布的内容为准。当招标文件、修改补充通知、澄清（答疑）纪要内容相互矛盾时，以最后发出的内容为准；</w:t>
      </w:r>
    </w:p>
    <w:p>
      <w:pPr>
        <w:snapToGrid w:val="0"/>
        <w:spacing w:line="360" w:lineRule="auto"/>
        <w:ind w:firstLine="412" w:firstLineChars="196"/>
        <w:rPr>
          <w:rFonts w:ascii="宋体" w:hAnsi="宋体"/>
          <w:szCs w:val="21"/>
        </w:rPr>
      </w:pPr>
      <w:r>
        <w:rPr>
          <w:rFonts w:ascii="宋体" w:hAnsi="宋体" w:hint="eastAsia"/>
          <w:szCs w:val="21"/>
        </w:rPr>
        <w:t>13.4 政府采购代理机构保证招标文件澄清（答疑）纪要和招标文件修改补充通知在投标截止时间前以网站公开发布形式或书面形式发送给所有投标人。为使投标人在编写投标文件时有充分时间对招标文件的修改部分进行研究，政府采购代理机构可以酌情延长递交投标文件的截止日期，具体时间将在修改补充通知中明确。</w:t>
      </w:r>
    </w:p>
    <w:p>
      <w:pPr>
        <w:snapToGrid w:val="0"/>
        <w:spacing w:line="360" w:lineRule="auto"/>
        <w:ind w:firstLine="412" w:firstLineChars="196"/>
        <w:rPr>
          <w:rFonts w:ascii="宋体" w:hAnsi="宋体"/>
          <w:szCs w:val="21"/>
        </w:rPr>
      </w:pPr>
    </w:p>
    <w:p>
      <w:pPr>
        <w:pStyle w:val="Heading2"/>
        <w:spacing w:line="360" w:lineRule="auto"/>
        <w:jc w:val="center"/>
      </w:pPr>
      <w:bookmarkStart w:id="79" w:name="bt投标文件"/>
      <w:bookmarkEnd w:id="79"/>
      <w:bookmarkStart w:id="80" w:name="_Toc100052377"/>
      <w:bookmarkStart w:id="81" w:name="_Toc73518130"/>
      <w:bookmarkStart w:id="82" w:name="_Toc73517652"/>
      <w:bookmarkStart w:id="83" w:name="_Toc101074879"/>
      <w:bookmarkStart w:id="84" w:name="_Toc73521648"/>
      <w:bookmarkStart w:id="85" w:name="_Toc73521560"/>
      <w:bookmarkStart w:id="86" w:name="_Toc19361"/>
      <w:bookmarkStart w:id="87" w:name="_Toc3800"/>
      <w:bookmarkStart w:id="88" w:name="_Toc17769"/>
      <w:bookmarkStart w:id="89" w:name="_Toc1124"/>
      <w:bookmarkStart w:id="90" w:name="_Toc256000006"/>
      <w:r>
        <w:rPr>
          <w:rFonts w:hint="eastAsia"/>
        </w:rPr>
        <w:t>第三章 投标文件</w:t>
      </w:r>
      <w:bookmarkEnd w:id="80"/>
      <w:bookmarkEnd w:id="81"/>
      <w:bookmarkEnd w:id="82"/>
      <w:bookmarkEnd w:id="83"/>
      <w:bookmarkEnd w:id="84"/>
      <w:bookmarkEnd w:id="85"/>
      <w:r>
        <w:rPr>
          <w:rFonts w:hint="eastAsia"/>
        </w:rPr>
        <w:t>的编制</w:t>
      </w:r>
      <w:bookmarkEnd w:id="90"/>
      <w:bookmarkEnd w:id="86"/>
      <w:bookmarkEnd w:id="87"/>
      <w:bookmarkEnd w:id="88"/>
      <w:bookmarkEnd w:id="89"/>
    </w:p>
    <w:p>
      <w:pPr>
        <w:snapToGrid w:val="0"/>
        <w:spacing w:line="360" w:lineRule="auto"/>
        <w:rPr>
          <w:rFonts w:ascii="黑体" w:eastAsia="黑体" w:hAnsi="宋体"/>
          <w:sz w:val="24"/>
        </w:rPr>
      </w:pPr>
      <w:bookmarkStart w:id="91" w:name="_Toc60631634"/>
      <w:bookmarkStart w:id="92" w:name="_Toc73518131"/>
      <w:bookmarkStart w:id="93" w:name="_Toc100052378"/>
      <w:bookmarkStart w:id="94" w:name="_Toc73521649"/>
      <w:bookmarkStart w:id="95" w:name="_Toc73521561"/>
      <w:bookmarkStart w:id="96" w:name="_Toc73517653"/>
      <w:bookmarkStart w:id="97" w:name="_Toc60560639"/>
      <w:r>
        <w:rPr>
          <w:rFonts w:ascii="黑体" w:eastAsia="黑体" w:hAnsi="宋体" w:hint="eastAsia"/>
          <w:sz w:val="24"/>
        </w:rPr>
        <w:t>14．投标文件的语言及度量单位</w:t>
      </w:r>
      <w:bookmarkEnd w:id="91"/>
      <w:bookmarkEnd w:id="92"/>
      <w:bookmarkEnd w:id="93"/>
      <w:bookmarkEnd w:id="94"/>
      <w:bookmarkEnd w:id="95"/>
      <w:bookmarkEnd w:id="96"/>
      <w:bookmarkEnd w:id="97"/>
    </w:p>
    <w:p>
      <w:pPr>
        <w:snapToGrid w:val="0"/>
        <w:spacing w:line="360" w:lineRule="auto"/>
        <w:ind w:firstLine="412" w:firstLineChars="196"/>
        <w:rPr>
          <w:rFonts w:ascii="宋体" w:hAnsi="宋体" w:hint="eastAsia"/>
          <w:szCs w:val="21"/>
        </w:rPr>
      </w:pPr>
      <w:r>
        <w:rPr>
          <w:rFonts w:ascii="宋体" w:hAnsi="宋体" w:hint="eastAsia"/>
          <w:szCs w:val="21"/>
        </w:rPr>
        <w:t>14.1 投标人与政府采购代理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pPr>
        <w:snapToGrid w:val="0"/>
        <w:spacing w:line="360" w:lineRule="auto"/>
        <w:ind w:firstLine="412" w:firstLineChars="196"/>
        <w:rPr>
          <w:rFonts w:ascii="宋体" w:hAnsi="宋体"/>
          <w:szCs w:val="21"/>
        </w:rPr>
      </w:pPr>
      <w:r>
        <w:rPr>
          <w:rFonts w:ascii="宋体" w:hAnsi="宋体" w:hint="eastAsia"/>
          <w:szCs w:val="21"/>
        </w:rPr>
        <w:t>14.2 除技术规范另有规定外，投标文件使用的度量单位，均采用中华人民共和国法定计量单位。</w:t>
      </w:r>
    </w:p>
    <w:p>
      <w:pPr>
        <w:snapToGrid w:val="0"/>
        <w:spacing w:line="360" w:lineRule="auto"/>
        <w:rPr>
          <w:rFonts w:ascii="黑体" w:eastAsia="黑体" w:hAnsi="宋体"/>
          <w:sz w:val="24"/>
        </w:rPr>
      </w:pPr>
      <w:bookmarkStart w:id="98" w:name="_Toc60631635"/>
      <w:bookmarkStart w:id="99" w:name="_Toc73521562"/>
      <w:bookmarkStart w:id="100" w:name="_Toc73521650"/>
      <w:bookmarkStart w:id="101" w:name="_Toc60560640"/>
      <w:bookmarkStart w:id="102" w:name="_Toc100052379"/>
      <w:bookmarkStart w:id="103" w:name="_Toc73518132"/>
      <w:bookmarkStart w:id="104" w:name="_Toc73517654"/>
      <w:r>
        <w:rPr>
          <w:rFonts w:ascii="黑体" w:eastAsia="黑体" w:hAnsi="宋体" w:hint="eastAsia"/>
          <w:sz w:val="24"/>
        </w:rPr>
        <w:t>15．投标文件的组成</w:t>
      </w:r>
      <w:bookmarkEnd w:id="98"/>
      <w:bookmarkEnd w:id="99"/>
      <w:bookmarkEnd w:id="100"/>
      <w:bookmarkEnd w:id="101"/>
      <w:bookmarkEnd w:id="102"/>
      <w:bookmarkEnd w:id="103"/>
      <w:bookmarkEnd w:id="104"/>
    </w:p>
    <w:p>
      <w:pPr>
        <w:snapToGrid w:val="0"/>
        <w:spacing w:line="360" w:lineRule="auto"/>
        <w:ind w:firstLine="412" w:firstLineChars="196"/>
        <w:rPr>
          <w:rFonts w:ascii="宋体" w:hAnsi="宋体"/>
          <w:b/>
          <w:szCs w:val="21"/>
        </w:rPr>
      </w:pPr>
      <w:r>
        <w:rPr>
          <w:rFonts w:ascii="宋体" w:hAnsi="宋体" w:hint="eastAsia"/>
          <w:b/>
          <w:szCs w:val="21"/>
        </w:rPr>
        <w:t>具体内容请详见本项目招标文件的相关内容</w:t>
      </w:r>
      <w:bookmarkStart w:id="105" w:name="投标文件的组成"/>
      <w:bookmarkStart w:id="106" w:name="_Toc73517655"/>
      <w:bookmarkStart w:id="107" w:name="_Toc73518133"/>
      <w:bookmarkStart w:id="108" w:name="_Toc73521563"/>
      <w:bookmarkStart w:id="109" w:name="_Toc60631636"/>
      <w:bookmarkStart w:id="110" w:name="_Toc60560641"/>
      <w:bookmarkStart w:id="111" w:name="_Toc73521651"/>
    </w:p>
    <w:p>
      <w:pPr>
        <w:snapToGrid w:val="0"/>
        <w:spacing w:line="360" w:lineRule="auto"/>
        <w:rPr>
          <w:rFonts w:ascii="黑体" w:eastAsia="黑体" w:hAnsi="宋体"/>
          <w:sz w:val="24"/>
        </w:rPr>
      </w:pPr>
      <w:bookmarkEnd w:id="105"/>
      <w:bookmarkStart w:id="112" w:name="_Toc100052380"/>
      <w:r>
        <w:rPr>
          <w:rFonts w:ascii="黑体" w:eastAsia="黑体" w:hAnsi="宋体" w:hint="eastAsia"/>
          <w:sz w:val="24"/>
        </w:rPr>
        <w:t>16．投标文件格式</w:t>
      </w:r>
      <w:bookmarkEnd w:id="106"/>
      <w:bookmarkEnd w:id="107"/>
      <w:bookmarkEnd w:id="108"/>
      <w:bookmarkEnd w:id="109"/>
      <w:bookmarkEnd w:id="110"/>
      <w:bookmarkEnd w:id="111"/>
      <w:bookmarkEnd w:id="112"/>
    </w:p>
    <w:p>
      <w:pPr>
        <w:snapToGrid w:val="0"/>
        <w:spacing w:line="360" w:lineRule="auto"/>
        <w:ind w:firstLine="412" w:firstLineChars="196"/>
        <w:rPr>
          <w:rFonts w:ascii="宋体" w:hAnsi="宋体"/>
          <w:szCs w:val="21"/>
        </w:rPr>
      </w:pPr>
      <w:r>
        <w:rPr>
          <w:rFonts w:ascii="宋体" w:hAnsi="宋体" w:hint="eastAsia"/>
          <w:szCs w:val="21"/>
        </w:rPr>
        <w:t>投标文件包括本通用条款第15条中规定的内容。如招标文件提供了投标文件格式，则</w:t>
      </w:r>
      <w:r>
        <w:rPr>
          <w:rFonts w:ascii="宋体" w:hAnsi="宋体" w:hint="eastAsia"/>
          <w:b/>
          <w:bCs/>
          <w:szCs w:val="21"/>
        </w:rPr>
        <w:t>投标人提交的投标文件必须毫无例外地使用招标文件所提供的相应格式</w:t>
      </w:r>
      <w:r>
        <w:rPr>
          <w:rFonts w:ascii="宋体" w:hAnsi="宋体" w:hint="eastAsia"/>
          <w:szCs w:val="21"/>
        </w:rPr>
        <w:t>（表格可以按同样格式扩展）。</w:t>
      </w:r>
      <w:bookmarkStart w:id="113" w:name="_Toc60631638"/>
      <w:bookmarkStart w:id="114" w:name="_Toc73517657"/>
      <w:bookmarkStart w:id="115" w:name="_Toc73518135"/>
      <w:bookmarkStart w:id="116" w:name="_Toc73521653"/>
      <w:bookmarkStart w:id="117" w:name="_Toc73521565"/>
      <w:bookmarkStart w:id="118" w:name="_Toc60560643"/>
    </w:p>
    <w:p>
      <w:pPr>
        <w:snapToGrid w:val="0"/>
        <w:spacing w:line="360" w:lineRule="auto"/>
        <w:rPr>
          <w:rFonts w:ascii="黑体" w:eastAsia="黑体" w:hAnsi="宋体"/>
          <w:sz w:val="24"/>
        </w:rPr>
      </w:pPr>
      <w:bookmarkStart w:id="119" w:name="_Toc100052382"/>
      <w:r>
        <w:rPr>
          <w:rFonts w:ascii="黑体" w:eastAsia="黑体" w:hAnsi="宋体" w:hint="eastAsia"/>
          <w:sz w:val="24"/>
        </w:rPr>
        <w:t>17．投标货币</w:t>
      </w:r>
      <w:bookmarkEnd w:id="113"/>
      <w:bookmarkEnd w:id="114"/>
      <w:bookmarkEnd w:id="115"/>
      <w:bookmarkEnd w:id="116"/>
      <w:bookmarkEnd w:id="117"/>
      <w:bookmarkEnd w:id="118"/>
      <w:bookmarkEnd w:id="119"/>
    </w:p>
    <w:p>
      <w:pPr>
        <w:snapToGrid w:val="0"/>
        <w:spacing w:line="360" w:lineRule="auto"/>
        <w:ind w:firstLine="412" w:firstLineChars="196"/>
        <w:rPr>
          <w:rFonts w:ascii="宋体" w:hAnsi="宋体" w:hint="eastAsia"/>
          <w:szCs w:val="21"/>
        </w:rPr>
      </w:pPr>
      <w:r>
        <w:rPr>
          <w:rFonts w:ascii="宋体" w:hAnsi="宋体" w:hint="eastAsia"/>
          <w:szCs w:val="21"/>
        </w:rPr>
        <w:t>本项目的投标应以人民币计。</w:t>
      </w:r>
    </w:p>
    <w:p>
      <w:pPr>
        <w:spacing w:line="360" w:lineRule="auto"/>
        <w:rPr>
          <w:rFonts w:ascii="黑体" w:eastAsia="黑体" w:hAnsi="宋体"/>
          <w:sz w:val="24"/>
        </w:rPr>
      </w:pPr>
      <w:r>
        <w:rPr>
          <w:rFonts w:ascii="黑体" w:eastAsia="黑体" w:hAnsi="宋体" w:hint="eastAsia"/>
          <w:sz w:val="24"/>
        </w:rPr>
        <w:t>18．证明投标文件投标技术方案的合格性和符合招标文件规定的文件要求</w:t>
      </w:r>
    </w:p>
    <w:p>
      <w:pPr>
        <w:spacing w:line="360" w:lineRule="auto"/>
        <w:ind w:firstLine="412" w:firstLineChars="196"/>
        <w:rPr>
          <w:rFonts w:ascii="宋体" w:hAnsi="宋体"/>
          <w:szCs w:val="21"/>
        </w:rPr>
      </w:pPr>
      <w:r>
        <w:rPr>
          <w:rFonts w:ascii="宋体" w:hAnsi="宋体" w:hint="eastAsia"/>
          <w:szCs w:val="21"/>
        </w:rPr>
        <w:t>18</w:t>
      </w:r>
      <w:r>
        <w:rPr>
          <w:rFonts w:ascii="宋体" w:hAnsi="宋体"/>
          <w:szCs w:val="21"/>
        </w:rPr>
        <w:t xml:space="preserve">.1 </w:t>
      </w:r>
      <w:r>
        <w:rPr>
          <w:rFonts w:ascii="宋体" w:hAnsi="宋体" w:hint="eastAsia"/>
          <w:szCs w:val="21"/>
        </w:rPr>
        <w:t>投标人应提交证明文件证明其投标技术方案项下的货物、工程和服务的合格性符合招标文件规定。该投标技术方案及其证明文件作为投标文件的一部分。</w:t>
      </w:r>
    </w:p>
    <w:p>
      <w:pPr>
        <w:spacing w:line="360" w:lineRule="auto"/>
        <w:ind w:firstLine="412" w:firstLineChars="196"/>
        <w:rPr>
          <w:rFonts w:ascii="宋体" w:hAnsi="宋体"/>
          <w:szCs w:val="21"/>
        </w:rPr>
      </w:pPr>
      <w:r>
        <w:rPr>
          <w:rFonts w:ascii="宋体" w:hAnsi="宋体"/>
          <w:szCs w:val="21"/>
        </w:rPr>
        <w:t>1</w:t>
      </w:r>
      <w:r>
        <w:rPr>
          <w:rFonts w:ascii="宋体" w:hAnsi="宋体" w:hint="eastAsia"/>
          <w:szCs w:val="21"/>
        </w:rPr>
        <w:t>8</w:t>
      </w:r>
      <w:r>
        <w:rPr>
          <w:rFonts w:ascii="宋体" w:hAnsi="宋体"/>
          <w:szCs w:val="21"/>
        </w:rPr>
        <w:t xml:space="preserve">.2 </w:t>
      </w:r>
      <w:r>
        <w:rPr>
          <w:rFonts w:ascii="宋体" w:hAnsi="宋体" w:hint="eastAsia"/>
          <w:szCs w:val="21"/>
        </w:rPr>
        <w:t>投标人提供证明投标技术方案与招标文件的要求相一致的文件，可以是文字资料、图纸、数据或数码照片、制造商公布的产品说明书、产品彩页和我国政府机构出具的产品检验和核准证件等，以证明投标人响应的真实性。它包括并应符合以下要求：</w:t>
      </w:r>
    </w:p>
    <w:p>
      <w:pPr>
        <w:spacing w:line="360" w:lineRule="auto"/>
        <w:ind w:firstLine="412" w:firstLineChars="196"/>
        <w:rPr>
          <w:rFonts w:ascii="宋体" w:hAnsi="宋体"/>
          <w:szCs w:val="21"/>
        </w:rPr>
      </w:pPr>
      <w:r>
        <w:rPr>
          <w:rFonts w:ascii="宋体" w:hAnsi="宋体" w:hint="eastAsia"/>
          <w:szCs w:val="21"/>
        </w:rPr>
        <w:t>18.2.1主要技术指标和性能的详细说明。</w:t>
      </w:r>
    </w:p>
    <w:p>
      <w:pPr>
        <w:spacing w:line="360" w:lineRule="auto"/>
        <w:ind w:firstLine="412" w:firstLineChars="196"/>
        <w:rPr>
          <w:rFonts w:ascii="宋体" w:hAnsi="宋体"/>
          <w:szCs w:val="21"/>
        </w:rPr>
      </w:pPr>
      <w:r>
        <w:rPr>
          <w:rFonts w:ascii="宋体" w:hAnsi="宋体" w:hint="eastAsia"/>
          <w:szCs w:val="21"/>
        </w:rPr>
        <w:t>18.2.</w:t>
      </w:r>
      <w:r>
        <w:rPr>
          <w:rFonts w:ascii="宋体" w:hAnsi="宋体"/>
          <w:szCs w:val="21"/>
        </w:rPr>
        <w:t>2</w:t>
      </w:r>
      <w:r>
        <w:rPr>
          <w:rFonts w:ascii="宋体" w:hAnsi="宋体" w:hint="eastAsia"/>
          <w:szCs w:val="21"/>
        </w:rPr>
        <w:t>投标产品从采购人开始使用至招标文件中规定的周期内正常、连续地使用所必须的备件和专用工具清单，包括备件和专用工具的货源及现行价格。</w:t>
      </w:r>
    </w:p>
    <w:p>
      <w:pPr>
        <w:spacing w:line="360" w:lineRule="auto"/>
        <w:ind w:firstLine="412" w:firstLineChars="196"/>
        <w:rPr>
          <w:rFonts w:ascii="宋体" w:hAnsi="宋体"/>
          <w:szCs w:val="21"/>
        </w:rPr>
      </w:pPr>
      <w:r>
        <w:rPr>
          <w:rFonts w:ascii="宋体" w:hAnsi="宋体" w:hint="eastAsia"/>
          <w:szCs w:val="21"/>
        </w:rPr>
        <w:t>18.2.</w:t>
      </w:r>
      <w:r>
        <w:rPr>
          <w:rFonts w:ascii="宋体" w:hAnsi="宋体"/>
          <w:szCs w:val="21"/>
        </w:rPr>
        <w:t>3</w:t>
      </w:r>
      <w:r>
        <w:rPr>
          <w:rFonts w:ascii="宋体" w:hAnsi="宋体" w:hint="eastAsia"/>
          <w:szCs w:val="21"/>
        </w:rPr>
        <w:t>对照招标文件技术规格，逐条说明投标技术方案已对采购人的技术规格做出了实质性的响应，或申明与技术规格条文的偏差和例外。投标人应详细说明投标技术方案中产品的具体参数，不得照搬照抄招标文件的技术要求。</w:t>
      </w:r>
    </w:p>
    <w:p>
      <w:pPr>
        <w:spacing w:line="360" w:lineRule="auto"/>
        <w:ind w:firstLine="412" w:firstLineChars="196"/>
        <w:rPr>
          <w:rFonts w:ascii="宋体" w:hAnsi="宋体"/>
          <w:szCs w:val="21"/>
        </w:rPr>
      </w:pPr>
      <w:r>
        <w:rPr>
          <w:rFonts w:ascii="宋体" w:hAnsi="宋体" w:hint="eastAsia"/>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清晰度要求能够清晰阅读、识别和判断</w:t>
      </w:r>
      <w:r>
        <w:rPr>
          <w:rFonts w:ascii="宋体" w:hAnsi="宋体" w:hint="eastAsia"/>
          <w:szCs w:val="21"/>
        </w:rPr>
        <w:t>；</w:t>
      </w:r>
    </w:p>
    <w:p>
      <w:pPr>
        <w:spacing w:line="360" w:lineRule="auto"/>
        <w:ind w:firstLine="412" w:firstLineChars="196"/>
        <w:rPr>
          <w:rFonts w:ascii="宋体" w:hAnsi="宋体"/>
          <w:szCs w:val="21"/>
        </w:rPr>
      </w:pPr>
      <w:r>
        <w:rPr>
          <w:rFonts w:ascii="宋体" w:hAnsi="宋体" w:hint="eastAsia"/>
          <w:szCs w:val="21"/>
        </w:rPr>
        <w:t>18.2.5我国政府机构出具的产品检验和核准证件应为证件正面、背面和附件标注的全部具体内容；产品检验和核准证件的尺寸和清晰度应该能够在清晰被阅读、识别和判断，提供原件扫描件。</w:t>
      </w:r>
    </w:p>
    <w:p>
      <w:pPr>
        <w:spacing w:line="360" w:lineRule="auto"/>
        <w:ind w:firstLine="412" w:firstLineChars="196"/>
        <w:rPr>
          <w:rFonts w:ascii="宋体" w:hAnsi="宋体"/>
          <w:szCs w:val="21"/>
        </w:rPr>
      </w:pPr>
      <w:r>
        <w:rPr>
          <w:rFonts w:ascii="宋体" w:hAnsi="宋体" w:hint="eastAsia"/>
          <w:szCs w:val="21"/>
        </w:rPr>
        <w:t>18.3相关资料不符合18.2款要求的，评审委员会有权认定为投标技术方案不合格响应，其相关分数予以扣减或作投标无效处理。</w:t>
      </w:r>
    </w:p>
    <w:p>
      <w:pPr>
        <w:spacing w:line="360" w:lineRule="auto"/>
        <w:ind w:firstLine="412" w:firstLineChars="196"/>
        <w:rPr>
          <w:rFonts w:ascii="宋体" w:hAnsi="宋体"/>
          <w:szCs w:val="21"/>
        </w:rPr>
      </w:pPr>
      <w:r>
        <w:rPr>
          <w:rFonts w:ascii="宋体" w:hAnsi="宋体"/>
          <w:szCs w:val="21"/>
        </w:rPr>
        <w:t>1</w:t>
      </w:r>
      <w:r>
        <w:rPr>
          <w:rFonts w:ascii="宋体" w:hAnsi="宋体" w:hint="eastAsia"/>
          <w:szCs w:val="21"/>
        </w:rPr>
        <w:t>8</w:t>
      </w:r>
      <w:r>
        <w:rPr>
          <w:rFonts w:ascii="宋体" w:hAnsi="宋体"/>
          <w:szCs w:val="21"/>
        </w:rPr>
        <w:t>.</w:t>
      </w:r>
      <w:r>
        <w:rPr>
          <w:rFonts w:ascii="宋体" w:hAnsi="宋体" w:hint="eastAsia"/>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ascii="宋体" w:hAnsi="宋体" w:hint="eastAsia"/>
          <w:szCs w:val="21"/>
        </w:rPr>
        <w:t>，由评审委员会来评判。</w:t>
      </w:r>
    </w:p>
    <w:p>
      <w:pPr>
        <w:spacing w:line="360" w:lineRule="auto"/>
        <w:ind w:firstLine="412" w:firstLineChars="196"/>
        <w:rPr>
          <w:rFonts w:ascii="宋体" w:hAnsi="宋体"/>
          <w:szCs w:val="21"/>
        </w:rPr>
      </w:pPr>
      <w:r>
        <w:rPr>
          <w:rFonts w:ascii="宋体" w:hAnsi="宋体" w:hint="eastAsia"/>
          <w:szCs w:val="21"/>
        </w:rPr>
        <w:t>18.5为保证公平公正，除非另有规定或说明，投标人对同一项目投标时，不得同时提供两套或两套以上的投标方案。</w:t>
      </w:r>
    </w:p>
    <w:p>
      <w:pPr>
        <w:spacing w:line="360" w:lineRule="auto"/>
        <w:rPr>
          <w:rFonts w:ascii="黑体" w:eastAsia="黑体" w:hAnsi="宋体"/>
          <w:sz w:val="24"/>
        </w:rPr>
      </w:pPr>
      <w:r>
        <w:rPr>
          <w:rFonts w:ascii="黑体" w:eastAsia="黑体" w:hAnsi="宋体" w:hint="eastAsia"/>
          <w:sz w:val="24"/>
        </w:rPr>
        <w:t>19．投标文件其他证明文件的要求</w:t>
      </w:r>
    </w:p>
    <w:p>
      <w:pPr>
        <w:spacing w:line="360" w:lineRule="auto"/>
        <w:ind w:firstLine="420"/>
        <w:rPr>
          <w:rFonts w:ascii="宋体" w:hAnsi="宋体"/>
        </w:rPr>
      </w:pPr>
      <w:r>
        <w:rPr>
          <w:rFonts w:ascii="宋体" w:hAnsi="宋体" w:cs="Arial" w:hint="eastAsia"/>
        </w:rPr>
        <w:t>19.1</w:t>
      </w:r>
      <w:r>
        <w:rPr>
          <w:rFonts w:ascii="宋体" w:hAnsi="宋体" w:hint="eastAsia"/>
        </w:rPr>
        <w:t>对项目招标文件《评标信息》评分项中涉及的相关业绩、社保情况等内容以及《资格性审查表》和《符合性审查表》中涉及的资格证书，投标人应提供相关部门出具的证明材料扫描件或照片，原件备查。有关扫描件（或照片）的尺寸和清晰度要求能够清晰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审查或符合性审查条款的，则应作投标无效处理；若涉及评分的，则作不得分处理。投标资料异常核查范围为：质疑函、被质疑供应商投标文件资料、被质疑供应商答辩说明、被质疑资料原件、被质疑资料相应官方查询渠道查询到的信息等。以下情形可由评审委员会判定投标资料无效：</w:t>
      </w:r>
    </w:p>
    <w:p>
      <w:pPr>
        <w:spacing w:line="360" w:lineRule="auto"/>
        <w:ind w:firstLine="420" w:firstLineChars="200"/>
        <w:rPr>
          <w:rFonts w:ascii="宋体" w:hAnsi="宋体"/>
        </w:rPr>
      </w:pPr>
      <w:r>
        <w:rPr>
          <w:rFonts w:ascii="宋体" w:hAnsi="宋体" w:hint="eastAsia"/>
        </w:rPr>
        <w:t>（1）被质疑供应商未能在合理时间内提供资料原件核对，且不能合理说明的；</w:t>
      </w:r>
    </w:p>
    <w:p>
      <w:pPr>
        <w:spacing w:line="360" w:lineRule="auto"/>
        <w:ind w:firstLine="420" w:firstLineChars="200"/>
        <w:rPr>
          <w:rFonts w:ascii="宋体" w:hAnsi="宋体"/>
          <w:szCs w:val="21"/>
        </w:rPr>
      </w:pPr>
      <w:r>
        <w:rPr>
          <w:rFonts w:ascii="宋体" w:hAnsi="宋体" w:hint="eastAsia"/>
          <w:szCs w:val="21"/>
        </w:rPr>
        <w:t>（2）被质疑供应商提供的资料原件与投标文件资料不一致的；</w:t>
      </w:r>
    </w:p>
    <w:p>
      <w:pPr>
        <w:spacing w:line="360" w:lineRule="auto"/>
        <w:ind w:firstLine="420" w:firstLineChars="200"/>
        <w:rPr>
          <w:rFonts w:ascii="宋体" w:hAnsi="宋体"/>
          <w:szCs w:val="21"/>
        </w:rPr>
      </w:pPr>
      <w:r>
        <w:rPr>
          <w:rFonts w:ascii="宋体" w:hAnsi="宋体" w:hint="eastAsia"/>
          <w:szCs w:val="21"/>
        </w:rPr>
        <w:t>（3）被质疑供应商投标文件资料信息与在相应官方查询渠道查询到的信息不一致，且不能合理说明的。</w:t>
      </w:r>
    </w:p>
    <w:p>
      <w:pPr>
        <w:spacing w:line="360" w:lineRule="auto"/>
        <w:ind w:firstLine="412" w:firstLineChars="196"/>
        <w:rPr>
          <w:rFonts w:ascii="宋体" w:hAnsi="宋体"/>
          <w:szCs w:val="21"/>
        </w:rPr>
      </w:pPr>
      <w:r>
        <w:rPr>
          <w:rFonts w:ascii="宋体" w:hAnsi="宋体" w:hint="eastAsia"/>
          <w:szCs w:val="21"/>
        </w:rPr>
        <w:t>19.2本项目涉及提供的有关资质证书，若原有资质证书处于年审期间，须提供证书颁发部门提供的回执，并且回执须证明该证书依然有效（若在法规范围不需提供的，供应商应做书面说明并提供证明文件，否则该证书无效），则该投标人提供年审证明的可按原资质投标；若投标人正在申报上一级别资质，在未获批准之前，仍按原级别资质投标。</w:t>
      </w:r>
    </w:p>
    <w:p>
      <w:pPr>
        <w:snapToGrid w:val="0"/>
        <w:spacing w:line="360" w:lineRule="auto"/>
        <w:rPr>
          <w:rFonts w:ascii="黑体" w:eastAsia="黑体" w:hAnsi="宋体"/>
          <w:sz w:val="24"/>
        </w:rPr>
      </w:pPr>
      <w:bookmarkStart w:id="120" w:name="_Toc73521566"/>
      <w:bookmarkStart w:id="121" w:name="_Toc60560644"/>
      <w:bookmarkStart w:id="122" w:name="_Toc73517658"/>
      <w:bookmarkStart w:id="123" w:name="_Toc60631639"/>
      <w:bookmarkStart w:id="124" w:name="_Toc73521654"/>
      <w:bookmarkStart w:id="125" w:name="_Toc73518136"/>
      <w:bookmarkStart w:id="126" w:name="_Toc100052383"/>
      <w:r>
        <w:rPr>
          <w:rFonts w:ascii="黑体" w:eastAsia="黑体" w:hAnsi="宋体" w:hint="eastAsia"/>
          <w:sz w:val="24"/>
        </w:rPr>
        <w:t>20．投标有效期</w:t>
      </w:r>
      <w:bookmarkEnd w:id="120"/>
      <w:bookmarkEnd w:id="121"/>
      <w:bookmarkEnd w:id="122"/>
      <w:bookmarkEnd w:id="123"/>
      <w:bookmarkEnd w:id="124"/>
      <w:bookmarkEnd w:id="125"/>
      <w:bookmarkEnd w:id="126"/>
    </w:p>
    <w:p>
      <w:pPr>
        <w:snapToGrid w:val="0"/>
        <w:spacing w:line="360" w:lineRule="auto"/>
        <w:ind w:firstLine="412" w:firstLineChars="196"/>
        <w:rPr>
          <w:rFonts w:ascii="宋体" w:hAnsi="宋体" w:hint="eastAsia"/>
          <w:szCs w:val="21"/>
        </w:rPr>
      </w:pPr>
      <w:r>
        <w:rPr>
          <w:rFonts w:ascii="宋体" w:hAnsi="宋体" w:hint="eastAsia"/>
          <w:szCs w:val="21"/>
        </w:rPr>
        <w:t>20.1投标有效期为</w:t>
      </w:r>
      <w:r>
        <w:rPr>
          <w:rFonts w:ascii="Arial" w:hAnsi="Arial" w:cs="Arial" w:hint="eastAsia"/>
          <w:szCs w:val="21"/>
        </w:rPr>
        <w:t>从投标截止之日算起日历天数</w:t>
      </w:r>
      <w:r>
        <w:rPr>
          <w:rFonts w:ascii="宋体" w:hAnsi="宋体" w:hint="eastAsia"/>
          <w:szCs w:val="21"/>
        </w:rPr>
        <w:t>，</w:t>
      </w:r>
      <w:r>
        <w:rPr>
          <w:rFonts w:ascii="Arial" w:hAnsi="Arial" w:cs="Arial" w:hint="eastAsia"/>
          <w:szCs w:val="21"/>
        </w:rPr>
        <w:t>具体见专用条款中投标有效期的天数要求。</w:t>
      </w:r>
      <w:r>
        <w:rPr>
          <w:rFonts w:ascii="宋体" w:hAnsi="宋体" w:hint="eastAsia"/>
          <w:szCs w:val="21"/>
        </w:rPr>
        <w:t>在此期限内，所有投标文件均保持有效。</w:t>
      </w:r>
    </w:p>
    <w:p>
      <w:pPr>
        <w:snapToGrid w:val="0"/>
        <w:spacing w:line="360" w:lineRule="auto"/>
        <w:ind w:firstLine="412" w:firstLineChars="196"/>
        <w:rPr>
          <w:rFonts w:ascii="宋体" w:hAnsi="宋体" w:hint="eastAsia"/>
          <w:szCs w:val="21"/>
        </w:rPr>
      </w:pPr>
      <w:r>
        <w:rPr>
          <w:rFonts w:ascii="宋体" w:hAnsi="宋体" w:hint="eastAsia"/>
          <w:szCs w:val="21"/>
        </w:rPr>
        <w:t>20.2在特殊的情况下，政府采购代理机构在原定的投标有效期满之前，政府采购代理机构可以根据需要以书面形式向投标人提出延长投标有效期的要求，对此要求投标人须以书面形式予以答复，投标人可以拒绝政府采购代理机构此项要求，而不被没收投标保证金，其投标在原投标有效期满后不再有效。同意延长投标有效期的投标人不能要求也不允许修改其投标文件，但需要相应的延长投标担保的有效期。</w:t>
      </w:r>
    </w:p>
    <w:p>
      <w:pPr>
        <w:snapToGrid w:val="0"/>
        <w:spacing w:line="360" w:lineRule="auto"/>
        <w:ind w:firstLine="412" w:firstLineChars="196"/>
        <w:rPr>
          <w:rFonts w:ascii="宋体" w:hAnsi="宋体"/>
          <w:szCs w:val="21"/>
        </w:rPr>
      </w:pPr>
      <w:r>
        <w:rPr>
          <w:rFonts w:ascii="宋体" w:hAnsi="宋体" w:hint="eastAsia"/>
          <w:szCs w:val="21"/>
        </w:rPr>
        <w:t>20.3中标供应</w:t>
      </w:r>
      <w:r>
        <w:rPr>
          <w:rFonts w:ascii="宋体" w:hAnsi="宋体"/>
          <w:szCs w:val="21"/>
        </w:rPr>
        <w:t>商</w:t>
      </w:r>
      <w:r>
        <w:rPr>
          <w:rFonts w:ascii="宋体" w:hAnsi="宋体" w:hint="eastAsia"/>
          <w:szCs w:val="21"/>
        </w:rPr>
        <w:t>的投标书有效期，截止于完成本招标文件规定的全部项目内容，并通过验收及保修结束。</w:t>
      </w:r>
    </w:p>
    <w:p>
      <w:pPr>
        <w:snapToGrid w:val="0"/>
        <w:spacing w:line="360" w:lineRule="auto"/>
        <w:rPr>
          <w:rFonts w:ascii="黑体" w:eastAsia="黑体" w:hAnsi="宋体"/>
          <w:sz w:val="24"/>
        </w:rPr>
      </w:pPr>
      <w:bookmarkStart w:id="127" w:name="_Toc73518137"/>
      <w:bookmarkStart w:id="128" w:name="_Toc73517659"/>
      <w:bookmarkStart w:id="129" w:name="_Toc60560645"/>
      <w:bookmarkStart w:id="130" w:name="_Toc100052384"/>
      <w:bookmarkStart w:id="131" w:name="_Toc73521567"/>
      <w:bookmarkStart w:id="132" w:name="_Toc73521655"/>
      <w:bookmarkStart w:id="133" w:name="_Toc60631640"/>
      <w:r>
        <w:rPr>
          <w:rFonts w:ascii="黑体" w:eastAsia="黑体" w:hAnsi="宋体" w:hint="eastAsia"/>
          <w:sz w:val="24"/>
        </w:rPr>
        <w:t>21．关于投标保证金</w:t>
      </w:r>
      <w:bookmarkEnd w:id="127"/>
      <w:bookmarkEnd w:id="128"/>
      <w:bookmarkEnd w:id="129"/>
      <w:bookmarkEnd w:id="130"/>
      <w:bookmarkEnd w:id="131"/>
      <w:bookmarkEnd w:id="132"/>
      <w:bookmarkEnd w:id="133"/>
    </w:p>
    <w:p>
      <w:pPr>
        <w:spacing w:line="360" w:lineRule="auto"/>
        <w:ind w:firstLine="412" w:firstLineChars="196"/>
        <w:rPr>
          <w:rFonts w:ascii="宋体" w:hAnsi="宋体"/>
          <w:szCs w:val="21"/>
        </w:rPr>
      </w:pPr>
      <w:bookmarkStart w:id="134" w:name="_Toc60631641"/>
      <w:bookmarkStart w:id="135" w:name="_Toc73518138"/>
      <w:bookmarkStart w:id="136" w:name="_Toc73521568"/>
      <w:bookmarkStart w:id="137" w:name="_Toc73517660"/>
      <w:bookmarkStart w:id="138" w:name="_Toc73521656"/>
      <w:bookmarkStart w:id="139" w:name="_Toc60560646"/>
      <w:r>
        <w:rPr>
          <w:rFonts w:ascii="宋体" w:hAnsi="宋体" w:hint="eastAsia"/>
          <w:szCs w:val="21"/>
        </w:rPr>
        <w:t>21.1自2019年8月15日起，深圳市政府采购中心停止收取投标保证金和履约保证金。市政府采购中心将同时为所有注册供应商开放投标权限（因受到主管部门处罚锁定投标权限的除外）。</w:t>
      </w:r>
    </w:p>
    <w:p>
      <w:pPr>
        <w:spacing w:line="360" w:lineRule="auto"/>
        <w:ind w:firstLine="412" w:firstLineChars="196"/>
        <w:jc w:val="left"/>
        <w:rPr>
          <w:rFonts w:ascii="宋体" w:hAnsi="宋体"/>
          <w:szCs w:val="21"/>
        </w:rPr>
      </w:pPr>
      <w:r>
        <w:rPr>
          <w:rFonts w:ascii="宋体" w:hAnsi="宋体" w:hint="eastAsia"/>
          <w:szCs w:val="21"/>
        </w:rPr>
        <w:t>本项目参照以上规定，投标保证金无需提交，若供应商在政府采购活动中出现21.2规定情形的，采购人或代理机构可将有关情况报采购监管部门，由采购监管部门根据实际情况记入供应商诚信档案，予以通报。</w:t>
      </w:r>
      <w:r>
        <w:rPr>
          <w:rFonts w:ascii="宋体" w:hAnsi="宋体"/>
          <w:szCs w:val="21"/>
        </w:rPr>
        <w:t xml:space="preserve">                                                                           </w:t>
      </w:r>
      <w:r>
        <w:rPr>
          <w:rFonts w:ascii="宋体" w:hAnsi="宋体" w:hint="eastAsia"/>
          <w:szCs w:val="21"/>
        </w:rPr>
        <w:t>21.2供应商有下列行为之一的，由主管部门记入供应商诚信档案，予以通报：</w:t>
      </w:r>
    </w:p>
    <w:p>
      <w:pPr>
        <w:spacing w:line="360" w:lineRule="auto"/>
        <w:ind w:firstLine="412" w:firstLineChars="196"/>
        <w:rPr>
          <w:rFonts w:ascii="宋体" w:hAnsi="宋体"/>
          <w:szCs w:val="21"/>
        </w:rPr>
      </w:pPr>
      <w:r>
        <w:rPr>
          <w:rFonts w:ascii="宋体" w:hAnsi="宋体" w:hint="eastAsia"/>
          <w:szCs w:val="21"/>
        </w:rPr>
        <w:t>（1）</w:t>
      </w:r>
      <w:r>
        <w:rPr>
          <w:rFonts w:ascii="宋体" w:hAnsi="宋体"/>
          <w:szCs w:val="21"/>
        </w:rPr>
        <w:t>投标截止后，撤销投标的；</w:t>
      </w:r>
    </w:p>
    <w:p>
      <w:pPr>
        <w:spacing w:line="360" w:lineRule="auto"/>
        <w:ind w:firstLine="412" w:firstLineChars="196"/>
        <w:rPr>
          <w:rFonts w:ascii="宋体" w:hAnsi="宋体"/>
          <w:szCs w:val="21"/>
        </w:rPr>
      </w:pPr>
      <w:r>
        <w:rPr>
          <w:rFonts w:ascii="宋体" w:hAnsi="宋体"/>
          <w:szCs w:val="21"/>
        </w:rPr>
        <w:t>（</w:t>
      </w:r>
      <w:r>
        <w:rPr>
          <w:rFonts w:ascii="宋体" w:hAnsi="宋体" w:hint="eastAsia"/>
          <w:szCs w:val="21"/>
        </w:rPr>
        <w:t>2</w:t>
      </w:r>
      <w:r>
        <w:rPr>
          <w:rFonts w:ascii="宋体" w:hAnsi="宋体"/>
          <w:szCs w:val="21"/>
        </w:rPr>
        <w:t>）中标后无正当理由未在规定期限内签订合同的；</w:t>
      </w:r>
    </w:p>
    <w:p>
      <w:pPr>
        <w:spacing w:line="360" w:lineRule="auto"/>
        <w:ind w:firstLine="412" w:firstLineChars="196"/>
        <w:rPr>
          <w:rFonts w:ascii="宋体" w:hAnsi="宋体"/>
          <w:szCs w:val="21"/>
        </w:rPr>
      </w:pPr>
      <w:r>
        <w:rPr>
          <w:rFonts w:ascii="宋体" w:hAnsi="宋体"/>
          <w:szCs w:val="21"/>
        </w:rPr>
        <w:t>（</w:t>
      </w:r>
      <w:r>
        <w:rPr>
          <w:rFonts w:ascii="宋体" w:hAnsi="宋体" w:hint="eastAsia"/>
          <w:szCs w:val="21"/>
        </w:rPr>
        <w:t>3</w:t>
      </w:r>
      <w:r>
        <w:rPr>
          <w:rFonts w:ascii="宋体" w:hAnsi="宋体"/>
          <w:szCs w:val="21"/>
        </w:rPr>
        <w:t>）将中标项目转让给他人、或者在投标文件中未说明且未经采购人、采购招标机构同意，将中标项目分包给他人的；</w:t>
      </w:r>
    </w:p>
    <w:p>
      <w:pPr>
        <w:snapToGrid w:val="0"/>
        <w:spacing w:line="360" w:lineRule="auto"/>
        <w:ind w:firstLine="412" w:firstLineChars="196"/>
        <w:rPr>
          <w:rFonts w:ascii="宋体" w:hAnsi="宋体"/>
          <w:szCs w:val="21"/>
        </w:rPr>
      </w:pPr>
      <w:r>
        <w:rPr>
          <w:rFonts w:ascii="宋体" w:hAnsi="宋体"/>
          <w:szCs w:val="21"/>
        </w:rPr>
        <w:t>（</w:t>
      </w:r>
      <w:r>
        <w:rPr>
          <w:rFonts w:ascii="宋体" w:hAnsi="宋体" w:hint="eastAsia"/>
          <w:szCs w:val="21"/>
        </w:rPr>
        <w:t>4</w:t>
      </w:r>
      <w:r>
        <w:rPr>
          <w:rFonts w:ascii="宋体" w:hAnsi="宋体"/>
          <w:szCs w:val="21"/>
        </w:rPr>
        <w:t>）拒绝履行合同义务的</w:t>
      </w:r>
      <w:r>
        <w:rPr>
          <w:rFonts w:ascii="宋体" w:hAnsi="宋体" w:hint="eastAsia"/>
          <w:szCs w:val="21"/>
        </w:rPr>
        <w:t>。</w:t>
      </w:r>
    </w:p>
    <w:p>
      <w:pPr>
        <w:snapToGrid w:val="0"/>
        <w:spacing w:line="360" w:lineRule="auto"/>
        <w:rPr>
          <w:rFonts w:ascii="黑体" w:eastAsia="黑体" w:hAnsi="宋体"/>
          <w:sz w:val="24"/>
        </w:rPr>
      </w:pPr>
      <w:bookmarkStart w:id="140" w:name="_Toc100052385"/>
      <w:r>
        <w:rPr>
          <w:rFonts w:ascii="黑体" w:eastAsia="黑体" w:hAnsi="宋体" w:hint="eastAsia"/>
          <w:sz w:val="24"/>
        </w:rPr>
        <w:t>22．投标人的替代方案</w:t>
      </w:r>
      <w:bookmarkEnd w:id="134"/>
      <w:bookmarkEnd w:id="135"/>
      <w:bookmarkEnd w:id="136"/>
      <w:bookmarkEnd w:id="137"/>
      <w:bookmarkEnd w:id="138"/>
      <w:bookmarkEnd w:id="139"/>
      <w:bookmarkEnd w:id="140"/>
    </w:p>
    <w:p>
      <w:pPr>
        <w:snapToGrid w:val="0"/>
        <w:spacing w:line="360" w:lineRule="auto"/>
        <w:ind w:firstLine="412" w:firstLineChars="196"/>
        <w:rPr>
          <w:rFonts w:ascii="宋体" w:hAnsi="宋体"/>
          <w:szCs w:val="21"/>
        </w:rPr>
      </w:pPr>
      <w:r>
        <w:rPr>
          <w:rFonts w:ascii="宋体" w:hAnsi="宋体" w:hint="eastAsia"/>
          <w:szCs w:val="21"/>
        </w:rPr>
        <w:t>22.1投标人所提交的投标文件应完全满足招标文件（包括图纸和技术规范所示的基本技术设计）的要求。除非“对通用条款的补充内容”中允许投标人提交替代方案，否则投标人有关替代方案的条款将不予考虑。</w:t>
      </w:r>
    </w:p>
    <w:p>
      <w:pPr>
        <w:snapToGrid w:val="0"/>
        <w:spacing w:line="360" w:lineRule="auto"/>
        <w:ind w:firstLine="412" w:firstLineChars="196"/>
        <w:rPr>
          <w:rFonts w:ascii="宋体" w:hAnsi="宋体"/>
          <w:szCs w:val="21"/>
        </w:rPr>
      </w:pPr>
      <w:r>
        <w:rPr>
          <w:rFonts w:ascii="宋体" w:hAnsi="宋体" w:hint="eastAsia"/>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p>
      <w:pPr>
        <w:snapToGrid w:val="0"/>
        <w:spacing w:line="360" w:lineRule="auto"/>
        <w:rPr>
          <w:rFonts w:ascii="黑体" w:eastAsia="黑体" w:hAnsi="宋体"/>
          <w:sz w:val="24"/>
        </w:rPr>
      </w:pPr>
      <w:bookmarkStart w:id="141" w:name="_Toc73521657"/>
      <w:bookmarkStart w:id="142" w:name="_Toc73521569"/>
      <w:bookmarkStart w:id="143" w:name="_Toc73518139"/>
      <w:bookmarkStart w:id="144" w:name="_Toc73517661"/>
      <w:bookmarkStart w:id="145" w:name="_Toc100052386"/>
      <w:r>
        <w:rPr>
          <w:rFonts w:ascii="黑体" w:eastAsia="黑体" w:hAnsi="宋体" w:hint="eastAsia"/>
          <w:sz w:val="24"/>
        </w:rPr>
        <w:t>23．</w:t>
      </w:r>
      <w:r>
        <w:rPr>
          <w:rFonts w:ascii="黑体" w:eastAsia="黑体" w:hAnsi="宋体"/>
          <w:sz w:val="24"/>
        </w:rPr>
        <w:t>投标文件的</w:t>
      </w:r>
      <w:r>
        <w:rPr>
          <w:rFonts w:ascii="黑体" w:eastAsia="黑体" w:hAnsi="宋体" w:hint="eastAsia"/>
          <w:sz w:val="24"/>
        </w:rPr>
        <w:t>制作</w:t>
      </w:r>
      <w:r>
        <w:rPr>
          <w:rFonts w:ascii="黑体" w:eastAsia="黑体" w:hAnsi="宋体"/>
          <w:sz w:val="24"/>
        </w:rPr>
        <w:t>要求</w:t>
      </w:r>
      <w:bookmarkEnd w:id="141"/>
      <w:bookmarkEnd w:id="142"/>
      <w:bookmarkEnd w:id="143"/>
      <w:bookmarkEnd w:id="144"/>
      <w:bookmarkEnd w:id="145"/>
    </w:p>
    <w:p>
      <w:pPr>
        <w:spacing w:line="360" w:lineRule="auto"/>
        <w:ind w:firstLine="412" w:firstLineChars="196"/>
        <w:rPr>
          <w:rFonts w:ascii="宋体" w:hAnsi="宋体"/>
        </w:rPr>
      </w:pPr>
      <w:r>
        <w:rPr>
          <w:rFonts w:ascii="宋体" w:hAnsi="宋体" w:hint="eastAsia"/>
        </w:rPr>
        <w:t>23.1投标人应准备所投项目的电子投标文件一份。此电子投标文件须由投标人根据政府集中采购机构提供的后缀名为.szczf的电子招标文件，下载并使用相应的深圳智慧采购平台投标文件制作专用软件打开招标文件（.szczf格式）【下载地址：http://zfcg.szggzy.com/TPBidder/DownLoad/深圳市智慧采购平台投标文件制作专用软件.zip】。</w:t>
      </w:r>
    </w:p>
    <w:p>
      <w:pPr>
        <w:spacing w:line="360" w:lineRule="auto"/>
        <w:ind w:firstLine="412" w:firstLineChars="196"/>
        <w:rPr>
          <w:rFonts w:ascii="宋体" w:hAnsi="宋体"/>
        </w:rPr>
      </w:pPr>
      <w:r>
        <w:rPr>
          <w:rFonts w:ascii="宋体" w:hAnsi="宋体" w:hint="eastAsia"/>
        </w:rPr>
        <w:t>23.2投标人在使用《投标文件制作软件》编制投标书时须注意：</w:t>
      </w:r>
    </w:p>
    <w:p>
      <w:pPr>
        <w:spacing w:line="360" w:lineRule="auto"/>
        <w:ind w:firstLine="412" w:firstLineChars="196"/>
        <w:rPr>
          <w:rFonts w:ascii="宋体" w:hAnsi="宋体"/>
        </w:rPr>
      </w:pPr>
      <w:r>
        <w:rPr>
          <w:rFonts w:ascii="宋体" w:hAnsi="宋体" w:hint="eastAsia"/>
        </w:rPr>
        <w:t>23.2.1导入《投标文件制作软件》的招标文件项目编号、包号应与以此制作的投标文件项目编号、包号一致。例如，不能将甲项目A包的招标书导入《投标文件制作软件》，制作乙项目B包的投标书。</w:t>
      </w:r>
    </w:p>
    <w:p>
      <w:pPr>
        <w:spacing w:line="360" w:lineRule="auto"/>
        <w:ind w:firstLine="412" w:firstLineChars="196"/>
        <w:rPr>
          <w:rFonts w:ascii="宋体" w:hAnsi="宋体"/>
        </w:rPr>
      </w:pPr>
      <w:r>
        <w:rPr>
          <w:rFonts w:ascii="宋体" w:hAnsi="宋体" w:hint="eastAsia"/>
        </w:rPr>
        <w:t>23.2.2不能用非本公司的电子密钥加密本公司的投标文件，或者用其它公司的登录用户上传本公司的投标文件。</w:t>
      </w:r>
    </w:p>
    <w:p>
      <w:pPr>
        <w:spacing w:line="360" w:lineRule="auto"/>
        <w:ind w:firstLine="412" w:firstLineChars="196"/>
        <w:rPr>
          <w:rFonts w:ascii="宋体" w:hAnsi="宋体"/>
        </w:rPr>
      </w:pPr>
      <w:r>
        <w:rPr>
          <w:rFonts w:ascii="宋体" w:hAnsi="宋体" w:hint="eastAsia"/>
        </w:rPr>
        <w:t>23.2.3要求用《投标文件制作软件》编制投标书的包，不能用其它方式编制投标书。编制投标文件时，电脑须连通互联网。</w:t>
      </w:r>
    </w:p>
    <w:p>
      <w:pPr>
        <w:spacing w:line="360" w:lineRule="auto"/>
        <w:ind w:firstLine="412" w:firstLineChars="196"/>
        <w:rPr>
          <w:rFonts w:ascii="宋体" w:hAnsi="宋体"/>
        </w:rPr>
      </w:pPr>
      <w:r>
        <w:rPr>
          <w:rFonts w:ascii="宋体" w:hAnsi="宋体" w:hint="eastAsia"/>
        </w:rPr>
        <w:t>23.2.4投标文件不能带病毒。政府集中采购机构将用专业杀毒软件对投标文件进行病毒检测，如果这两种软件均报告发现病毒，则政府集中采购机构认为该投标文件带病毒。</w:t>
      </w:r>
    </w:p>
    <w:p>
      <w:pPr>
        <w:spacing w:line="360" w:lineRule="auto"/>
        <w:ind w:firstLine="412" w:firstLineChars="196"/>
        <w:rPr>
          <w:rFonts w:ascii="宋体" w:hAnsi="宋体"/>
        </w:rPr>
      </w:pPr>
      <w:r>
        <w:rPr>
          <w:rFonts w:ascii="宋体" w:hAnsi="宋体" w:hint="eastAsia"/>
        </w:rPr>
        <w:t>23.2.5完整填写“投标关键信息”，如下图所示：</w:t>
      </w:r>
    </w:p>
    <w:p>
      <w:pPr>
        <w:spacing w:line="360" w:lineRule="auto"/>
        <w:ind w:firstLine="412" w:firstLineChars="196"/>
        <w:rPr>
          <w:rFonts w:ascii="宋体" w:hAnsi="宋体"/>
        </w:rPr>
      </w:pPr>
      <w:r>
        <w:rPr>
          <w:rFonts w:ascii="宋体" w:hAnsi="宋体"/>
        </w:rPr>
        <w:t xml:space="preserve"> </w:t>
      </w:r>
      <w:r>
        <w:rPr>
          <w:rFonts w:ascii="宋体" w:hAnsi="宋体"/>
        </w:rPr>
        <w:drawing>
          <wp:inline distT="0" distB="0" distL="114300" distR="114300">
            <wp:extent cx="5278755" cy="2721610"/>
            <wp:effectExtent l="0" t="0" r="17145" b="2540"/>
            <wp:docPr id="1"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图形用户界面, 应用程序&#10;&#10;描述已自动生成"/>
                    <pic:cNvPicPr>
                      <a:picLocks noChangeAspect="1"/>
                    </pic:cNvPicPr>
                  </pic:nvPicPr>
                  <pic:blipFill>
                    <a:blip xmlns:r="http://schemas.openxmlformats.org/officeDocument/2006/relationships" r:embed="rId4"/>
                    <a:stretch>
                      <a:fillRect/>
                    </a:stretch>
                  </pic:blipFill>
                  <pic:spPr>
                    <a:xfrm>
                      <a:off x="0" y="0"/>
                      <a:ext cx="5278755" cy="2721610"/>
                    </a:xfrm>
                    <a:prstGeom prst="rect">
                      <a:avLst/>
                    </a:prstGeom>
                    <a:noFill/>
                    <a:ln>
                      <a:noFill/>
                    </a:ln>
                  </pic:spPr>
                </pic:pic>
              </a:graphicData>
            </a:graphic>
          </wp:inline>
        </w:drawing>
      </w:r>
    </w:p>
    <w:p>
      <w:pPr>
        <w:spacing w:line="360" w:lineRule="auto"/>
        <w:ind w:firstLine="412" w:firstLineChars="196"/>
        <w:rPr>
          <w:rFonts w:ascii="宋体" w:hAnsi="宋体"/>
        </w:rPr>
      </w:pPr>
      <w:r>
        <w:rPr>
          <w:rFonts w:ascii="宋体" w:hAnsi="宋体" w:hint="eastAsia"/>
        </w:rPr>
        <w:t>备注：上述“开标一览表”中的“投标总价”将作为价格分计算依据；其它信息仅是对投标文件相关内容的概括性表述，不作为评审依据。</w:t>
      </w:r>
    </w:p>
    <w:p>
      <w:pPr>
        <w:spacing w:line="360" w:lineRule="auto"/>
        <w:ind w:firstLine="412" w:firstLineChars="196"/>
        <w:rPr>
          <w:rFonts w:ascii="宋体" w:hAnsi="宋体"/>
        </w:rPr>
      </w:pPr>
      <w:r>
        <w:rPr>
          <w:rFonts w:ascii="宋体" w:hAnsi="宋体" w:hint="eastAsia"/>
        </w:rPr>
        <w:t>23.2.6投标人在编辑投标文件时，</w:t>
      </w:r>
      <w:r>
        <w:rPr>
          <w:rFonts w:ascii="宋体" w:hAnsi="宋体" w:hint="eastAsia"/>
          <w:b/>
        </w:rPr>
        <w:t>在投标文件目录中属于本节点内容的必须在本节点中填写，填写到其他节点或附件，</w:t>
      </w:r>
      <w:r>
        <w:rPr>
          <w:rFonts w:ascii="宋体" w:hAnsi="宋体" w:hint="eastAsia"/>
        </w:rPr>
        <w:t>一切后果由供应商自行承担。</w:t>
      </w:r>
    </w:p>
    <w:p>
      <w:pPr>
        <w:spacing w:line="360" w:lineRule="auto"/>
        <w:ind w:firstLine="412" w:firstLineChars="196"/>
        <w:rPr>
          <w:rFonts w:ascii="宋体" w:hAnsi="宋体"/>
          <w:b/>
        </w:rPr>
      </w:pPr>
      <w:r>
        <w:rPr>
          <w:rFonts w:ascii="宋体" w:hAnsi="宋体" w:hint="eastAsia"/>
        </w:rPr>
        <w:t>23.2.7投标文件编写完成后，</w:t>
      </w:r>
      <w:r>
        <w:rPr>
          <w:rFonts w:ascii="宋体" w:hAnsi="宋体" w:hint="eastAsia"/>
          <w:b/>
        </w:rPr>
        <w:t>必须用属于投标人的电子密钥进行加密，否则视同未盖公章，将导致投标文件无效。</w:t>
      </w:r>
    </w:p>
    <w:p>
      <w:pPr>
        <w:spacing w:line="360" w:lineRule="auto"/>
        <w:ind w:firstLine="412" w:firstLineChars="196"/>
        <w:rPr>
          <w:rFonts w:ascii="宋体" w:hAnsi="宋体"/>
        </w:rPr>
      </w:pPr>
      <w:r>
        <w:rPr>
          <w:rFonts w:ascii="宋体" w:hAnsi="宋体" w:hint="eastAsia"/>
        </w:rPr>
        <w:t>23.2.8政府采购代理机构不接受投标截止时间后递交的纸质、电子、传真等所有形式的投标文件。由于对网上政府采购系统操作不熟悉或自身电脑、网络等原因导致不能在投标截止时间之前上传投标文件，政府采购代理机构概不负责。建议于开标前一个工作日完成投标文件的制作与上传，如上传确有困难，请及时咨询。</w:t>
      </w:r>
    </w:p>
    <w:p>
      <w:pPr>
        <w:spacing w:line="360" w:lineRule="auto"/>
        <w:ind w:firstLine="412" w:firstLineChars="196"/>
        <w:rPr>
          <w:rFonts w:ascii="宋体" w:hAnsi="宋体"/>
        </w:rPr>
      </w:pPr>
      <w:r>
        <w:rPr>
          <w:rFonts w:ascii="宋体" w:hAnsi="宋体" w:hint="eastAsia"/>
        </w:rPr>
        <w:t>23.2.9如果开标时出现网络故障、技术故障，影响了政府采购活动，政府采购代理机构有权采取措施如延期、接受无法从网上上传的投标书等，以保障政府采购活动的公开、公平和公正。</w:t>
      </w:r>
    </w:p>
    <w:p>
      <w:pPr>
        <w:spacing w:line="360" w:lineRule="auto"/>
        <w:ind w:firstLine="412" w:firstLineChars="196"/>
        <w:rPr>
          <w:rFonts w:ascii="宋体" w:hAnsi="宋体"/>
        </w:rPr>
      </w:pPr>
      <w:r>
        <w:rPr>
          <w:rFonts w:ascii="宋体" w:hAnsi="宋体" w:hint="eastAsia"/>
        </w:rPr>
        <w:t>23.3电报、电话、传真形式的投标概不接受。</w:t>
      </w:r>
    </w:p>
    <w:p>
      <w:pPr>
        <w:spacing w:line="360" w:lineRule="auto"/>
        <w:ind w:firstLine="412" w:firstLineChars="196"/>
        <w:rPr>
          <w:rFonts w:ascii="宋体" w:hAnsi="宋体"/>
        </w:rPr>
      </w:pPr>
      <w:r>
        <w:rPr>
          <w:rFonts w:ascii="宋体" w:hAnsi="宋体" w:hint="eastAsia"/>
        </w:rPr>
        <w:t xml:space="preserve">23.4 </w:t>
      </w:r>
      <w:r>
        <w:rPr>
          <w:rFonts w:ascii="宋体" w:hAnsi="宋体" w:hint="eastAsia"/>
          <w:b/>
        </w:rPr>
        <w:t>经投标人电子密钥加密的投标文件无须盖章或签字，</w:t>
      </w:r>
      <w:r>
        <w:rPr>
          <w:rFonts w:ascii="宋体" w:hAnsi="宋体" w:hint="eastAsia"/>
        </w:rPr>
        <w:t>专用条款另有要求的除外。</w:t>
      </w:r>
    </w:p>
    <w:p>
      <w:pPr>
        <w:spacing w:line="360" w:lineRule="auto"/>
        <w:ind w:firstLine="412" w:firstLineChars="196"/>
        <w:rPr>
          <w:rFonts w:ascii="宋体" w:hAnsi="宋体"/>
          <w:szCs w:val="21"/>
        </w:rPr>
      </w:pPr>
      <w:r>
        <w:rPr>
          <w:rFonts w:ascii="宋体" w:hAnsi="宋体" w:hint="eastAsia"/>
        </w:rPr>
        <w:t>23.5 各类资格（资质）文件提供扫描件，专用条款另有要求的除外。</w:t>
      </w:r>
    </w:p>
    <w:p>
      <w:pPr>
        <w:pStyle w:val="Heading2"/>
        <w:spacing w:line="360" w:lineRule="auto"/>
        <w:jc w:val="center"/>
      </w:pPr>
      <w:bookmarkStart w:id="146" w:name="_Toc73521570"/>
      <w:bookmarkStart w:id="147" w:name="_Toc73518140"/>
      <w:bookmarkStart w:id="148" w:name="_Toc101074880"/>
      <w:bookmarkStart w:id="149" w:name="_Toc100052387"/>
      <w:bookmarkStart w:id="150" w:name="_Toc73521658"/>
      <w:bookmarkStart w:id="151" w:name="_Toc73517662"/>
      <w:bookmarkStart w:id="152" w:name="_Toc2087"/>
      <w:bookmarkStart w:id="153" w:name="_Toc7924"/>
      <w:bookmarkStart w:id="154" w:name="_Toc30393"/>
      <w:bookmarkStart w:id="155" w:name="_Toc30067"/>
      <w:bookmarkStart w:id="156" w:name="_Toc256000007"/>
      <w:r>
        <w:rPr>
          <w:rFonts w:hint="eastAsia"/>
        </w:rPr>
        <w:t>第四章 投标文件</w:t>
      </w:r>
      <w:bookmarkEnd w:id="146"/>
      <w:bookmarkEnd w:id="147"/>
      <w:bookmarkEnd w:id="148"/>
      <w:bookmarkEnd w:id="149"/>
      <w:bookmarkEnd w:id="150"/>
      <w:bookmarkEnd w:id="151"/>
      <w:r>
        <w:rPr>
          <w:rFonts w:hint="eastAsia"/>
        </w:rPr>
        <w:t>的递交</w:t>
      </w:r>
      <w:bookmarkEnd w:id="156"/>
      <w:bookmarkEnd w:id="152"/>
      <w:bookmarkEnd w:id="153"/>
      <w:bookmarkEnd w:id="154"/>
      <w:bookmarkEnd w:id="155"/>
    </w:p>
    <w:p>
      <w:pPr>
        <w:snapToGrid w:val="0"/>
        <w:spacing w:line="360" w:lineRule="auto"/>
        <w:rPr>
          <w:rFonts w:ascii="黑体" w:eastAsia="黑体" w:hAnsi="宋体" w:hint="eastAsia"/>
          <w:sz w:val="24"/>
        </w:rPr>
      </w:pPr>
      <w:bookmarkStart w:id="157" w:name="_Toc73521659"/>
      <w:bookmarkStart w:id="158" w:name="_Toc73521571"/>
      <w:bookmarkStart w:id="159" w:name="_Toc73518141"/>
      <w:bookmarkStart w:id="160" w:name="_Toc73517663"/>
      <w:bookmarkStart w:id="161" w:name="_Toc60560649"/>
      <w:bookmarkStart w:id="162" w:name="_Toc100052388"/>
      <w:bookmarkStart w:id="163" w:name="_Toc60631644"/>
      <w:r>
        <w:rPr>
          <w:rFonts w:ascii="黑体" w:eastAsia="黑体" w:hAnsi="宋体" w:hint="eastAsia"/>
          <w:sz w:val="24"/>
        </w:rPr>
        <w:t>24．投标文件的保密</w:t>
      </w:r>
    </w:p>
    <w:p>
      <w:pPr>
        <w:spacing w:line="360" w:lineRule="auto"/>
        <w:ind w:firstLine="420" w:firstLineChars="200"/>
        <w:rPr>
          <w:rFonts w:ascii="宋体" w:hAnsi="宋体" w:cs="宋体"/>
        </w:rPr>
      </w:pPr>
      <w:r>
        <w:rPr>
          <w:rFonts w:ascii="宋体" w:hAnsi="宋体" w:hint="eastAsia"/>
        </w:rPr>
        <w:t>24.1在投标文件制作完成后，在投标文件制作软件点击【生成标书】按钮进入【填写开标一览表界面】界面，在该界面填写完开标一览表信息后点击【确定】，进入投标文件生成环节。投标文件制作软件会在投标文件生成过程中，提示用户输入密码，输入密码后对标文件自动进行加密，此加密程序确保投标文件在到达开标时间后才能解密查看。在加密过程中，请按照软件提示进行操作。加密操作界面如下图所示：</w:t>
      </w:r>
    </w:p>
    <w:p>
      <w:pPr>
        <w:spacing w:line="360" w:lineRule="auto"/>
      </w:pPr>
      <w:r>
        <w:rPr>
          <w:rFonts w:ascii="宋体" w:hAnsi="宋体"/>
        </w:rPr>
        <w:drawing>
          <wp:inline distT="0" distB="0" distL="114300" distR="114300">
            <wp:extent cx="5278755" cy="2721610"/>
            <wp:effectExtent l="0" t="0" r="17145" b="2540"/>
            <wp:docPr id="2"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图形用户界面, 应用程序&#10;&#10;描述已自动生成"/>
                    <pic:cNvPicPr>
                      <a:picLocks noChangeAspect="1"/>
                    </pic:cNvPicPr>
                  </pic:nvPicPr>
                  <pic:blipFill>
                    <a:blip xmlns:r="http://schemas.openxmlformats.org/officeDocument/2006/relationships" r:embed="rId4"/>
                    <a:stretch>
                      <a:fillRect/>
                    </a:stretch>
                  </pic:blipFill>
                  <pic:spPr>
                    <a:xfrm>
                      <a:off x="0" y="0"/>
                      <a:ext cx="5278755" cy="2721610"/>
                    </a:xfrm>
                    <a:prstGeom prst="rect">
                      <a:avLst/>
                    </a:prstGeom>
                    <a:noFill/>
                    <a:ln>
                      <a:noFill/>
                    </a:ln>
                  </pic:spPr>
                </pic:pic>
              </a:graphicData>
            </a:graphic>
          </wp:inline>
        </w:drawing>
      </w:r>
    </w:p>
    <w:p>
      <w:pPr>
        <w:spacing w:line="360" w:lineRule="auto"/>
        <w:ind w:firstLine="420" w:firstLineChars="200"/>
        <w:rPr>
          <w:rFonts w:ascii="宋体" w:hAnsi="宋体"/>
        </w:rPr>
      </w:pPr>
      <w:r>
        <w:rPr>
          <w:rFonts w:ascii="宋体" w:hAnsi="宋体" w:hint="eastAsia"/>
        </w:rPr>
        <w:t>在投标文件制作软件点击【生成标书】按钮进入【填写开标一览表界面】界面，在该界面填写完开标一览表信息后点击【确定】，进入投标文件生成环节。</w:t>
      </w:r>
    </w:p>
    <w:p>
      <w:pPr>
        <w:spacing w:line="360" w:lineRule="auto"/>
      </w:pPr>
      <w:r>
        <w:rPr>
          <w:rFonts w:ascii="宋体" w:hAnsi="宋体"/>
        </w:rPr>
        <w:drawing>
          <wp:inline distT="0" distB="0" distL="114300" distR="114300">
            <wp:extent cx="5278755" cy="2732405"/>
            <wp:effectExtent l="0" t="0" r="17145" b="10795"/>
            <wp:docPr id="3" name="图片 1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图形用户界面&#10;&#10;描述已自动生成"/>
                    <pic:cNvPicPr>
                      <a:picLocks noChangeAspect="1"/>
                    </pic:cNvPicPr>
                  </pic:nvPicPr>
                  <pic:blipFill>
                    <a:blip xmlns:r="http://schemas.openxmlformats.org/officeDocument/2006/relationships" r:embed="rId5"/>
                    <a:stretch>
                      <a:fillRect/>
                    </a:stretch>
                  </pic:blipFill>
                  <pic:spPr>
                    <a:xfrm>
                      <a:off x="0" y="0"/>
                      <a:ext cx="5278755" cy="2732405"/>
                    </a:xfrm>
                    <a:prstGeom prst="rect">
                      <a:avLst/>
                    </a:prstGeom>
                    <a:noFill/>
                    <a:ln>
                      <a:noFill/>
                    </a:ln>
                  </pic:spPr>
                </pic:pic>
              </a:graphicData>
            </a:graphic>
          </wp:inline>
        </w:drawing>
      </w:r>
    </w:p>
    <w:p>
      <w:pPr>
        <w:spacing w:line="360" w:lineRule="auto"/>
        <w:ind w:firstLine="420" w:firstLineChars="200"/>
        <w:rPr>
          <w:rFonts w:ascii="宋体" w:hAnsi="宋体"/>
        </w:rPr>
      </w:pPr>
      <w:r>
        <w:rPr>
          <w:rFonts w:ascii="宋体" w:hAnsi="宋体" w:hint="eastAsia"/>
        </w:rPr>
        <w:t>投标文件制作软件会在投标文件生成过程中，提示用户输入密码，输入密码后对标文件自动进行加密。</w:t>
      </w:r>
    </w:p>
    <w:p>
      <w:pPr>
        <w:spacing w:line="360" w:lineRule="auto"/>
        <w:rPr>
          <w:rFonts w:ascii="宋体" w:hAnsi="宋体"/>
          <w:b/>
        </w:rPr>
      </w:pPr>
      <w:r>
        <w:rPr>
          <w:rFonts w:ascii="宋体" w:hAnsi="宋体" w:hint="eastAsia"/>
        </w:rPr>
        <w:t xml:space="preserve">   </w:t>
      </w:r>
      <w:r>
        <w:rPr>
          <w:rFonts w:ascii="宋体" w:hAnsi="宋体" w:hint="eastAsia"/>
          <w:b/>
        </w:rPr>
        <w:t xml:space="preserve"> 24.2若采购项目出现延期情况：</w:t>
      </w:r>
    </w:p>
    <w:p>
      <w:pPr>
        <w:spacing w:line="360" w:lineRule="auto"/>
        <w:ind w:firstLine="420" w:firstLineChars="200"/>
        <w:rPr>
          <w:rFonts w:ascii="宋体" w:hAnsi="宋体" w:hint="eastAsia"/>
          <w:szCs w:val="21"/>
        </w:rPr>
      </w:pPr>
      <w:r>
        <w:rPr>
          <w:rFonts w:ascii="宋体" w:hAnsi="宋体" w:hint="eastAsia"/>
          <w:b/>
        </w:rPr>
        <w:t>如果供下载的招标文件（后缀名为.</w:t>
      </w:r>
      <w:r>
        <w:rPr>
          <w:rFonts w:ascii="宋体" w:hAnsi="宋体"/>
          <w:b/>
        </w:rPr>
        <w:t>szczf</w:t>
      </w:r>
      <w:r>
        <w:rPr>
          <w:rFonts w:ascii="宋体" w:hAnsi="宋体" w:hint="eastAsia"/>
          <w:b/>
        </w:rPr>
        <w:t>）有更新，投标人必须重新下载招标文件、重新制作投标文件、重新加密投标文件、重新上传投标文件；如果供下载的招标文件（后缀名为.</w:t>
      </w:r>
      <w:r>
        <w:rPr>
          <w:rFonts w:ascii="宋体" w:hAnsi="宋体"/>
          <w:b/>
        </w:rPr>
        <w:t>szczf</w:t>
      </w:r>
      <w:r>
        <w:rPr>
          <w:rFonts w:ascii="宋体" w:hAnsi="宋体" w:hint="eastAsia"/>
          <w:b/>
        </w:rPr>
        <w:t>）没有更新，投标人必须重新加密投标文件、重新上传投标文件（是否重新制作投标文件根据项目实际情况定）。否则，投标人自行承担投标文件无法解密导致投标无效的后果。</w:t>
      </w:r>
      <w:r>
        <w:rPr>
          <w:rFonts w:ascii="宋体" w:hAnsi="宋体" w:hint="eastAsia"/>
          <w:szCs w:val="21"/>
        </w:rPr>
        <w:tab/>
      </w:r>
    </w:p>
    <w:p>
      <w:pPr>
        <w:rPr>
          <w:rFonts w:ascii="黑体" w:eastAsia="黑体" w:hAnsi="宋体"/>
          <w:sz w:val="24"/>
        </w:rPr>
      </w:pPr>
      <w:r>
        <w:rPr>
          <w:rFonts w:ascii="黑体" w:eastAsia="黑体" w:hAnsi="宋体" w:hint="eastAsia"/>
          <w:sz w:val="24"/>
        </w:rPr>
        <w:t>25．上传投标文件及投标截止日期</w:t>
      </w:r>
    </w:p>
    <w:p>
      <w:pPr>
        <w:spacing w:line="360" w:lineRule="auto"/>
        <w:ind w:firstLine="412" w:firstLineChars="196"/>
        <w:rPr>
          <w:rFonts w:ascii="宋体" w:hAnsi="宋体"/>
        </w:rPr>
      </w:pPr>
      <w:r>
        <w:rPr>
          <w:rFonts w:ascii="宋体" w:hAnsi="宋体" w:hint="eastAsia"/>
        </w:rPr>
        <w:t>25.1实行网上投标，投标人必须在招标文件规定的投标截止时间前用电子密钥登录“深圳政府采购智慧平台（http://zfcg.szggzy.com:8081/），使用“应标管理”—》“上传投标文件”功能点上传投标文件。如果没有该功能点，请用本公司的机构管理员在 “系统维护”—》“修改用户权限”中增加该功能点，如果增加不成功，并在工作日与深圳政府采购网联系，</w:t>
      </w:r>
      <w:r>
        <w:rPr>
          <w:rFonts w:ascii="宋体" w:hAnsi="宋体"/>
        </w:rPr>
        <w:t>联系电话：0755-83948100，83938584，83938599。如果确有困难，多次上传均告失败，请在投标截止时间之前携带加密后的电子投标文件（光盘或U盘）送达</w:t>
      </w:r>
      <w:r>
        <w:rPr>
          <w:rFonts w:ascii="宋体" w:hAnsi="宋体" w:hint="eastAsia"/>
        </w:rPr>
        <w:t>深圳政府采购网服务大厅</w:t>
      </w:r>
      <w:r>
        <w:rPr>
          <w:rFonts w:ascii="宋体" w:hAnsi="宋体"/>
        </w:rPr>
        <w:t>协助上传，但上传过程投标截止时间到达仍无法上传成功的，由投标人自行负责</w:t>
      </w:r>
      <w:r>
        <w:rPr>
          <w:rFonts w:ascii="宋体" w:hAnsi="宋体" w:hint="eastAsia"/>
        </w:rPr>
        <w:t>。</w:t>
      </w:r>
    </w:p>
    <w:p>
      <w:pPr>
        <w:spacing w:line="360" w:lineRule="auto"/>
        <w:ind w:firstLine="412" w:firstLineChars="196"/>
        <w:rPr>
          <w:rFonts w:ascii="宋体" w:hAnsi="宋体"/>
        </w:rPr>
      </w:pPr>
      <w:r>
        <w:rPr>
          <w:rFonts w:ascii="宋体" w:hAnsi="宋体" w:hint="eastAsia"/>
        </w:rPr>
        <w:t>25.2政府采购代理机构可以按本通用条款第13条规定，通过修改招标文件自行决定酌情延长投标截止期。在此情况下，政府采购代理机构、采购人和投标人受投标截止期制约的所有权利和义务均应延长至新的截止期。</w:t>
      </w:r>
    </w:p>
    <w:p>
      <w:pPr>
        <w:spacing w:line="360" w:lineRule="auto"/>
        <w:ind w:firstLine="412" w:firstLineChars="196"/>
        <w:rPr>
          <w:rFonts w:ascii="宋体" w:hAnsi="宋体"/>
        </w:rPr>
      </w:pPr>
      <w:r>
        <w:rPr>
          <w:rFonts w:ascii="宋体" w:hAnsi="宋体" w:hint="eastAsia"/>
        </w:rPr>
        <w:t>25</w:t>
      </w:r>
      <w:r>
        <w:rPr>
          <w:rFonts w:ascii="宋体" w:hAnsi="宋体"/>
        </w:rPr>
        <w:t>.</w:t>
      </w:r>
      <w:r>
        <w:rPr>
          <w:rFonts w:ascii="宋体" w:hAnsi="宋体" w:hint="eastAsia"/>
        </w:rPr>
        <w:t>3投标截止时间以后不得上传投标文件。</w:t>
      </w:r>
    </w:p>
    <w:p>
      <w:pPr>
        <w:wordWrap w:val="0"/>
        <w:spacing w:line="360" w:lineRule="auto"/>
        <w:ind w:firstLine="412" w:firstLineChars="196"/>
        <w:rPr>
          <w:rFonts w:ascii="宋体" w:hAnsi="宋体"/>
        </w:rPr>
      </w:pPr>
      <w:r>
        <w:rPr>
          <w:rFonts w:ascii="宋体" w:hAnsi="宋体" w:hint="eastAsia"/>
        </w:rPr>
        <w:t>25.4投标人须在开标当日的开标时间至解密截止时间内进行解密，逾期未解密的作无效处理。解密方法：登录“深圳政府采购智慧平台用户网上办事子系统（http://zfcg.szggzy.com/TPBidder/memberLogin）”，使用本单位制作电子投标文件同一个电子密钥，在“【我的项目】→【项目流程】→【开标及解密】”进行在线解密、查询开标情况。</w:t>
      </w:r>
    </w:p>
    <w:p>
      <w:pPr>
        <w:spacing w:line="360" w:lineRule="auto"/>
        <w:rPr>
          <w:rFonts w:ascii="黑体" w:eastAsia="黑体" w:hAnsi="宋体"/>
          <w:sz w:val="24"/>
        </w:rPr>
      </w:pPr>
      <w:r>
        <w:rPr>
          <w:rFonts w:ascii="黑体" w:eastAsia="黑体" w:hAnsi="宋体" w:hint="eastAsia"/>
          <w:sz w:val="24"/>
        </w:rPr>
        <w:t>26. 样品、现场演示、方案讲解</w:t>
      </w:r>
    </w:p>
    <w:p>
      <w:pPr>
        <w:spacing w:line="360" w:lineRule="auto"/>
        <w:ind w:firstLine="412" w:firstLineChars="196"/>
        <w:rPr>
          <w:rFonts w:hint="eastAsia"/>
        </w:rPr>
      </w:pPr>
      <w:r>
        <w:rPr>
          <w:rFonts w:ascii="宋体" w:hAnsi="宋体" w:hint="eastAsia"/>
        </w:rPr>
        <w:t>26.1 样品、现场演示、方案讲解等事项在招标文件专用条款中进行规定。</w:t>
      </w:r>
    </w:p>
    <w:p>
      <w:pPr>
        <w:snapToGrid w:val="0"/>
        <w:spacing w:line="360" w:lineRule="auto"/>
        <w:rPr>
          <w:rFonts w:ascii="黑体" w:eastAsia="黑体" w:hAnsi="宋体"/>
          <w:sz w:val="24"/>
        </w:rPr>
      </w:pPr>
      <w:r>
        <w:rPr>
          <w:rFonts w:ascii="黑体" w:eastAsia="黑体" w:hAnsi="宋体" w:hint="eastAsia"/>
          <w:sz w:val="24"/>
        </w:rPr>
        <w:t>27．</w:t>
      </w:r>
      <w:r>
        <w:rPr>
          <w:rFonts w:ascii="黑体" w:eastAsia="黑体" w:hAnsi="宋体"/>
          <w:sz w:val="24"/>
        </w:rPr>
        <w:t>投标文件的修改和撤销</w:t>
      </w:r>
    </w:p>
    <w:p>
      <w:pPr>
        <w:snapToGrid w:val="0"/>
        <w:spacing w:line="360" w:lineRule="auto"/>
        <w:ind w:firstLine="420" w:firstLineChars="200"/>
        <w:rPr>
          <w:rFonts w:ascii="宋体" w:hAnsi="宋体" w:hint="eastAsia"/>
          <w:szCs w:val="21"/>
        </w:rPr>
      </w:pPr>
      <w:bookmarkEnd w:id="157"/>
      <w:bookmarkEnd w:id="158"/>
      <w:bookmarkEnd w:id="159"/>
      <w:bookmarkEnd w:id="160"/>
      <w:bookmarkEnd w:id="161"/>
      <w:bookmarkEnd w:id="162"/>
      <w:bookmarkEnd w:id="163"/>
      <w:r>
        <w:rPr>
          <w:rFonts w:ascii="宋体" w:hAnsi="宋体" w:hint="eastAsia"/>
          <w:szCs w:val="21"/>
        </w:rPr>
        <w:t>27.1投标方在提交投标文件后可对其投标文件进行修改并重新上传投标文件或在网上进行撤销投标的操作。</w:t>
      </w:r>
    </w:p>
    <w:p>
      <w:pPr>
        <w:snapToGrid w:val="0"/>
        <w:spacing w:line="360" w:lineRule="auto"/>
        <w:ind w:firstLine="420" w:firstLineChars="200"/>
        <w:rPr>
          <w:rFonts w:ascii="宋体" w:hAnsi="宋体" w:hint="eastAsia"/>
          <w:szCs w:val="21"/>
        </w:rPr>
      </w:pPr>
      <w:r>
        <w:rPr>
          <w:rFonts w:ascii="宋体" w:hAnsi="宋体" w:hint="eastAsia"/>
          <w:szCs w:val="21"/>
        </w:rPr>
        <w:t>27.2投标截止时间以后不得修改投标文件。</w:t>
      </w:r>
    </w:p>
    <w:p>
      <w:pPr>
        <w:snapToGrid w:val="0"/>
        <w:spacing w:line="360" w:lineRule="auto"/>
        <w:ind w:firstLine="420" w:firstLineChars="200"/>
        <w:rPr>
          <w:rFonts w:ascii="宋体" w:hAnsi="宋体" w:hint="eastAsia"/>
          <w:szCs w:val="21"/>
        </w:rPr>
      </w:pPr>
      <w:r>
        <w:rPr>
          <w:rFonts w:ascii="宋体" w:hAnsi="宋体" w:hint="eastAsia"/>
          <w:szCs w:val="21"/>
        </w:rPr>
        <w:t>27.3</w:t>
      </w:r>
      <w:r>
        <w:rPr>
          <w:rFonts w:ascii="宋体" w:hAnsi="宋体" w:hint="eastAsia"/>
        </w:rPr>
        <w:t>从投标截止期至投标人在投标书中确定的投标有效期之间的这段时间内，投标人不得撤回其投标</w:t>
      </w:r>
      <w:r>
        <w:rPr>
          <w:rFonts w:ascii="宋体" w:hAnsi="宋体" w:hint="eastAsia"/>
          <w:szCs w:val="21"/>
        </w:rPr>
        <w:t>。</w:t>
      </w:r>
    </w:p>
    <w:p>
      <w:pPr>
        <w:snapToGrid w:val="0"/>
        <w:spacing w:line="360" w:lineRule="auto"/>
        <w:ind w:firstLine="420" w:firstLineChars="200"/>
        <w:rPr>
          <w:rFonts w:ascii="宋体" w:hAnsi="宋体"/>
          <w:szCs w:val="21"/>
        </w:rPr>
      </w:pPr>
      <w:r>
        <w:rPr>
          <w:rFonts w:ascii="宋体" w:hAnsi="宋体" w:hint="eastAsia"/>
          <w:szCs w:val="21"/>
        </w:rPr>
        <w:t>27.4政府采购代理机构不退还投标文件，专用条款另有规定的除外。</w:t>
      </w:r>
    </w:p>
    <w:p>
      <w:pPr>
        <w:pStyle w:val="Heading2"/>
        <w:spacing w:line="360" w:lineRule="auto"/>
        <w:jc w:val="center"/>
      </w:pPr>
      <w:bookmarkStart w:id="164" w:name="_Toc101074881"/>
      <w:bookmarkStart w:id="165" w:name="_Toc16752"/>
      <w:bookmarkStart w:id="166" w:name="_Toc13345"/>
      <w:bookmarkStart w:id="167" w:name="_Toc73517666"/>
      <w:bookmarkStart w:id="168" w:name="_Toc25638"/>
      <w:bookmarkStart w:id="169" w:name="_Toc30141"/>
      <w:bookmarkStart w:id="170" w:name="_Toc73521662"/>
      <w:bookmarkStart w:id="171" w:name="_Toc73518144"/>
      <w:bookmarkStart w:id="172" w:name="_Toc73521574"/>
      <w:bookmarkStart w:id="173" w:name="_Toc100052391"/>
      <w:bookmarkStart w:id="174" w:name="_Toc256000008"/>
      <w:r>
        <w:rPr>
          <w:rFonts w:hint="eastAsia"/>
        </w:rPr>
        <w:t>第五章 开标</w:t>
      </w:r>
      <w:bookmarkEnd w:id="174"/>
      <w:bookmarkEnd w:id="164"/>
      <w:bookmarkEnd w:id="165"/>
      <w:bookmarkEnd w:id="166"/>
      <w:bookmarkEnd w:id="167"/>
      <w:bookmarkEnd w:id="168"/>
      <w:bookmarkEnd w:id="169"/>
      <w:bookmarkEnd w:id="170"/>
      <w:bookmarkEnd w:id="171"/>
      <w:bookmarkEnd w:id="172"/>
      <w:bookmarkEnd w:id="173"/>
    </w:p>
    <w:p>
      <w:pPr>
        <w:snapToGrid w:val="0"/>
        <w:spacing w:line="360" w:lineRule="auto"/>
        <w:rPr>
          <w:rFonts w:ascii="黑体" w:eastAsia="黑体" w:hAnsi="宋体"/>
          <w:sz w:val="24"/>
        </w:rPr>
      </w:pPr>
      <w:bookmarkStart w:id="175" w:name="_Toc73517667"/>
      <w:bookmarkStart w:id="176" w:name="_Toc100052392"/>
      <w:bookmarkStart w:id="177" w:name="_Toc73518145"/>
      <w:bookmarkStart w:id="178" w:name="_Toc73521663"/>
      <w:bookmarkStart w:id="179" w:name="_Toc60631650"/>
      <w:bookmarkStart w:id="180" w:name="_Toc60560655"/>
      <w:bookmarkStart w:id="181" w:name="_Toc73521575"/>
      <w:r>
        <w:rPr>
          <w:rFonts w:ascii="黑体" w:eastAsia="黑体" w:hAnsi="宋体" w:hint="eastAsia"/>
          <w:sz w:val="24"/>
        </w:rPr>
        <w:t>28．开标</w:t>
      </w:r>
      <w:bookmarkEnd w:id="175"/>
      <w:bookmarkEnd w:id="176"/>
      <w:bookmarkEnd w:id="177"/>
      <w:bookmarkEnd w:id="178"/>
      <w:bookmarkEnd w:id="179"/>
      <w:bookmarkEnd w:id="180"/>
      <w:bookmarkEnd w:id="181"/>
    </w:p>
    <w:p>
      <w:pPr>
        <w:wordWrap w:val="0"/>
        <w:snapToGrid w:val="0"/>
        <w:spacing w:line="360" w:lineRule="auto"/>
        <w:ind w:firstLine="420" w:firstLineChars="200"/>
        <w:rPr>
          <w:rFonts w:ascii="宋体" w:hAnsi="宋体" w:hint="eastAsia"/>
          <w:szCs w:val="21"/>
        </w:rPr>
      </w:pPr>
      <w:bookmarkStart w:id="182" w:name="bt评标"/>
      <w:bookmarkEnd w:id="182"/>
      <w:bookmarkStart w:id="183" w:name="_Toc73521576"/>
      <w:bookmarkStart w:id="184" w:name="_Toc73521664"/>
      <w:bookmarkStart w:id="185" w:name="_Toc73518146"/>
      <w:bookmarkStart w:id="186" w:name="_Toc73517668"/>
      <w:bookmarkStart w:id="187" w:name="_Toc101074882"/>
      <w:bookmarkStart w:id="188" w:name="_Toc100052393"/>
      <w:r>
        <w:rPr>
          <w:rFonts w:ascii="宋体" w:hAnsi="宋体" w:hint="eastAsia"/>
          <w:szCs w:val="21"/>
        </w:rPr>
        <w:t>28.1投标人须在开标当日的开标时间至解密截止时间内进行解密，逾期未解密的作无效处理。解密方法：登录“深圳政府采购智慧平台用户网上办事子系统（http://zfcg.szggzy.com/TPBidder/memberLogin）”，使用本单位制作电子投标文件同一个电子密钥，在“【我的项目】→【项目流程】→【开标及解密】”进行在线解密、查询开标情况。</w:t>
      </w:r>
    </w:p>
    <w:p>
      <w:pPr>
        <w:snapToGrid w:val="0"/>
        <w:spacing w:line="360" w:lineRule="auto"/>
        <w:ind w:firstLine="420" w:firstLineChars="200"/>
        <w:rPr>
          <w:rFonts w:ascii="宋体" w:hAnsi="宋体"/>
          <w:szCs w:val="21"/>
        </w:rPr>
      </w:pPr>
      <w:r>
        <w:rPr>
          <w:rFonts w:ascii="宋体" w:hAnsi="宋体" w:hint="eastAsia"/>
          <w:szCs w:val="21"/>
        </w:rPr>
        <w:t>28.2 政府采购代理机构将在满足开标条件（①解密时间结束，解密后的投标供应商数量满足开标要求或②解密时间结束前所有投标供应商均完成投标文件解密）后，对投标文件进行开标，并在网上公布开标结果。</w:t>
      </w:r>
    </w:p>
    <w:p>
      <w:pPr>
        <w:snapToGrid w:val="0"/>
        <w:spacing w:line="360" w:lineRule="auto"/>
        <w:ind w:firstLine="420" w:firstLineChars="200"/>
        <w:rPr>
          <w:rFonts w:ascii="宋体" w:hAnsi="宋体"/>
          <w:szCs w:val="21"/>
        </w:rPr>
      </w:pPr>
    </w:p>
    <w:p>
      <w:pPr>
        <w:pStyle w:val="Heading2"/>
        <w:spacing w:line="360" w:lineRule="auto"/>
        <w:jc w:val="center"/>
        <w:rPr>
          <w:rFonts w:hint="eastAsia"/>
        </w:rPr>
      </w:pPr>
      <w:bookmarkStart w:id="189" w:name="_Toc31585"/>
      <w:bookmarkStart w:id="190" w:name="_Toc29720"/>
      <w:bookmarkStart w:id="191" w:name="_Toc7510"/>
      <w:bookmarkStart w:id="192" w:name="_Toc9611"/>
      <w:bookmarkStart w:id="193" w:name="_Toc256000009"/>
      <w:r>
        <w:rPr>
          <w:rFonts w:hint="eastAsia"/>
        </w:rPr>
        <w:t>第六章</w:t>
      </w:r>
      <w:bookmarkEnd w:id="183"/>
      <w:bookmarkEnd w:id="184"/>
      <w:bookmarkEnd w:id="185"/>
      <w:bookmarkEnd w:id="186"/>
      <w:r>
        <w:rPr>
          <w:rFonts w:hint="eastAsia"/>
        </w:rPr>
        <w:t xml:space="preserve"> </w:t>
      </w:r>
      <w:bookmarkEnd w:id="187"/>
      <w:bookmarkEnd w:id="188"/>
      <w:r>
        <w:rPr>
          <w:rFonts w:hint="eastAsia"/>
        </w:rPr>
        <w:t>评审要求</w:t>
      </w:r>
      <w:bookmarkEnd w:id="193"/>
      <w:bookmarkEnd w:id="189"/>
      <w:bookmarkEnd w:id="190"/>
      <w:bookmarkEnd w:id="191"/>
      <w:bookmarkEnd w:id="192"/>
    </w:p>
    <w:p>
      <w:pPr>
        <w:snapToGrid w:val="0"/>
        <w:spacing w:line="360" w:lineRule="auto"/>
        <w:rPr>
          <w:rFonts w:ascii="黑体" w:eastAsia="黑体" w:hAnsi="宋体" w:hint="eastAsia"/>
          <w:sz w:val="24"/>
        </w:rPr>
      </w:pPr>
      <w:bookmarkStart w:id="194" w:name="bt评标会议"/>
      <w:bookmarkEnd w:id="194"/>
      <w:bookmarkStart w:id="195" w:name="_Toc73518147"/>
      <w:bookmarkStart w:id="196" w:name="_Toc100052394"/>
      <w:bookmarkStart w:id="197" w:name="_Toc73517669"/>
      <w:bookmarkStart w:id="198" w:name="_Toc73521577"/>
      <w:bookmarkStart w:id="199" w:name="_Toc73521665"/>
      <w:r>
        <w:rPr>
          <w:rFonts w:ascii="黑体" w:eastAsia="黑体" w:hAnsi="宋体" w:hint="eastAsia"/>
          <w:sz w:val="24"/>
        </w:rPr>
        <w:t>29．评审委员会组成</w:t>
      </w:r>
    </w:p>
    <w:p>
      <w:pPr>
        <w:spacing w:line="360" w:lineRule="auto"/>
        <w:ind w:firstLine="420" w:firstLineChars="200"/>
        <w:rPr>
          <w:rFonts w:ascii="宋体" w:hAnsi="宋体" w:hint="eastAsia"/>
          <w:szCs w:val="21"/>
        </w:rPr>
      </w:pPr>
      <w:r>
        <w:rPr>
          <w:rFonts w:ascii="宋体" w:hAnsi="宋体" w:hint="eastAsia"/>
          <w:szCs w:val="21"/>
        </w:rPr>
        <w:t>29.1网上开标结束后召开评审会议，评审委员会由政府集中采购机构依法组建，负责评审活动。</w:t>
      </w:r>
    </w:p>
    <w:p>
      <w:pPr>
        <w:spacing w:line="360" w:lineRule="auto"/>
        <w:ind w:firstLine="420" w:firstLineChars="200"/>
        <w:rPr>
          <w:rFonts w:ascii="宋体" w:hAnsi="宋体"/>
          <w:szCs w:val="21"/>
        </w:rPr>
      </w:pPr>
      <w:r>
        <w:rPr>
          <w:rFonts w:ascii="宋体" w:hAnsi="宋体" w:hint="eastAsia"/>
          <w:szCs w:val="21"/>
        </w:rPr>
        <w:t>评审委员会由采购人代表和评审专家组成，成员人数应当为5人以上单数（部分条件下为7人以上单数），其中评审专家不得少于成员总数的三分之二。评定分离项目评审专家均由评审专家组成。评审专家一般是从深圳市政府采购评审专家库中随机抽取。采购人代表须持本单位签发的《评审授权书》参加评审。</w:t>
      </w:r>
    </w:p>
    <w:p>
      <w:pPr>
        <w:spacing w:line="360" w:lineRule="auto"/>
        <w:ind w:firstLine="420" w:firstLineChars="200"/>
        <w:rPr>
          <w:rFonts w:ascii="宋体" w:hAnsi="宋体"/>
          <w:szCs w:val="21"/>
        </w:rPr>
      </w:pPr>
      <w:r>
        <w:rPr>
          <w:rFonts w:ascii="宋体" w:hAnsi="宋体"/>
          <w:szCs w:val="21"/>
        </w:rPr>
        <w:t>2</w:t>
      </w:r>
      <w:r>
        <w:rPr>
          <w:rFonts w:ascii="宋体" w:hAnsi="宋体" w:hint="eastAsia"/>
          <w:szCs w:val="21"/>
        </w:rPr>
        <w:t>9</w:t>
      </w:r>
      <w:r>
        <w:rPr>
          <w:rFonts w:ascii="宋体" w:hAnsi="宋体"/>
          <w:szCs w:val="21"/>
        </w:rPr>
        <w:t>.</w:t>
      </w:r>
      <w:r>
        <w:rPr>
          <w:rFonts w:ascii="宋体" w:hAnsi="宋体" w:hint="eastAsia"/>
          <w:szCs w:val="21"/>
        </w:rPr>
        <w:t>2政府采购代理机构在投标截止日前组成评审委员会。采购人派代表参加评审委员会的，应在投标截止日前一日提交本单位签发的《评标授权书》给政府采购代理机构；采购人不派代表参加评审委员会的，应在投标截止日前一日提交《采购单位不派评委参与项目评标承诺书》给政府采购代理机构。</w:t>
      </w:r>
    </w:p>
    <w:p>
      <w:pPr>
        <w:spacing w:line="360" w:lineRule="auto"/>
        <w:ind w:firstLine="420" w:firstLineChars="200"/>
        <w:rPr>
          <w:rFonts w:ascii="宋体" w:hAnsi="宋体"/>
          <w:szCs w:val="21"/>
        </w:rPr>
      </w:pPr>
      <w:r>
        <w:rPr>
          <w:rFonts w:ascii="宋体" w:hAnsi="宋体"/>
          <w:szCs w:val="21"/>
        </w:rPr>
        <w:t>2</w:t>
      </w:r>
      <w:r>
        <w:rPr>
          <w:rFonts w:ascii="宋体" w:hAnsi="宋体" w:hint="eastAsia"/>
          <w:szCs w:val="21"/>
        </w:rPr>
        <w:t>9</w:t>
      </w:r>
      <w:r>
        <w:rPr>
          <w:rFonts w:ascii="宋体" w:hAnsi="宋体"/>
          <w:szCs w:val="21"/>
        </w:rPr>
        <w:t>.</w:t>
      </w:r>
      <w:r>
        <w:rPr>
          <w:rFonts w:ascii="宋体" w:hAnsi="宋体" w:hint="eastAsia"/>
          <w:szCs w:val="21"/>
        </w:rPr>
        <w:t>3评标、定标应当遵循公平、公正、科学、择优的原则。</w:t>
      </w:r>
    </w:p>
    <w:p>
      <w:pPr>
        <w:spacing w:line="360" w:lineRule="auto"/>
        <w:ind w:firstLine="420" w:firstLineChars="200"/>
        <w:rPr>
          <w:rFonts w:ascii="宋体" w:hAnsi="宋体"/>
          <w:szCs w:val="21"/>
        </w:rPr>
      </w:pPr>
      <w:r>
        <w:rPr>
          <w:rFonts w:ascii="宋体" w:hAnsi="宋体" w:hint="eastAsia"/>
          <w:szCs w:val="21"/>
        </w:rPr>
        <w:t>29.4评审活动依法进行，任何单位和个人不得非法干预评审过程和结果。</w:t>
      </w:r>
    </w:p>
    <w:p>
      <w:pPr>
        <w:spacing w:line="360" w:lineRule="auto"/>
        <w:ind w:firstLine="420" w:firstLineChars="200"/>
        <w:rPr>
          <w:rFonts w:ascii="宋体" w:hAnsi="宋体"/>
          <w:szCs w:val="21"/>
        </w:rPr>
      </w:pPr>
      <w:r>
        <w:rPr>
          <w:rFonts w:ascii="宋体" w:hAnsi="宋体" w:hint="eastAsia"/>
          <w:szCs w:val="21"/>
        </w:rPr>
        <w:t>29.5评审过程中不允许违背评审程序或采用招标文件未载明的评标方法或评审因素进行评标。</w:t>
      </w:r>
    </w:p>
    <w:p>
      <w:pPr>
        <w:spacing w:line="360" w:lineRule="auto"/>
        <w:ind w:firstLine="420" w:firstLineChars="200"/>
        <w:rPr>
          <w:rFonts w:ascii="宋体" w:hAnsi="宋体" w:hint="eastAsia"/>
          <w:szCs w:val="21"/>
        </w:rPr>
      </w:pPr>
      <w:r>
        <w:rPr>
          <w:rFonts w:ascii="宋体" w:hAnsi="宋体" w:hint="eastAsia"/>
          <w:szCs w:val="21"/>
        </w:rPr>
        <w:t>29.6开标后，直到授予中标供应商合同为止，凡属于对投标文件的审查、澄清、评价和比较的有关资料以及中标供应商的确定情况、与评标、定标有关的其他任何情况均严格保密（信息公开的内容除外）。</w:t>
      </w:r>
    </w:p>
    <w:p>
      <w:pPr>
        <w:snapToGrid w:val="0"/>
        <w:spacing w:line="360" w:lineRule="auto"/>
        <w:rPr>
          <w:rFonts w:ascii="黑体" w:eastAsia="黑体" w:hAnsi="宋体"/>
          <w:sz w:val="24"/>
        </w:rPr>
      </w:pPr>
      <w:r>
        <w:rPr>
          <w:rFonts w:ascii="黑体" w:eastAsia="黑体" w:hAnsi="宋体" w:hint="eastAsia"/>
          <w:sz w:val="24"/>
        </w:rPr>
        <w:t>30．向评审委员会提供的资料</w:t>
      </w:r>
    </w:p>
    <w:p>
      <w:pPr>
        <w:spacing w:line="360" w:lineRule="auto"/>
        <w:ind w:firstLine="420" w:firstLineChars="200"/>
        <w:rPr>
          <w:rFonts w:ascii="宋体" w:hAnsi="宋体"/>
          <w:szCs w:val="21"/>
        </w:rPr>
      </w:pPr>
      <w:r>
        <w:rPr>
          <w:rFonts w:ascii="宋体" w:hAnsi="宋体" w:hint="eastAsia"/>
          <w:szCs w:val="21"/>
        </w:rPr>
        <w:t>30.1公开发布的招标文件，包括图纸、服务清单、答疑文件等。</w:t>
      </w:r>
    </w:p>
    <w:p>
      <w:pPr>
        <w:spacing w:line="360" w:lineRule="auto"/>
        <w:ind w:firstLine="420" w:firstLineChars="200"/>
        <w:rPr>
          <w:rFonts w:ascii="宋体" w:hAnsi="宋体"/>
          <w:szCs w:val="21"/>
        </w:rPr>
      </w:pPr>
      <w:r>
        <w:rPr>
          <w:rFonts w:ascii="宋体" w:hAnsi="宋体" w:hint="eastAsia"/>
          <w:szCs w:val="21"/>
        </w:rPr>
        <w:t>30.2其他评标必须的资料。</w:t>
      </w:r>
    </w:p>
    <w:p>
      <w:pPr>
        <w:spacing w:line="360" w:lineRule="auto"/>
        <w:ind w:firstLine="420" w:firstLineChars="200"/>
        <w:rPr>
          <w:rFonts w:ascii="宋体" w:hAnsi="宋体"/>
          <w:szCs w:val="21"/>
        </w:rPr>
      </w:pPr>
      <w:r>
        <w:rPr>
          <w:rFonts w:ascii="宋体" w:hAnsi="宋体" w:hint="eastAsia"/>
          <w:szCs w:val="21"/>
        </w:rPr>
        <w:t>30.3评审委员会应当认真研究招标文件，至少应了解熟悉以下内容：</w:t>
      </w:r>
    </w:p>
    <w:p>
      <w:pPr>
        <w:spacing w:line="360" w:lineRule="auto"/>
        <w:ind w:firstLine="420" w:firstLineChars="200"/>
        <w:rPr>
          <w:rFonts w:ascii="宋体" w:hAnsi="宋体"/>
          <w:szCs w:val="21"/>
        </w:rPr>
      </w:pPr>
      <w:r>
        <w:rPr>
          <w:rFonts w:ascii="宋体" w:hAnsi="宋体" w:hint="eastAsia"/>
          <w:szCs w:val="21"/>
        </w:rPr>
        <w:t>（1）招标的目的；</w:t>
      </w:r>
    </w:p>
    <w:p>
      <w:pPr>
        <w:spacing w:line="360" w:lineRule="auto"/>
        <w:ind w:firstLine="420" w:firstLineChars="200"/>
        <w:rPr>
          <w:rFonts w:ascii="宋体" w:hAnsi="宋体"/>
          <w:szCs w:val="21"/>
        </w:rPr>
      </w:pPr>
      <w:r>
        <w:rPr>
          <w:rFonts w:ascii="宋体" w:hAnsi="宋体" w:hint="eastAsia"/>
          <w:szCs w:val="21"/>
        </w:rPr>
        <w:t>（2）招标项目需求的范围和性质；</w:t>
      </w:r>
    </w:p>
    <w:p>
      <w:pPr>
        <w:spacing w:line="360" w:lineRule="auto"/>
        <w:ind w:firstLine="420" w:firstLineChars="200"/>
        <w:rPr>
          <w:rFonts w:ascii="宋体" w:hAnsi="宋体"/>
          <w:szCs w:val="21"/>
        </w:rPr>
      </w:pPr>
      <w:r>
        <w:rPr>
          <w:rFonts w:ascii="宋体" w:hAnsi="宋体" w:hint="eastAsia"/>
          <w:szCs w:val="21"/>
        </w:rPr>
        <w:t>（3）招标文件规定的投标人的资质、财政预算限额、商务条款；</w:t>
      </w:r>
    </w:p>
    <w:p>
      <w:pPr>
        <w:spacing w:line="360" w:lineRule="auto"/>
        <w:ind w:firstLine="420" w:firstLineChars="200"/>
        <w:rPr>
          <w:rFonts w:ascii="宋体" w:hAnsi="宋体"/>
          <w:szCs w:val="21"/>
        </w:rPr>
      </w:pPr>
      <w:r>
        <w:rPr>
          <w:rFonts w:ascii="宋体" w:hAnsi="宋体" w:hint="eastAsia"/>
          <w:szCs w:val="21"/>
        </w:rPr>
        <w:t>（4）招标文件规定的评审程序、评标方法和评审因素；</w:t>
      </w:r>
    </w:p>
    <w:p>
      <w:pPr>
        <w:spacing w:line="360" w:lineRule="auto"/>
        <w:ind w:firstLine="420" w:firstLineChars="200"/>
        <w:rPr>
          <w:rFonts w:ascii="宋体" w:hAnsi="宋体"/>
          <w:szCs w:val="21"/>
        </w:rPr>
      </w:pPr>
      <w:r>
        <w:rPr>
          <w:rFonts w:ascii="宋体" w:hAnsi="宋体" w:hint="eastAsia"/>
          <w:szCs w:val="21"/>
        </w:rPr>
        <w:t>（5）招标文件所列示的废标条件；</w:t>
      </w:r>
    </w:p>
    <w:p>
      <w:pPr>
        <w:snapToGrid w:val="0"/>
        <w:spacing w:line="360" w:lineRule="auto"/>
        <w:rPr>
          <w:rFonts w:ascii="黑体" w:eastAsia="黑体" w:hAnsi="宋体"/>
          <w:sz w:val="24"/>
        </w:rPr>
      </w:pPr>
      <w:r>
        <w:rPr>
          <w:rFonts w:ascii="黑体" w:eastAsia="黑体" w:hAnsi="宋体" w:hint="eastAsia"/>
          <w:sz w:val="24"/>
        </w:rPr>
        <w:t>31．独立评审</w:t>
      </w:r>
    </w:p>
    <w:p>
      <w:pPr>
        <w:snapToGrid w:val="0"/>
        <w:spacing w:line="360" w:lineRule="auto"/>
        <w:ind w:firstLine="420" w:firstLineChars="200"/>
        <w:rPr>
          <w:rFonts w:ascii="宋体" w:hAnsi="宋体"/>
          <w:bCs/>
        </w:rPr>
      </w:pPr>
      <w:r>
        <w:rPr>
          <w:rFonts w:ascii="宋体" w:hAnsi="宋体" w:hint="eastAsia"/>
          <w:szCs w:val="21"/>
        </w:rPr>
        <w:t>31.1评审委员会成员的评审活动应当独立进行，并应遵循投标文件初审、澄清有关问题、比较与评价、确定中标供应商、编写评审报告的工作程序</w:t>
      </w:r>
      <w:r>
        <w:rPr>
          <w:rFonts w:ascii="宋体" w:hAnsi="宋体" w:hint="eastAsia"/>
          <w:bCs/>
        </w:rPr>
        <w:t>。</w:t>
      </w:r>
      <w:bookmarkEnd w:id="195"/>
      <w:bookmarkEnd w:id="196"/>
      <w:bookmarkEnd w:id="197"/>
      <w:bookmarkEnd w:id="198"/>
      <w:bookmarkEnd w:id="199"/>
      <w:bookmarkStart w:id="200" w:name="bt错误的修正"/>
      <w:bookmarkEnd w:id="200"/>
      <w:bookmarkStart w:id="201" w:name="bt评标过程的保密"/>
      <w:bookmarkEnd w:id="201"/>
    </w:p>
    <w:p>
      <w:pPr>
        <w:pStyle w:val="Heading2"/>
        <w:spacing w:line="360" w:lineRule="auto"/>
        <w:jc w:val="center"/>
      </w:pPr>
      <w:bookmarkStart w:id="202" w:name="_Toc12783"/>
      <w:bookmarkStart w:id="203" w:name="_Toc9574"/>
      <w:bookmarkStart w:id="204" w:name="_Toc18001"/>
      <w:bookmarkStart w:id="205" w:name="_Toc100052397"/>
      <w:bookmarkStart w:id="206" w:name="_Toc3257"/>
      <w:bookmarkStart w:id="207" w:name="_Toc101074883"/>
      <w:bookmarkStart w:id="208" w:name="_Toc256000010"/>
      <w:r>
        <w:rPr>
          <w:rFonts w:hint="eastAsia"/>
        </w:rPr>
        <w:t>第七章 评审程序</w:t>
      </w:r>
      <w:bookmarkStart w:id="209" w:name="bt投标文件的审查"/>
      <w:bookmarkEnd w:id="209"/>
      <w:bookmarkStart w:id="210" w:name="_Toc73521667"/>
      <w:bookmarkStart w:id="211" w:name="_Toc73518149"/>
      <w:bookmarkStart w:id="212" w:name="_Toc73517671"/>
      <w:bookmarkStart w:id="213" w:name="_Toc73521579"/>
      <w:r>
        <w:rPr>
          <w:rFonts w:hint="eastAsia"/>
        </w:rPr>
        <w:t>及评审方法</w:t>
      </w:r>
      <w:bookmarkEnd w:id="208"/>
      <w:bookmarkEnd w:id="202"/>
      <w:bookmarkEnd w:id="203"/>
      <w:bookmarkEnd w:id="204"/>
      <w:bookmarkEnd w:id="205"/>
      <w:bookmarkEnd w:id="206"/>
      <w:bookmarkEnd w:id="207"/>
    </w:p>
    <w:p>
      <w:pPr>
        <w:snapToGrid w:val="0"/>
        <w:spacing w:line="360" w:lineRule="auto"/>
        <w:rPr>
          <w:rFonts w:ascii="黑体" w:eastAsia="黑体" w:hAnsi="宋体"/>
          <w:sz w:val="24"/>
        </w:rPr>
      </w:pPr>
      <w:bookmarkStart w:id="214" w:name="_Toc100052398"/>
      <w:r>
        <w:rPr>
          <w:rFonts w:ascii="黑体" w:eastAsia="黑体" w:hAnsi="宋体" w:hint="eastAsia"/>
          <w:sz w:val="24"/>
        </w:rPr>
        <w:t>32．投标文件初审</w:t>
      </w:r>
      <w:bookmarkEnd w:id="214"/>
    </w:p>
    <w:p>
      <w:pPr>
        <w:snapToGrid w:val="0"/>
        <w:spacing w:line="360" w:lineRule="auto"/>
        <w:ind w:firstLine="412" w:firstLineChars="196"/>
        <w:rPr>
          <w:rFonts w:ascii="宋体" w:hAnsi="宋体" w:hint="eastAsia"/>
        </w:rPr>
      </w:pPr>
      <w:r>
        <w:rPr>
          <w:rFonts w:ascii="宋体" w:hAnsi="宋体" w:hint="eastAsia"/>
        </w:rPr>
        <w:t>32.1投标文件初审包括资格性检查和符合性检查。</w:t>
      </w:r>
    </w:p>
    <w:p>
      <w:pPr>
        <w:snapToGrid w:val="0"/>
        <w:spacing w:line="360" w:lineRule="auto"/>
        <w:ind w:firstLine="412" w:firstLineChars="196"/>
        <w:rPr>
          <w:rFonts w:ascii="宋体" w:hAnsi="宋体" w:hint="eastAsia"/>
        </w:rPr>
      </w:pPr>
      <w:r>
        <w:rPr>
          <w:rFonts w:ascii="宋体" w:hAnsi="宋体" w:hint="eastAsia"/>
        </w:rPr>
        <w:t>资格性检查：依据法律法规和招标文件的规定，对投标文件中的资格证明进行审查，以确定投标供应商是否具备投标资格。</w:t>
      </w:r>
    </w:p>
    <w:p>
      <w:pPr>
        <w:snapToGrid w:val="0"/>
        <w:spacing w:line="360" w:lineRule="auto"/>
        <w:ind w:firstLine="412" w:firstLineChars="196"/>
        <w:rPr>
          <w:rFonts w:ascii="宋体" w:hAnsi="宋体"/>
        </w:rPr>
      </w:pPr>
      <w:r>
        <w:rPr>
          <w:rFonts w:ascii="宋体" w:hAnsi="宋体" w:hint="eastAsia"/>
        </w:rPr>
        <w:t>符合性检查：依据招标文件的规定，从投标文件的有效性、完整性和对招标文件的响应程度进行审查，以确定是否对招标文件的实质性要求作出响应。</w:t>
      </w:r>
    </w:p>
    <w:p>
      <w:pPr>
        <w:snapToGrid w:val="0"/>
        <w:spacing w:line="360" w:lineRule="auto"/>
        <w:ind w:firstLine="412" w:firstLineChars="196"/>
        <w:rPr>
          <w:rFonts w:ascii="宋体" w:hAnsi="宋体" w:hint="eastAsia"/>
        </w:rPr>
      </w:pPr>
      <w:r>
        <w:rPr>
          <w:rFonts w:ascii="宋体" w:hAnsi="宋体" w:hint="eastAsia"/>
        </w:rPr>
        <w:t>32.2投标文件初审内容请详见招标文件第二册第二章《投标文件初审表》部分。投标人若有一条审查不通过则按废标处理。</w:t>
      </w:r>
    </w:p>
    <w:p>
      <w:pPr>
        <w:snapToGrid w:val="0"/>
        <w:spacing w:line="360" w:lineRule="auto"/>
        <w:ind w:firstLine="412" w:firstLineChars="196"/>
        <w:rPr>
          <w:rFonts w:ascii="宋体" w:hAnsi="宋体" w:hint="eastAsia"/>
          <w:b/>
        </w:rPr>
      </w:pPr>
      <w:r>
        <w:rPr>
          <w:rFonts w:ascii="宋体" w:hAnsi="宋体" w:hint="eastAsia"/>
          <w:b/>
        </w:rPr>
        <w:t>32.3 投标文件初审中关于供应商家数的计算:</w:t>
      </w:r>
    </w:p>
    <w:p>
      <w:pPr>
        <w:snapToGrid w:val="0"/>
        <w:spacing w:line="360" w:lineRule="auto"/>
        <w:ind w:firstLine="412" w:firstLineChars="196"/>
        <w:rPr>
          <w:rFonts w:ascii="宋体" w:hAnsi="宋体" w:hint="eastAsia"/>
          <w:b/>
        </w:rPr>
      </w:pPr>
      <w:r>
        <w:rPr>
          <w:rFonts w:ascii="宋体" w:hAnsi="宋体" w:hint="eastAsia"/>
          <w:b/>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标的投标人，招标文件未规定的采取随机抽取方式确定，其他投标无效。</w:t>
      </w:r>
    </w:p>
    <w:p>
      <w:pPr>
        <w:snapToGrid w:val="0"/>
        <w:spacing w:line="360" w:lineRule="auto"/>
        <w:ind w:firstLine="412" w:firstLineChars="196"/>
        <w:rPr>
          <w:rFonts w:ascii="宋体" w:hAnsi="宋体" w:hint="eastAsia"/>
          <w:b/>
        </w:rPr>
      </w:pPr>
      <w:r>
        <w:rPr>
          <w:rFonts w:ascii="宋体" w:hAnsi="宋体" w:hint="eastAsia"/>
          <w:b/>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snapToGrid w:val="0"/>
        <w:spacing w:line="360" w:lineRule="auto"/>
        <w:ind w:firstLine="412" w:firstLineChars="196"/>
        <w:rPr>
          <w:rFonts w:ascii="宋体" w:hAnsi="宋体"/>
          <w:b/>
        </w:rPr>
      </w:pPr>
      <w:r>
        <w:rPr>
          <w:rFonts w:ascii="宋体" w:hAnsi="宋体" w:hint="eastAsia"/>
          <w:b/>
        </w:rPr>
        <w:t>32.3.3非单一产品采购项目，采购人应当根据采购项目技术构成、产品价格比重等合理确定核心产品，并在招标文件中载明。多家投标人提供的核心产品品牌相同的，按前两款规定处理。</w:t>
      </w:r>
    </w:p>
    <w:p>
      <w:pPr>
        <w:snapToGrid w:val="0"/>
        <w:spacing w:line="360" w:lineRule="auto"/>
        <w:ind w:firstLine="412" w:firstLineChars="196"/>
        <w:rPr>
          <w:rFonts w:ascii="宋体" w:hAnsi="宋体" w:hint="eastAsia"/>
        </w:rPr>
      </w:pPr>
      <w:r>
        <w:rPr>
          <w:rFonts w:ascii="宋体" w:hAnsi="宋体" w:hint="eastAsia"/>
        </w:rPr>
        <w:t>32.4投标人投标文件作无效处理的情形，具体包括但不限于以下：</w:t>
      </w:r>
    </w:p>
    <w:p>
      <w:pPr>
        <w:snapToGrid w:val="0"/>
        <w:spacing w:line="360" w:lineRule="auto"/>
        <w:ind w:firstLine="412" w:firstLineChars="196"/>
        <w:rPr>
          <w:rFonts w:ascii="宋体" w:hAnsi="宋体" w:hint="eastAsia"/>
        </w:rPr>
      </w:pPr>
      <w:r>
        <w:rPr>
          <w:rFonts w:ascii="宋体" w:hAnsi="宋体" w:hint="eastAsia"/>
        </w:rPr>
        <w:t>32.4.1不同投标人的投标文件由同一单位或者同一个人编制，或者由同一个人分阶段参与编制；</w:t>
      </w:r>
    </w:p>
    <w:p>
      <w:pPr>
        <w:snapToGrid w:val="0"/>
        <w:spacing w:line="360" w:lineRule="auto"/>
        <w:ind w:firstLine="412" w:firstLineChars="196"/>
        <w:rPr>
          <w:rFonts w:ascii="宋体" w:hAnsi="宋体" w:hint="eastAsia"/>
        </w:rPr>
      </w:pPr>
      <w:r>
        <w:rPr>
          <w:rFonts w:ascii="宋体" w:hAnsi="宋体" w:hint="eastAsia"/>
        </w:rPr>
        <w:t>32.4.2不同投标人委托同一单位或者个人办理投标事宜；</w:t>
      </w:r>
    </w:p>
    <w:p>
      <w:pPr>
        <w:snapToGrid w:val="0"/>
        <w:spacing w:line="360" w:lineRule="auto"/>
        <w:ind w:firstLine="412" w:firstLineChars="196"/>
        <w:rPr>
          <w:rFonts w:ascii="宋体" w:hAnsi="宋体" w:hint="eastAsia"/>
        </w:rPr>
      </w:pPr>
      <w:r>
        <w:rPr>
          <w:rFonts w:ascii="宋体" w:hAnsi="宋体" w:hint="eastAsia"/>
        </w:rPr>
        <w:t>32.4.3不同投标人的投标文件载明的项目管理成员或者联系人员为同一人；</w:t>
      </w:r>
    </w:p>
    <w:p>
      <w:pPr>
        <w:snapToGrid w:val="0"/>
        <w:spacing w:line="360" w:lineRule="auto"/>
        <w:ind w:firstLine="412" w:firstLineChars="196"/>
        <w:rPr>
          <w:rFonts w:ascii="宋体" w:hAnsi="宋体" w:hint="eastAsia"/>
        </w:rPr>
      </w:pPr>
      <w:r>
        <w:rPr>
          <w:rFonts w:ascii="宋体" w:hAnsi="宋体" w:hint="eastAsia"/>
        </w:rPr>
        <w:t>32.4.4不同投标人的投标文件异常一致或者投标报价呈规律性差异；</w:t>
      </w:r>
    </w:p>
    <w:p>
      <w:pPr>
        <w:snapToGrid w:val="0"/>
        <w:spacing w:line="360" w:lineRule="auto"/>
        <w:ind w:firstLine="412" w:firstLineChars="196"/>
        <w:rPr>
          <w:rFonts w:ascii="宋体" w:hAnsi="宋体" w:hint="eastAsia"/>
        </w:rPr>
      </w:pPr>
      <w:r>
        <w:rPr>
          <w:rFonts w:ascii="宋体" w:hAnsi="宋体" w:hint="eastAsia"/>
        </w:rPr>
        <w:t>32.4.5不同投标供应商的投标文件或部分投标文件相互混装；</w:t>
      </w:r>
    </w:p>
    <w:p>
      <w:pPr>
        <w:snapToGrid w:val="0"/>
        <w:spacing w:line="360" w:lineRule="auto"/>
        <w:ind w:firstLine="412" w:firstLineChars="196"/>
        <w:rPr>
          <w:rFonts w:ascii="宋体" w:hAnsi="宋体" w:hint="eastAsia"/>
        </w:rPr>
      </w:pPr>
      <w:r>
        <w:rPr>
          <w:rFonts w:ascii="宋体" w:hAnsi="宋体" w:hint="eastAsia"/>
        </w:rPr>
        <w:t>32.4.6投标供应商之间相互约定给予未中标的供应商利益补偿；</w:t>
      </w:r>
    </w:p>
    <w:p>
      <w:pPr>
        <w:snapToGrid w:val="0"/>
        <w:spacing w:line="360" w:lineRule="auto"/>
        <w:ind w:firstLine="412" w:firstLineChars="196"/>
        <w:rPr>
          <w:rFonts w:ascii="宋体" w:hAnsi="宋体" w:hint="eastAsia"/>
        </w:rPr>
      </w:pPr>
      <w:r>
        <w:rPr>
          <w:rFonts w:ascii="宋体" w:hAnsi="宋体" w:hint="eastAsia"/>
        </w:rPr>
        <w:t>32.4.7不同投标供应商的法定代表人、主要经营负责人、项目投标授权代表人、项目负责人、主要技术人员为同一人、属同一单位或者同一单位缴纳社会保险；</w:t>
      </w:r>
    </w:p>
    <w:p>
      <w:pPr>
        <w:snapToGrid w:val="0"/>
        <w:spacing w:line="360" w:lineRule="auto"/>
        <w:ind w:firstLine="412" w:firstLineChars="196"/>
        <w:rPr>
          <w:rFonts w:ascii="宋体" w:hAnsi="宋体" w:hint="eastAsia"/>
        </w:rPr>
      </w:pPr>
      <w:r>
        <w:rPr>
          <w:rFonts w:ascii="宋体" w:hAnsi="宋体" w:hint="eastAsia"/>
        </w:rPr>
        <w:t>32.4.8不同投标供应商的投标文件内容存在非正常一致；</w:t>
      </w:r>
    </w:p>
    <w:p>
      <w:pPr>
        <w:snapToGrid w:val="0"/>
        <w:spacing w:line="360" w:lineRule="auto"/>
        <w:ind w:firstLine="412" w:firstLineChars="196"/>
        <w:rPr>
          <w:rFonts w:ascii="宋体" w:hAnsi="宋体" w:hint="eastAsia"/>
        </w:rPr>
      </w:pPr>
      <w:r>
        <w:rPr>
          <w:rFonts w:ascii="宋体" w:hAnsi="宋体" w:hint="eastAsia"/>
        </w:rPr>
        <w:t>32.4.9在同一单位工作人员为两家以上（含两家）供应商进行同一项投标活动；</w:t>
      </w:r>
    </w:p>
    <w:p>
      <w:pPr>
        <w:snapToGrid w:val="0"/>
        <w:spacing w:line="360" w:lineRule="auto"/>
        <w:ind w:firstLine="412" w:firstLineChars="196"/>
        <w:rPr>
          <w:rFonts w:ascii="宋体" w:hAnsi="宋体" w:hint="eastAsia"/>
        </w:rPr>
      </w:pPr>
      <w:r>
        <w:rPr>
          <w:rFonts w:ascii="宋体" w:hAnsi="宋体" w:hint="eastAsia"/>
        </w:rPr>
        <w:t>32.4.10主管部门依照法律、法规认定的其他情形。</w:t>
      </w:r>
    </w:p>
    <w:p>
      <w:pPr>
        <w:snapToGrid w:val="0"/>
        <w:spacing w:line="360" w:lineRule="auto"/>
        <w:ind w:firstLine="412" w:firstLineChars="196"/>
        <w:rPr>
          <w:rFonts w:ascii="宋体" w:hAnsi="宋体" w:hint="eastAsia"/>
        </w:rPr>
      </w:pPr>
      <w:r>
        <w:rPr>
          <w:rFonts w:ascii="宋体" w:hAnsi="宋体" w:hint="eastAsia"/>
        </w:rPr>
        <w:t>32.5对不属于《资格性审查表》和《符合性审查表》所列的其他情形，除专用条款另有规定和32.4条款所列情形外，不得作为投标无效的理由。</w:t>
      </w:r>
      <w:bookmarkEnd w:id="210"/>
      <w:bookmarkEnd w:id="211"/>
      <w:bookmarkEnd w:id="212"/>
      <w:bookmarkEnd w:id="213"/>
    </w:p>
    <w:p>
      <w:pPr>
        <w:snapToGrid w:val="0"/>
        <w:spacing w:line="360" w:lineRule="auto"/>
        <w:rPr>
          <w:rFonts w:ascii="黑体" w:eastAsia="黑体" w:hAnsi="宋体"/>
          <w:sz w:val="24"/>
        </w:rPr>
      </w:pPr>
      <w:bookmarkStart w:id="215" w:name="_Toc100052399"/>
      <w:r>
        <w:rPr>
          <w:rFonts w:ascii="黑体" w:eastAsia="黑体" w:hAnsi="宋体" w:hint="eastAsia"/>
          <w:sz w:val="24"/>
        </w:rPr>
        <w:t>33．澄清有关问题</w:t>
      </w:r>
      <w:bookmarkEnd w:id="215"/>
    </w:p>
    <w:p>
      <w:pPr>
        <w:snapToGrid w:val="0"/>
        <w:spacing w:line="360" w:lineRule="auto"/>
        <w:ind w:firstLine="412" w:firstLineChars="196"/>
        <w:rPr>
          <w:rFonts w:ascii="宋体" w:hAnsi="宋体" w:hint="eastAsia"/>
          <w:szCs w:val="21"/>
        </w:rPr>
      </w:pPr>
      <w:bookmarkStart w:id="216" w:name="bt废标"/>
      <w:bookmarkEnd w:id="216"/>
      <w:bookmarkStart w:id="217" w:name="bt投标文件的评估和比较"/>
      <w:bookmarkEnd w:id="217"/>
      <w:bookmarkStart w:id="218" w:name="bt投标文件的澄清"/>
      <w:bookmarkEnd w:id="218"/>
      <w:bookmarkStart w:id="219" w:name="_Toc73521583"/>
      <w:bookmarkStart w:id="220" w:name="_Toc73521671"/>
      <w:bookmarkStart w:id="221" w:name="_Toc73518153"/>
      <w:bookmarkStart w:id="222" w:name="_Toc73517675"/>
      <w:r>
        <w:rPr>
          <w:rFonts w:ascii="宋体" w:hAnsi="宋体" w:hint="eastAsia"/>
          <w:szCs w:val="21"/>
        </w:rPr>
        <w:t>33.1对招标文件中描述有歧义或前后不一致的地方（不含招标文件存在歧义、重大缺陷导致评审工作无法进行的情况），评审委员会有权进行评判，但对同一条款的评判应适用于每个投标人。</w:t>
      </w:r>
    </w:p>
    <w:p>
      <w:pPr>
        <w:snapToGrid w:val="0"/>
        <w:spacing w:line="360" w:lineRule="auto"/>
        <w:ind w:firstLine="412" w:firstLineChars="196"/>
        <w:rPr>
          <w:rFonts w:ascii="宋体" w:hAnsi="宋体" w:hint="eastAsia"/>
          <w:szCs w:val="21"/>
        </w:rPr>
      </w:pPr>
      <w:r>
        <w:rPr>
          <w:rFonts w:ascii="宋体" w:hAnsi="宋体" w:hint="eastAsia"/>
          <w:szCs w:val="21"/>
        </w:rPr>
        <w:t>33.2评审委员会发现招标文件存在歧义、重大缺陷导致评审工作无法进行，或者招标文件内容违反国家有关强制性规定的，应当停止评审工作，与政府采购代理机构沟通并作书面记录。经确认后，项目应当修改招标文件，重新组织采购活动。</w:t>
      </w:r>
    </w:p>
    <w:p>
      <w:pPr>
        <w:snapToGrid w:val="0"/>
        <w:spacing w:line="360" w:lineRule="auto"/>
        <w:ind w:firstLine="412" w:firstLineChars="196"/>
        <w:rPr>
          <w:rFonts w:ascii="宋体" w:hAnsi="宋体" w:hint="eastAsia"/>
          <w:szCs w:val="21"/>
        </w:rPr>
      </w:pPr>
      <w:r>
        <w:rPr>
          <w:rFonts w:ascii="宋体" w:hAnsi="宋体" w:hint="eastAsia"/>
          <w:szCs w:val="21"/>
        </w:rPr>
        <w:t>33.3对于投标文件中含义不明确、同类问题表述不一致或者有明显文字和计算错误的内容，评审委员会应当以书面形式要求投标人作出必要的澄清、说明或者补正。</w:t>
      </w:r>
    </w:p>
    <w:p>
      <w:pPr>
        <w:snapToGrid w:val="0"/>
        <w:spacing w:line="360" w:lineRule="auto"/>
        <w:ind w:firstLine="412" w:firstLineChars="196"/>
        <w:rPr>
          <w:rFonts w:ascii="宋体" w:hAnsi="宋体" w:hint="eastAsia"/>
          <w:szCs w:val="21"/>
        </w:rPr>
      </w:pPr>
      <w:r>
        <w:rPr>
          <w:rFonts w:ascii="宋体" w:hAnsi="宋体" w:hint="eastAsia"/>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snapToGrid w:val="0"/>
        <w:spacing w:line="360" w:lineRule="auto"/>
        <w:ind w:firstLine="412" w:firstLineChars="196"/>
      </w:pPr>
      <w:r>
        <w:rPr>
          <w:rFonts w:ascii="宋体" w:hAnsi="宋体" w:hint="eastAsia"/>
          <w:szCs w:val="21"/>
        </w:rPr>
        <w:t>根据本通用条款第34条，凡属于评审委员会在评审中发现的算术错误进行核实的修改不在此列。</w:t>
      </w:r>
    </w:p>
    <w:p>
      <w:pPr>
        <w:snapToGrid w:val="0"/>
        <w:spacing w:line="360" w:lineRule="auto"/>
        <w:rPr>
          <w:rFonts w:ascii="黑体" w:eastAsia="黑体" w:hAnsi="宋体"/>
          <w:sz w:val="24"/>
        </w:rPr>
      </w:pPr>
      <w:bookmarkStart w:id="223" w:name="_Toc73518151"/>
      <w:bookmarkStart w:id="224" w:name="_Toc73521669"/>
      <w:bookmarkStart w:id="225" w:name="_Toc100052400"/>
      <w:bookmarkStart w:id="226" w:name="_Toc73517673"/>
      <w:bookmarkStart w:id="227" w:name="_Toc73521581"/>
      <w:r>
        <w:rPr>
          <w:rFonts w:ascii="黑体" w:eastAsia="黑体" w:hAnsi="宋体" w:hint="eastAsia"/>
          <w:sz w:val="24"/>
        </w:rPr>
        <w:t>34．错误的修正</w:t>
      </w:r>
      <w:bookmarkEnd w:id="223"/>
      <w:bookmarkEnd w:id="224"/>
      <w:bookmarkEnd w:id="225"/>
      <w:bookmarkEnd w:id="226"/>
      <w:bookmarkEnd w:id="227"/>
    </w:p>
    <w:p>
      <w:pPr>
        <w:snapToGrid w:val="0"/>
        <w:spacing w:line="360" w:lineRule="auto"/>
        <w:ind w:firstLine="412" w:firstLineChars="196"/>
        <w:rPr>
          <w:rFonts w:ascii="宋体" w:hAnsi="宋体" w:hint="eastAsia"/>
          <w:bCs/>
          <w:szCs w:val="21"/>
        </w:rPr>
      </w:pPr>
      <w:bookmarkStart w:id="228" w:name="_Toc100052401"/>
      <w:r>
        <w:rPr>
          <w:rFonts w:ascii="宋体" w:hAnsi="宋体" w:hint="eastAsia"/>
          <w:bCs/>
          <w:szCs w:val="21"/>
        </w:rPr>
        <w:t>投标文件报价出现前后不一致的，除专用条款另有规定外，按照下列规定修正：</w:t>
      </w:r>
    </w:p>
    <w:p>
      <w:pPr>
        <w:snapToGrid w:val="0"/>
        <w:spacing w:line="360" w:lineRule="auto"/>
        <w:ind w:firstLine="412" w:firstLineChars="196"/>
        <w:rPr>
          <w:rFonts w:ascii="宋体" w:hAnsi="宋体" w:hint="eastAsia"/>
          <w:bCs/>
          <w:szCs w:val="21"/>
        </w:rPr>
      </w:pPr>
      <w:r>
        <w:rPr>
          <w:rFonts w:ascii="宋体" w:hAnsi="宋体" w:hint="eastAsia"/>
          <w:bCs/>
          <w:szCs w:val="21"/>
        </w:rPr>
        <w:t>34.1投标文件中开标一览表投标报价内容与投标文件中投标报价相应内容不一致的，以开标一览表为准；</w:t>
      </w:r>
    </w:p>
    <w:p>
      <w:pPr>
        <w:snapToGrid w:val="0"/>
        <w:spacing w:line="360" w:lineRule="auto"/>
        <w:ind w:firstLine="412" w:firstLineChars="196"/>
        <w:rPr>
          <w:rFonts w:ascii="宋体" w:hAnsi="宋体" w:hint="eastAsia"/>
          <w:bCs/>
          <w:szCs w:val="21"/>
        </w:rPr>
      </w:pPr>
      <w:r>
        <w:rPr>
          <w:rFonts w:ascii="宋体" w:hAnsi="宋体" w:hint="eastAsia"/>
          <w:bCs/>
          <w:szCs w:val="21"/>
        </w:rPr>
        <w:t>34.2大写金额和小写金额不一致的，以大写金额为准；</w:t>
      </w:r>
    </w:p>
    <w:p>
      <w:pPr>
        <w:snapToGrid w:val="0"/>
        <w:spacing w:line="360" w:lineRule="auto"/>
        <w:ind w:firstLine="412" w:firstLineChars="196"/>
        <w:rPr>
          <w:rFonts w:ascii="宋体" w:hAnsi="宋体" w:hint="eastAsia"/>
          <w:bCs/>
          <w:szCs w:val="21"/>
        </w:rPr>
      </w:pPr>
      <w:r>
        <w:rPr>
          <w:rFonts w:ascii="宋体" w:hAnsi="宋体" w:hint="eastAsia"/>
          <w:bCs/>
          <w:szCs w:val="21"/>
        </w:rPr>
        <w:t>34.3单价金额小数点或者百分比有明显错位，以开标一览表的总价为准，并修改单价；</w:t>
      </w:r>
    </w:p>
    <w:p>
      <w:pPr>
        <w:snapToGrid w:val="0"/>
        <w:spacing w:line="360" w:lineRule="auto"/>
        <w:ind w:firstLine="412" w:firstLineChars="196"/>
        <w:rPr>
          <w:rFonts w:ascii="宋体" w:hAnsi="宋体" w:hint="eastAsia"/>
          <w:bCs/>
          <w:szCs w:val="21"/>
        </w:rPr>
      </w:pPr>
      <w:r>
        <w:rPr>
          <w:rFonts w:ascii="宋体" w:hAnsi="宋体" w:hint="eastAsia"/>
          <w:bCs/>
          <w:szCs w:val="21"/>
        </w:rPr>
        <w:t>34.4总价金额与按单价汇总金额不一致的，以单价金额计算结果为准。</w:t>
      </w:r>
    </w:p>
    <w:p>
      <w:pPr>
        <w:snapToGrid w:val="0"/>
        <w:spacing w:line="360" w:lineRule="auto"/>
        <w:ind w:firstLine="412" w:firstLineChars="196"/>
        <w:rPr>
          <w:rFonts w:ascii="宋体" w:hAnsi="宋体" w:hint="eastAsia"/>
          <w:bCs/>
          <w:szCs w:val="21"/>
        </w:rPr>
      </w:pPr>
      <w:r>
        <w:rPr>
          <w:rFonts w:ascii="宋体" w:hAnsi="宋体" w:hint="eastAsia"/>
          <w:bCs/>
          <w:szCs w:val="21"/>
        </w:rPr>
        <w:t>34.5同时出现两种以上不一致的，按照前款规定的顺序修正。修正后的报价按照本通用条款33条的规定，经投标人确认后产生约束力，投标人不确认的，其投标无效。</w:t>
      </w:r>
    </w:p>
    <w:p>
      <w:pPr>
        <w:snapToGrid w:val="0"/>
        <w:spacing w:line="360" w:lineRule="auto"/>
        <w:rPr>
          <w:rFonts w:ascii="黑体" w:eastAsia="黑体" w:hAnsi="宋体"/>
          <w:sz w:val="24"/>
        </w:rPr>
      </w:pPr>
      <w:r>
        <w:rPr>
          <w:rFonts w:ascii="黑体" w:eastAsia="黑体" w:hAnsi="宋体" w:hint="eastAsia"/>
          <w:sz w:val="24"/>
        </w:rPr>
        <w:t>35．投标文件的</w:t>
      </w:r>
      <w:bookmarkEnd w:id="219"/>
      <w:bookmarkEnd w:id="220"/>
      <w:bookmarkEnd w:id="221"/>
      <w:bookmarkEnd w:id="222"/>
      <w:r>
        <w:rPr>
          <w:rFonts w:ascii="黑体" w:eastAsia="黑体" w:hAnsi="宋体" w:hint="eastAsia"/>
          <w:sz w:val="24"/>
        </w:rPr>
        <w:t>比较与评价</w:t>
      </w:r>
      <w:bookmarkEnd w:id="228"/>
    </w:p>
    <w:p>
      <w:pPr>
        <w:spacing w:line="360" w:lineRule="auto"/>
        <w:ind w:firstLine="420" w:firstLineChars="200"/>
        <w:rPr>
          <w:rFonts w:ascii="宋体" w:hAnsi="宋体" w:hint="eastAsia"/>
          <w:szCs w:val="21"/>
        </w:rPr>
      </w:pPr>
      <w:r>
        <w:rPr>
          <w:rFonts w:ascii="宋体" w:hAnsi="宋体" w:hint="eastAsia"/>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spacing w:line="360" w:lineRule="auto"/>
        <w:ind w:firstLine="420" w:firstLineChars="200"/>
        <w:rPr>
          <w:rFonts w:ascii="宋体" w:hAnsi="宋体" w:hint="eastAsia"/>
          <w:szCs w:val="21"/>
        </w:rPr>
      </w:pPr>
      <w:r>
        <w:rPr>
          <w:rFonts w:ascii="宋体" w:hAnsi="宋体" w:hint="eastAsia"/>
          <w:szCs w:val="21"/>
        </w:rPr>
        <w:t>评审委员会成员对需要共同认定的事项存在争议的，应当按照少数服从多数的原则作出结论。持不同意见的评审委员会成员应当书面作出说明，否则视为无异议。</w:t>
      </w:r>
    </w:p>
    <w:p>
      <w:pPr>
        <w:pStyle w:val="NormalIndent"/>
        <w:spacing w:line="360" w:lineRule="auto"/>
        <w:ind w:firstLine="0" w:firstLineChars="0"/>
        <w:rPr>
          <w:rFonts w:ascii="黑体" w:eastAsia="黑体" w:hAnsi="黑体" w:cs="黑体" w:hint="eastAsia"/>
          <w:sz w:val="24"/>
        </w:rPr>
      </w:pPr>
      <w:r>
        <w:rPr>
          <w:rFonts w:ascii="黑体" w:eastAsia="黑体" w:hAnsi="黑体" w:cs="黑体" w:hint="eastAsia"/>
          <w:sz w:val="24"/>
        </w:rPr>
        <w:t>36. 实地考察、资料查验、演示或样品测试</w:t>
      </w:r>
    </w:p>
    <w:p>
      <w:pPr>
        <w:spacing w:line="360" w:lineRule="auto"/>
        <w:ind w:firstLine="412" w:firstLineChars="196"/>
        <w:rPr>
          <w:rFonts w:ascii="宋体" w:hAnsi="宋体"/>
          <w:szCs w:val="21"/>
        </w:rPr>
      </w:pPr>
      <w:r>
        <w:rPr>
          <w:rFonts w:ascii="宋体" w:hAnsi="宋体" w:hint="eastAsia"/>
          <w:szCs w:val="21"/>
        </w:rPr>
        <w:t>36.1在招标过程中，评审委员会有权决定是否对本项目投标人进行现场勘察或实地考察或检验有关证明材料的原件。投标人应随时做好接受检查的准备。</w:t>
      </w:r>
    </w:p>
    <w:p>
      <w:pPr>
        <w:pStyle w:val="NormalIndent"/>
        <w:spacing w:line="360" w:lineRule="auto"/>
        <w:rPr>
          <w:rFonts w:ascii="宋体" w:hAnsi="宋体" w:hint="eastAsia"/>
          <w:sz w:val="21"/>
          <w:szCs w:val="21"/>
        </w:rPr>
      </w:pPr>
      <w:r>
        <w:rPr>
          <w:rFonts w:ascii="宋体" w:hAnsi="宋体" w:hint="eastAsia"/>
          <w:sz w:val="21"/>
          <w:szCs w:val="21"/>
        </w:rPr>
        <w:t>36.2若招标文件要求进行现场演示或样品测试的，投标人应做好相应准备</w:t>
      </w:r>
    </w:p>
    <w:p>
      <w:pPr>
        <w:numPr>
          <w:ilvl w:val="0"/>
          <w:numId w:val="2"/>
        </w:numPr>
        <w:snapToGrid w:val="0"/>
        <w:spacing w:line="360" w:lineRule="auto"/>
        <w:rPr>
          <w:rFonts w:ascii="黑体" w:eastAsia="黑体" w:hAnsi="宋体" w:hint="eastAsia"/>
          <w:sz w:val="24"/>
        </w:rPr>
      </w:pPr>
      <w:bookmarkStart w:id="229" w:name="_Toc100052402"/>
      <w:r>
        <w:rPr>
          <w:rFonts w:ascii="黑体" w:eastAsia="黑体" w:hAnsi="宋体" w:hint="eastAsia"/>
          <w:sz w:val="24"/>
        </w:rPr>
        <w:t>评审方法</w:t>
      </w:r>
      <w:bookmarkEnd w:id="229"/>
    </w:p>
    <w:p>
      <w:pPr>
        <w:snapToGrid w:val="0"/>
        <w:spacing w:line="360" w:lineRule="auto"/>
        <w:ind w:firstLine="412" w:firstLineChars="196"/>
        <w:rPr>
          <w:rFonts w:hint="eastAsia"/>
        </w:rPr>
      </w:pPr>
      <w:r>
        <w:rPr>
          <w:rFonts w:ascii="宋体" w:hAnsi="宋体" w:hint="eastAsia"/>
          <w:bCs/>
          <w:szCs w:val="21"/>
        </w:rPr>
        <w:t>37.1一般评审方法</w:t>
      </w:r>
    </w:p>
    <w:p>
      <w:pPr>
        <w:snapToGrid w:val="0"/>
        <w:spacing w:line="360" w:lineRule="auto"/>
        <w:ind w:firstLine="412" w:firstLineChars="196"/>
        <w:rPr>
          <w:rFonts w:ascii="宋体" w:hAnsi="宋体" w:hint="eastAsia"/>
          <w:bCs/>
          <w:szCs w:val="21"/>
        </w:rPr>
      </w:pPr>
      <w:bookmarkStart w:id="230" w:name="评标方法3"/>
      <w:r>
        <w:rPr>
          <w:rFonts w:ascii="宋体" w:hAnsi="宋体" w:hint="eastAsia"/>
          <w:bCs/>
          <w:szCs w:val="21"/>
        </w:rPr>
        <w:t>37.1.1最低价法</w:t>
      </w:r>
    </w:p>
    <w:p>
      <w:pPr>
        <w:snapToGrid w:val="0"/>
        <w:spacing w:line="360" w:lineRule="auto"/>
        <w:ind w:firstLine="412" w:firstLineChars="196"/>
        <w:rPr>
          <w:rFonts w:ascii="宋体" w:hAnsi="宋体" w:hint="eastAsia"/>
          <w:bCs/>
          <w:szCs w:val="21"/>
        </w:rPr>
      </w:pPr>
      <w:r>
        <w:rPr>
          <w:rFonts w:ascii="宋体" w:hAnsi="宋体" w:hint="eastAsia"/>
          <w:bCs/>
          <w:szCs w:val="21"/>
        </w:rPr>
        <w:t>最低价法，是指完全满足招标文件实质性要求，按照报价由低到高的顺序，依据招标文件中规定的数量或者比例推荐候选中标供应商。</w:t>
      </w:r>
    </w:p>
    <w:p>
      <w:pPr>
        <w:snapToGrid w:val="0"/>
        <w:spacing w:line="360" w:lineRule="auto"/>
        <w:ind w:firstLine="412" w:firstLineChars="196"/>
        <w:rPr>
          <w:rFonts w:ascii="宋体" w:hAnsi="宋体" w:hint="eastAsia"/>
          <w:bCs/>
          <w:szCs w:val="21"/>
        </w:rPr>
      </w:pPr>
      <w:r>
        <w:rPr>
          <w:rFonts w:ascii="宋体" w:hAnsi="宋体" w:hint="eastAsia"/>
          <w:bCs/>
          <w:szCs w:val="21"/>
        </w:rPr>
        <w:t>37.1.2综合评分法</w:t>
      </w:r>
    </w:p>
    <w:p>
      <w:pPr>
        <w:snapToGrid w:val="0"/>
        <w:spacing w:line="360" w:lineRule="auto"/>
        <w:ind w:firstLine="412" w:firstLineChars="196"/>
        <w:rPr>
          <w:rFonts w:ascii="宋体" w:hAnsi="宋体" w:hint="eastAsia"/>
          <w:bCs/>
          <w:szCs w:val="21"/>
        </w:rPr>
      </w:pPr>
      <w:r>
        <w:rPr>
          <w:rFonts w:ascii="宋体" w:hAnsi="宋体" w:hint="eastAsia"/>
          <w:bCs/>
          <w:szCs w:val="21"/>
        </w:rPr>
        <w:t>综合评分法，是指在满足招标文件全部实质性要求的前提下，按照招标文件中规定的各项因素进行综合评审，评审总得分排名前列的投标人，作为推荐的候选中标供应商。</w:t>
      </w:r>
    </w:p>
    <w:p>
      <w:pPr>
        <w:snapToGrid w:val="0"/>
        <w:spacing w:line="360" w:lineRule="auto"/>
        <w:ind w:firstLine="412" w:firstLineChars="196"/>
        <w:rPr>
          <w:rFonts w:ascii="宋体" w:hAnsi="宋体" w:hint="eastAsia"/>
          <w:bCs/>
          <w:szCs w:val="21"/>
        </w:rPr>
      </w:pPr>
      <w:r>
        <w:rPr>
          <w:rFonts w:ascii="宋体" w:hAnsi="宋体" w:hint="eastAsia"/>
          <w:b/>
          <w:szCs w:val="21"/>
        </w:rPr>
        <w:t>37.2本项目采用的评审方法见本项目招标文件第二册“专用条款”的相关内容</w:t>
      </w:r>
      <w:r>
        <w:rPr>
          <w:rFonts w:ascii="宋体" w:hAnsi="宋体" w:hint="eastAsia"/>
          <w:bCs/>
          <w:szCs w:val="21"/>
        </w:rPr>
        <w:t>。</w:t>
      </w:r>
    </w:p>
    <w:p>
      <w:pPr>
        <w:snapToGrid w:val="0"/>
        <w:spacing w:line="360" w:lineRule="auto"/>
        <w:ind w:firstLine="412" w:firstLineChars="196"/>
        <w:rPr>
          <w:rFonts w:ascii="宋体" w:hAnsi="宋体" w:hint="eastAsia"/>
          <w:bCs/>
          <w:szCs w:val="21"/>
        </w:rPr>
      </w:pPr>
      <w:r>
        <w:rPr>
          <w:rFonts w:ascii="宋体" w:hAnsi="宋体" w:hint="eastAsia"/>
          <w:bCs/>
          <w:szCs w:val="21"/>
        </w:rPr>
        <w:t>37.3重新评审的情形</w:t>
      </w:r>
    </w:p>
    <w:p>
      <w:pPr>
        <w:snapToGrid w:val="0"/>
        <w:spacing w:line="360" w:lineRule="auto"/>
        <w:ind w:firstLine="412" w:firstLineChars="196"/>
        <w:rPr>
          <w:rFonts w:ascii="宋体" w:hAnsi="宋体" w:hint="eastAsia"/>
          <w:bCs/>
          <w:szCs w:val="21"/>
        </w:rPr>
      </w:pPr>
      <w:r>
        <w:rPr>
          <w:rFonts w:ascii="宋体" w:hAnsi="宋体" w:hint="eastAsia"/>
          <w:bCs/>
          <w:szCs w:val="21"/>
        </w:rPr>
        <w:t>评审结果汇总完成后，除下列情形外，任何人不得修改评审结果：</w:t>
      </w:r>
    </w:p>
    <w:p>
      <w:pPr>
        <w:snapToGrid w:val="0"/>
        <w:spacing w:line="360" w:lineRule="auto"/>
        <w:ind w:firstLine="412" w:firstLineChars="196"/>
        <w:rPr>
          <w:rFonts w:ascii="宋体" w:hAnsi="宋体" w:hint="eastAsia"/>
          <w:bCs/>
          <w:szCs w:val="21"/>
        </w:rPr>
      </w:pPr>
      <w:r>
        <w:rPr>
          <w:rFonts w:ascii="宋体" w:hAnsi="宋体" w:hint="eastAsia"/>
          <w:bCs/>
          <w:szCs w:val="21"/>
        </w:rPr>
        <w:t>37.3.1分值汇总计算错误的；</w:t>
      </w:r>
    </w:p>
    <w:p>
      <w:pPr>
        <w:snapToGrid w:val="0"/>
        <w:spacing w:line="360" w:lineRule="auto"/>
        <w:ind w:firstLine="412" w:firstLineChars="196"/>
        <w:rPr>
          <w:rFonts w:ascii="宋体" w:hAnsi="宋体" w:hint="eastAsia"/>
          <w:bCs/>
          <w:szCs w:val="21"/>
        </w:rPr>
      </w:pPr>
      <w:r>
        <w:rPr>
          <w:rFonts w:ascii="宋体" w:hAnsi="宋体" w:hint="eastAsia"/>
          <w:bCs/>
          <w:szCs w:val="21"/>
        </w:rPr>
        <w:t>37.3.2分项评分超出评分标准范围的；</w:t>
      </w:r>
    </w:p>
    <w:p>
      <w:pPr>
        <w:snapToGrid w:val="0"/>
        <w:spacing w:line="360" w:lineRule="auto"/>
        <w:ind w:firstLine="412" w:firstLineChars="196"/>
        <w:rPr>
          <w:rFonts w:ascii="宋体" w:hAnsi="宋体" w:hint="eastAsia"/>
          <w:bCs/>
          <w:szCs w:val="21"/>
        </w:rPr>
      </w:pPr>
      <w:r>
        <w:rPr>
          <w:rFonts w:ascii="宋体" w:hAnsi="宋体" w:hint="eastAsia"/>
          <w:bCs/>
          <w:szCs w:val="21"/>
        </w:rPr>
        <w:t>37.3.3评审委员会成员对客观评审因素评分不一致的；</w:t>
      </w:r>
    </w:p>
    <w:p>
      <w:pPr>
        <w:snapToGrid w:val="0"/>
        <w:spacing w:line="360" w:lineRule="auto"/>
        <w:ind w:firstLine="412" w:firstLineChars="196"/>
        <w:rPr>
          <w:rFonts w:ascii="宋体" w:hAnsi="宋体" w:hint="eastAsia"/>
          <w:bCs/>
          <w:szCs w:val="21"/>
        </w:rPr>
      </w:pPr>
      <w:r>
        <w:rPr>
          <w:rFonts w:ascii="宋体" w:hAnsi="宋体" w:hint="eastAsia"/>
          <w:bCs/>
          <w:szCs w:val="21"/>
        </w:rPr>
        <w:t>37.3.4经评审委员会认定评分畸高、畸低的。</w:t>
      </w:r>
    </w:p>
    <w:p>
      <w:pPr>
        <w:snapToGrid w:val="0"/>
        <w:spacing w:line="360" w:lineRule="auto"/>
        <w:ind w:firstLine="412" w:firstLineChars="196"/>
        <w:rPr>
          <w:rFonts w:ascii="宋体" w:hAnsi="宋体" w:hint="eastAsia"/>
          <w:bCs/>
          <w:szCs w:val="21"/>
        </w:rPr>
      </w:pPr>
      <w:r>
        <w:rPr>
          <w:rFonts w:ascii="宋体" w:hAnsi="宋体" w:hint="eastAsia"/>
          <w:bCs/>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snapToGrid w:val="0"/>
        <w:spacing w:line="360" w:lineRule="auto"/>
        <w:ind w:firstLine="412" w:firstLineChars="196"/>
        <w:rPr>
          <w:rFonts w:ascii="宋体" w:hAnsi="宋体" w:hint="eastAsia"/>
          <w:bCs/>
          <w:szCs w:val="21"/>
        </w:rPr>
      </w:pPr>
      <w:r>
        <w:rPr>
          <w:rFonts w:ascii="宋体" w:hAnsi="宋体" w:hint="eastAsia"/>
          <w:bCs/>
          <w:szCs w:val="21"/>
        </w:rPr>
        <w:t>投标人对本条第一款情形提出质疑的，采购人或者采购代理机构可以组织原评审委员会进行重新评审，重新评审改变评审结果的，应当书面报告本级财政部门。</w:t>
      </w:r>
    </w:p>
    <w:p>
      <w:pPr>
        <w:snapToGrid w:val="0"/>
        <w:spacing w:line="360" w:lineRule="auto"/>
        <w:ind w:firstLine="412" w:firstLineChars="196"/>
        <w:rPr>
          <w:rFonts w:ascii="宋体" w:hAnsi="宋体" w:hint="eastAsia"/>
          <w:bCs/>
          <w:szCs w:val="21"/>
        </w:rPr>
      </w:pPr>
      <w:r>
        <w:rPr>
          <w:rFonts w:ascii="宋体" w:hAnsi="宋体" w:hint="eastAsia"/>
          <w:bCs/>
          <w:szCs w:val="21"/>
        </w:rPr>
        <w:t>37.4重新组建评审委员会的情形</w:t>
      </w:r>
    </w:p>
    <w:p>
      <w:pPr>
        <w:snapToGrid w:val="0"/>
        <w:spacing w:line="360" w:lineRule="auto"/>
        <w:ind w:firstLine="412" w:firstLineChars="196"/>
        <w:rPr>
          <w:rFonts w:ascii="宋体" w:hAnsi="宋体" w:hint="eastAsia"/>
          <w:bCs/>
          <w:szCs w:val="21"/>
        </w:rPr>
      </w:pPr>
      <w:r>
        <w:rPr>
          <w:rFonts w:ascii="宋体" w:hAnsi="宋体" w:hint="eastAsia"/>
          <w:bCs/>
          <w:szCs w:val="21"/>
        </w:rPr>
        <w:t>评审委员会或者其成员存在下列情形导致评审结果无效的，重新组建评审委员会进行评标，并书面报告本级财政部门：</w:t>
      </w:r>
    </w:p>
    <w:p>
      <w:pPr>
        <w:snapToGrid w:val="0"/>
        <w:spacing w:line="360" w:lineRule="auto"/>
        <w:ind w:firstLine="412" w:firstLineChars="196"/>
        <w:rPr>
          <w:rFonts w:ascii="宋体" w:hAnsi="宋体" w:hint="eastAsia"/>
          <w:bCs/>
          <w:szCs w:val="21"/>
        </w:rPr>
      </w:pPr>
      <w:r>
        <w:rPr>
          <w:rFonts w:ascii="宋体" w:hAnsi="宋体" w:hint="eastAsia"/>
          <w:bCs/>
          <w:szCs w:val="21"/>
        </w:rPr>
        <w:t>37.4.1评审委员会组成不符合《政府采购货物和服务招标投标管理办法》规定的；</w:t>
      </w:r>
    </w:p>
    <w:p>
      <w:pPr>
        <w:snapToGrid w:val="0"/>
        <w:spacing w:line="360" w:lineRule="auto"/>
        <w:ind w:firstLine="412" w:firstLineChars="196"/>
        <w:rPr>
          <w:rFonts w:ascii="宋体" w:hAnsi="宋体" w:hint="eastAsia"/>
          <w:bCs/>
          <w:szCs w:val="21"/>
        </w:rPr>
      </w:pPr>
      <w:r>
        <w:rPr>
          <w:rFonts w:ascii="宋体" w:hAnsi="宋体" w:hint="eastAsia"/>
          <w:bCs/>
          <w:szCs w:val="21"/>
        </w:rPr>
        <w:t>37.4.2有《政府采购货物和服务招标投标管理办法》第六十二条第一至五项情形的；</w:t>
      </w:r>
    </w:p>
    <w:p>
      <w:pPr>
        <w:snapToGrid w:val="0"/>
        <w:spacing w:line="360" w:lineRule="auto"/>
        <w:ind w:firstLine="412" w:firstLineChars="196"/>
        <w:rPr>
          <w:rFonts w:ascii="宋体" w:hAnsi="宋体" w:hint="eastAsia"/>
          <w:bCs/>
          <w:szCs w:val="21"/>
        </w:rPr>
      </w:pPr>
      <w:r>
        <w:rPr>
          <w:rFonts w:ascii="宋体" w:hAnsi="宋体" w:hint="eastAsia"/>
          <w:bCs/>
          <w:szCs w:val="21"/>
        </w:rPr>
        <w:t>37.4.3评审委员会及其成员独立评标受到非法干预的；</w:t>
      </w:r>
    </w:p>
    <w:p>
      <w:pPr>
        <w:snapToGrid w:val="0"/>
        <w:spacing w:line="360" w:lineRule="auto"/>
        <w:ind w:firstLine="412" w:firstLineChars="196"/>
        <w:rPr>
          <w:rFonts w:ascii="宋体" w:hAnsi="宋体" w:hint="eastAsia"/>
          <w:bCs/>
          <w:szCs w:val="21"/>
        </w:rPr>
      </w:pPr>
      <w:r>
        <w:rPr>
          <w:rFonts w:ascii="宋体" w:hAnsi="宋体" w:hint="eastAsia"/>
          <w:bCs/>
          <w:szCs w:val="21"/>
        </w:rPr>
        <w:t>37.4.4有政府采购法实施条例第七十五条规定的违法行为的。</w:t>
      </w:r>
    </w:p>
    <w:p>
      <w:pPr>
        <w:snapToGrid w:val="0"/>
        <w:spacing w:line="360" w:lineRule="auto"/>
        <w:ind w:firstLine="412" w:firstLineChars="196"/>
        <w:rPr>
          <w:rFonts w:ascii="宋体" w:hAnsi="宋体"/>
          <w:bCs/>
          <w:szCs w:val="21"/>
        </w:rPr>
      </w:pPr>
      <w:r>
        <w:rPr>
          <w:rFonts w:ascii="宋体" w:hAnsi="宋体" w:hint="eastAsia"/>
          <w:bCs/>
          <w:szCs w:val="21"/>
        </w:rPr>
        <w:t>有违法违规行为的原评审委员会成员不得参加重新组建的评审委员会。</w:t>
      </w:r>
    </w:p>
    <w:p>
      <w:pPr>
        <w:pStyle w:val="NormalIndent"/>
        <w:ind w:firstLine="0" w:firstLineChars="0"/>
      </w:pPr>
      <w:bookmarkEnd w:id="230"/>
    </w:p>
    <w:p>
      <w:pPr>
        <w:pStyle w:val="Heading2"/>
        <w:spacing w:line="360" w:lineRule="auto"/>
        <w:jc w:val="center"/>
        <w:rPr>
          <w:rFonts w:hint="eastAsia"/>
        </w:rPr>
      </w:pPr>
      <w:bookmarkStart w:id="231" w:name="_Toc60560665"/>
      <w:bookmarkStart w:id="232" w:name="_Toc73521673"/>
      <w:bookmarkStart w:id="233" w:name="_Toc100052403"/>
      <w:bookmarkStart w:id="234" w:name="_Toc60631660"/>
      <w:bookmarkStart w:id="235" w:name="_Toc73521585"/>
      <w:bookmarkStart w:id="236" w:name="_Toc73518155"/>
      <w:bookmarkStart w:id="237" w:name="_Toc73517677"/>
      <w:bookmarkStart w:id="238" w:name="_Toc18237"/>
      <w:bookmarkStart w:id="239" w:name="_Toc28952"/>
      <w:bookmarkStart w:id="240" w:name="_Toc19679"/>
      <w:bookmarkStart w:id="241" w:name="_Toc9715"/>
      <w:bookmarkStart w:id="242" w:name="_Toc256000011"/>
      <w:r>
        <w:rPr>
          <w:rFonts w:hint="eastAsia"/>
        </w:rPr>
        <w:t>第八章 定标</w:t>
      </w:r>
      <w:bookmarkEnd w:id="231"/>
      <w:bookmarkEnd w:id="232"/>
      <w:bookmarkEnd w:id="233"/>
      <w:bookmarkEnd w:id="234"/>
      <w:bookmarkEnd w:id="235"/>
      <w:bookmarkEnd w:id="236"/>
      <w:bookmarkEnd w:id="237"/>
      <w:r>
        <w:rPr>
          <w:rFonts w:hint="eastAsia"/>
        </w:rPr>
        <w:t>及公示</w:t>
      </w:r>
      <w:bookmarkEnd w:id="242"/>
      <w:bookmarkEnd w:id="238"/>
      <w:bookmarkEnd w:id="239"/>
      <w:bookmarkEnd w:id="240"/>
      <w:bookmarkEnd w:id="241"/>
    </w:p>
    <w:p>
      <w:pPr>
        <w:pStyle w:val="NormalIndent"/>
        <w:spacing w:line="360" w:lineRule="auto"/>
        <w:ind w:firstLine="0" w:firstLineChars="0"/>
        <w:rPr>
          <w:rFonts w:ascii="黑体" w:eastAsia="黑体" w:hAnsi="黑体" w:cs="黑体" w:hint="eastAsia"/>
          <w:sz w:val="24"/>
        </w:rPr>
      </w:pPr>
      <w:r>
        <w:rPr>
          <w:rFonts w:ascii="黑体" w:eastAsia="黑体" w:hAnsi="黑体" w:cs="黑体" w:hint="eastAsia"/>
          <w:sz w:val="24"/>
        </w:rPr>
        <w:t>38．定标方法</w:t>
      </w:r>
    </w:p>
    <w:p>
      <w:pPr>
        <w:spacing w:line="360" w:lineRule="auto"/>
        <w:ind w:firstLine="412" w:firstLineChars="196"/>
        <w:rPr>
          <w:rFonts w:ascii="宋体" w:hAnsi="宋体"/>
        </w:rPr>
      </w:pPr>
      <w:r>
        <w:rPr>
          <w:rFonts w:ascii="宋体" w:hAnsi="宋体" w:hint="eastAsia"/>
        </w:rPr>
        <w:t>38.1非评定分离项目定标方法</w:t>
      </w:r>
    </w:p>
    <w:p>
      <w:pPr>
        <w:spacing w:line="360" w:lineRule="auto"/>
        <w:ind w:firstLine="412" w:firstLineChars="196"/>
        <w:rPr>
          <w:rFonts w:ascii="宋体" w:hAnsi="宋体"/>
        </w:rPr>
      </w:pPr>
      <w:r>
        <w:rPr>
          <w:rFonts w:ascii="宋体" w:hAnsi="宋体" w:hint="eastAsia"/>
        </w:rPr>
        <w:t>38</w:t>
      </w:r>
      <w:r>
        <w:rPr>
          <w:rFonts w:ascii="宋体" w:hAnsi="宋体"/>
        </w:rPr>
        <w:t>.</w:t>
      </w:r>
      <w:r>
        <w:rPr>
          <w:rFonts w:ascii="宋体" w:hAnsi="宋体" w:hint="eastAsia"/>
        </w:rPr>
        <w:t>1.1评审委员会依据本项目招标文件所约定的评审方法进行评审和比较，向政府采购代理机构提交书面评审报告，并根据评审方法比较评价结果从优到劣进行排序，确定候选中标供应商。</w:t>
      </w:r>
    </w:p>
    <w:p>
      <w:pPr>
        <w:spacing w:line="360" w:lineRule="auto"/>
        <w:ind w:firstLine="412" w:firstLineChars="196"/>
        <w:rPr>
          <w:rFonts w:ascii="ˎ̥" w:hAnsi="ˎ̥"/>
        </w:rPr>
      </w:pPr>
      <w:r>
        <w:rPr>
          <w:rFonts w:ascii="宋体" w:hAnsi="宋体" w:hint="eastAsia"/>
        </w:rPr>
        <w:t>38</w:t>
      </w:r>
      <w:r>
        <w:rPr>
          <w:rFonts w:ascii="宋体" w:hAnsi="宋体"/>
        </w:rPr>
        <w:t>.</w:t>
      </w:r>
      <w:r>
        <w:rPr>
          <w:rFonts w:ascii="宋体" w:hAnsi="宋体" w:hint="eastAsia"/>
        </w:rPr>
        <w:t>1.2</w:t>
      </w:r>
      <w:r>
        <w:rPr>
          <w:rFonts w:ascii="ˎ̥" w:hAnsi="ˎ̥"/>
        </w:rPr>
        <w:t>采用最低价法的，评</w:t>
      </w:r>
      <w:r>
        <w:rPr>
          <w:rFonts w:ascii="ˎ̥" w:hAnsi="ˎ̥" w:hint="eastAsia"/>
        </w:rPr>
        <w:t>审</w:t>
      </w:r>
      <w:r>
        <w:rPr>
          <w:rFonts w:ascii="ˎ̥" w:hAnsi="ˎ̥"/>
        </w:rPr>
        <w:t>结果按投标报价由低到高顺序排列。投标报价相同的并列。投标文件满足招标文件全部实质性要求且投标报价最低的</w:t>
      </w:r>
      <w:r>
        <w:rPr>
          <w:rFonts w:ascii="ˎ̥" w:hAnsi="ˎ̥" w:hint="eastAsia"/>
        </w:rPr>
        <w:t>投标人为中标供应商</w:t>
      </w:r>
      <w:r>
        <w:rPr>
          <w:rFonts w:ascii="ˎ̥" w:hAnsi="ˎ̥"/>
        </w:rPr>
        <w:t>（</w:t>
      </w:r>
      <w:r>
        <w:rPr>
          <w:rFonts w:ascii="ˎ̥" w:hAnsi="ˎ̥" w:hint="eastAsia"/>
        </w:rPr>
        <w:t>排名</w:t>
      </w:r>
      <w:r>
        <w:rPr>
          <w:rFonts w:ascii="ˎ̥" w:hAnsi="ˎ̥"/>
        </w:rPr>
        <w:t>第二</w:t>
      </w:r>
      <w:r>
        <w:rPr>
          <w:rFonts w:ascii="ˎ̥" w:hAnsi="ˎ̥" w:hint="eastAsia"/>
        </w:rPr>
        <w:t>的投标人为第一替补中标候选人、排名</w:t>
      </w:r>
      <w:r>
        <w:rPr>
          <w:rFonts w:ascii="ˎ̥" w:hAnsi="ˎ̥"/>
        </w:rPr>
        <w:t>第</w:t>
      </w:r>
      <w:r>
        <w:rPr>
          <w:rFonts w:ascii="ˎ̥" w:hAnsi="ˎ̥" w:hint="eastAsia"/>
        </w:rPr>
        <w:t>三的投标人为第二替补中标候选人</w:t>
      </w:r>
      <w:r>
        <w:rPr>
          <w:rFonts w:ascii="ˎ̥" w:hAnsi="ˎ̥"/>
        </w:rPr>
        <w:t>）。</w:t>
      </w:r>
    </w:p>
    <w:p>
      <w:pPr>
        <w:spacing w:line="360" w:lineRule="auto"/>
        <w:ind w:firstLine="412" w:firstLineChars="196"/>
        <w:rPr>
          <w:rFonts w:ascii="ˎ̥" w:hAnsi="ˎ̥"/>
        </w:rPr>
      </w:pPr>
      <w:r>
        <w:rPr>
          <w:rFonts w:ascii="宋体" w:hAnsi="宋体" w:hint="eastAsia"/>
        </w:rPr>
        <w:t>38</w:t>
      </w:r>
      <w:r>
        <w:rPr>
          <w:rFonts w:ascii="宋体" w:hAnsi="宋体"/>
        </w:rPr>
        <w:t>.</w:t>
      </w:r>
      <w:r>
        <w:rPr>
          <w:rFonts w:ascii="宋体" w:hAnsi="宋体" w:hint="eastAsia"/>
        </w:rPr>
        <w:t>1.3</w:t>
      </w:r>
      <w:r>
        <w:rPr>
          <w:rFonts w:ascii="宋体" w:hAnsi="宋体"/>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ascii="ˎ̥" w:hAnsi="ˎ̥" w:hint="eastAsia"/>
        </w:rPr>
        <w:t>为中标供应商</w:t>
      </w:r>
      <w:r>
        <w:rPr>
          <w:rFonts w:ascii="ˎ̥" w:hAnsi="ˎ̥"/>
        </w:rPr>
        <w:t>（</w:t>
      </w:r>
      <w:r>
        <w:rPr>
          <w:rFonts w:ascii="ˎ̥" w:hAnsi="ˎ̥" w:hint="eastAsia"/>
        </w:rPr>
        <w:t>排名</w:t>
      </w:r>
      <w:r>
        <w:rPr>
          <w:rFonts w:ascii="ˎ̥" w:hAnsi="ˎ̥"/>
        </w:rPr>
        <w:t>第二</w:t>
      </w:r>
      <w:r>
        <w:rPr>
          <w:rFonts w:ascii="ˎ̥" w:hAnsi="ˎ̥" w:hint="eastAsia"/>
        </w:rPr>
        <w:t>的投标人为第一替补中标候选人、排名</w:t>
      </w:r>
      <w:r>
        <w:rPr>
          <w:rFonts w:ascii="ˎ̥" w:hAnsi="ˎ̥"/>
        </w:rPr>
        <w:t>第</w:t>
      </w:r>
      <w:r>
        <w:rPr>
          <w:rFonts w:ascii="ˎ̥" w:hAnsi="ˎ̥" w:hint="eastAsia"/>
        </w:rPr>
        <w:t>三的投标人为第二替补中标候选人</w:t>
      </w:r>
      <w:r>
        <w:rPr>
          <w:rFonts w:ascii="ˎ̥" w:hAnsi="ˎ̥"/>
        </w:rPr>
        <w:t>）。</w:t>
      </w:r>
      <w:r>
        <w:rPr>
          <w:rFonts w:ascii="ˎ̥" w:hAnsi="ˎ̥" w:hint="eastAsia"/>
        </w:rPr>
        <w:t>出现</w:t>
      </w:r>
      <w:r>
        <w:rPr>
          <w:rFonts w:ascii="ˎ̥" w:hAnsi="ˎ̥"/>
        </w:rPr>
        <w:t>得分且投标报价相同的并列</w:t>
      </w:r>
      <w:r>
        <w:rPr>
          <w:rFonts w:ascii="ˎ̥" w:hAnsi="ˎ̥" w:hint="eastAsia"/>
        </w:rPr>
        <w:t>情况时，采取随机抽取的方式确定，具体操作办法及流程由评审委员会确定。</w:t>
      </w:r>
    </w:p>
    <w:p>
      <w:pPr>
        <w:spacing w:line="360" w:lineRule="auto"/>
        <w:ind w:firstLine="412" w:firstLineChars="196"/>
        <w:rPr>
          <w:rFonts w:ascii="宋体" w:hAnsi="宋体"/>
        </w:rPr>
      </w:pPr>
      <w:r>
        <w:rPr>
          <w:rFonts w:ascii="宋体" w:hAnsi="宋体" w:hint="eastAsia"/>
        </w:rPr>
        <w:t>38.2评定分离项目定标方法</w:t>
      </w:r>
    </w:p>
    <w:p>
      <w:pPr>
        <w:spacing w:line="360" w:lineRule="auto"/>
        <w:ind w:firstLine="412" w:firstLineChars="196"/>
        <w:rPr>
          <w:rFonts w:ascii="宋体" w:hAnsi="宋体"/>
        </w:rPr>
      </w:pPr>
      <w:r>
        <w:rPr>
          <w:rFonts w:ascii="宋体" w:hAnsi="宋体" w:hint="eastAsia"/>
        </w:rPr>
        <w:t>38.2.1评定分离是指在政府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spacing w:line="360" w:lineRule="auto"/>
        <w:ind w:firstLine="412" w:firstLineChars="196"/>
      </w:pPr>
      <w:r>
        <w:rPr>
          <w:rFonts w:ascii="宋体" w:hAnsi="宋体"/>
        </w:rPr>
        <w:t xml:space="preserve">38.2.2 </w:t>
      </w:r>
      <w:r>
        <w:t>适用评定分离的政府采购项目，采用综合评分法评</w:t>
      </w:r>
      <w:r>
        <w:rPr>
          <w:rFonts w:hint="eastAsia"/>
        </w:rPr>
        <w:t>审。</w:t>
      </w:r>
      <w:r>
        <w:rPr>
          <w:rFonts w:ascii="宋体" w:hAnsi="宋体" w:hint="eastAsia"/>
        </w:rPr>
        <w:t>评审委员会按照评审结果，推荐</w:t>
      </w:r>
      <w:r>
        <w:t>三个合格的候选中标供应商。</w:t>
      </w:r>
    </w:p>
    <w:p>
      <w:pPr>
        <w:spacing w:line="360" w:lineRule="auto"/>
        <w:ind w:firstLine="412" w:firstLineChars="196"/>
        <w:rPr>
          <w:rFonts w:ascii="宋体" w:hAnsi="宋体"/>
        </w:rPr>
      </w:pPr>
      <w:r>
        <w:rPr>
          <w:rFonts w:ascii="宋体" w:hAnsi="宋体" w:hint="eastAsia"/>
        </w:rPr>
        <w:t>38.2.3</w:t>
      </w:r>
      <w:r>
        <w:t>适用评定分离的政府采购项目，</w:t>
      </w:r>
      <w:r>
        <w:rPr>
          <w:rFonts w:ascii="宋体" w:hAnsi="宋体" w:hint="eastAsia"/>
        </w:rPr>
        <w:t>按照自定法确定中标供应商：自定法是指采购人组织定标委员会，由定标委员会在三家候选中标供应商中确定中标供应商。</w:t>
      </w:r>
    </w:p>
    <w:p>
      <w:pPr>
        <w:spacing w:line="360" w:lineRule="auto"/>
        <w:ind w:firstLine="412" w:firstLineChars="196"/>
        <w:rPr>
          <w:rFonts w:ascii="宋体" w:hAnsi="宋体"/>
        </w:rPr>
      </w:pPr>
      <w:r>
        <w:rPr>
          <w:rFonts w:ascii="宋体" w:hAnsi="宋体"/>
        </w:rPr>
        <w:t>38.2.4</w:t>
      </w:r>
      <w:r>
        <w:rPr>
          <w:rFonts w:ascii="宋体" w:hAnsi="宋体" w:hint="eastAsia"/>
        </w:rPr>
        <w:t>政府采购代理机构</w:t>
      </w:r>
      <w:r>
        <w:t>应当自评审结束之日起两个工作日内将候选中标供应商名单及其投标文件、评审报告送交采购人</w:t>
      </w:r>
      <w:r>
        <w:rPr>
          <w:rFonts w:ascii="宋体" w:hAnsi="宋体" w:hint="eastAsia"/>
        </w:rPr>
        <w:t>。</w:t>
      </w:r>
      <w:r>
        <w:t>采购人应当安排专人对定标过程进行书面记录，形成定标报告，作为采购文件的组成部分存档，并及时将定标结果反馈</w:t>
      </w:r>
      <w:r>
        <w:rPr>
          <w:rFonts w:hint="eastAsia"/>
        </w:rPr>
        <w:t>政府采购代理机构。具体定标程序及相关要求以按照《</w:t>
      </w:r>
      <w:r>
        <w:t>深圳市财政局关于印发</w:t>
      </w:r>
      <w:r>
        <w:rPr>
          <w:rFonts w:ascii="宋体" w:hAnsi="宋体" w:hint="eastAsia"/>
        </w:rPr>
        <w:t>〈</w:t>
      </w:r>
      <w:r>
        <w:t>深圳市政府采购评标定标分离管理办法</w:t>
      </w:r>
      <w:r>
        <w:rPr>
          <w:rFonts w:ascii="宋体" w:hAnsi="宋体" w:hint="eastAsia"/>
        </w:rPr>
        <w:t>〉</w:t>
      </w:r>
      <w:r>
        <w:t>的通知</w:t>
      </w:r>
      <w:r>
        <w:rPr>
          <w:rFonts w:hint="eastAsia"/>
        </w:rPr>
        <w:t>》（深财规【2</w:t>
      </w:r>
      <w:r>
        <w:t>020</w:t>
      </w:r>
      <w:r>
        <w:rPr>
          <w:rFonts w:hint="eastAsia"/>
        </w:rPr>
        <w:t>】1号）执行。</w:t>
      </w:r>
    </w:p>
    <w:p>
      <w:pPr>
        <w:spacing w:line="360" w:lineRule="auto"/>
        <w:ind w:firstLine="412" w:firstLineChars="196"/>
        <w:rPr>
          <w:rFonts w:ascii="宋体" w:hAnsi="宋体"/>
        </w:rPr>
      </w:pPr>
      <w:r>
        <w:rPr>
          <w:rFonts w:ascii="宋体" w:hAnsi="宋体" w:hint="eastAsia"/>
        </w:rPr>
        <w:t>说明：采购人及投标供应商应按照上述方法提前做好相关准备。</w:t>
      </w:r>
    </w:p>
    <w:p>
      <w:pPr>
        <w:spacing w:line="360" w:lineRule="auto"/>
        <w:ind w:firstLine="412" w:firstLineChars="196"/>
        <w:rPr>
          <w:rFonts w:ascii="宋体" w:hAnsi="宋体"/>
          <w:szCs w:val="21"/>
        </w:rPr>
      </w:pPr>
      <w:r>
        <w:rPr>
          <w:rFonts w:ascii="宋体" w:hAnsi="宋体" w:hint="eastAsia"/>
        </w:rPr>
        <w:t>38.3专用条款另有规定的，按专用条款相关要求定标。</w:t>
      </w:r>
    </w:p>
    <w:p>
      <w:pPr>
        <w:snapToGrid w:val="0"/>
        <w:spacing w:line="360" w:lineRule="auto"/>
        <w:rPr>
          <w:rFonts w:ascii="黑体" w:eastAsia="黑体" w:hAnsi="宋体"/>
          <w:sz w:val="24"/>
        </w:rPr>
      </w:pPr>
      <w:bookmarkStart w:id="243" w:name="_Toc100052404"/>
      <w:r>
        <w:rPr>
          <w:rFonts w:ascii="黑体" w:eastAsia="黑体" w:hAnsi="宋体" w:hint="eastAsia"/>
          <w:sz w:val="24"/>
        </w:rPr>
        <w:t>39．编写评审报告</w:t>
      </w:r>
      <w:bookmarkEnd w:id="243"/>
    </w:p>
    <w:p>
      <w:pPr>
        <w:snapToGrid w:val="0"/>
        <w:spacing w:line="360" w:lineRule="auto"/>
        <w:ind w:firstLine="412" w:firstLineChars="196"/>
        <w:rPr>
          <w:rFonts w:ascii="宋体" w:hAnsi="宋体"/>
          <w:szCs w:val="21"/>
        </w:rPr>
      </w:pPr>
      <w:r>
        <w:rPr>
          <w:rFonts w:ascii="宋体" w:hAnsi="宋体" w:hint="eastAsia"/>
          <w:szCs w:val="21"/>
        </w:rPr>
        <w:t>评审报告是评审委员会根据全体评标成员签字的原始评标记录和评标结果编写的报告，评审报告由评审委员会全体成员签字。对评标结论持有异议的评审委员会成员可以书面方式阐述其不同意见和理由。评审委员会成员拒绝在评审报告上签字且不陈述其不同意见和理由的，视为同意评标结论。评审委员会应当对此作出书面说明并记录在案。</w:t>
      </w:r>
    </w:p>
    <w:p>
      <w:pPr>
        <w:snapToGrid w:val="0"/>
        <w:spacing w:line="360" w:lineRule="auto"/>
        <w:rPr>
          <w:rFonts w:ascii="黑体" w:eastAsia="黑体" w:hAnsi="宋体"/>
          <w:sz w:val="24"/>
        </w:rPr>
      </w:pPr>
      <w:bookmarkStart w:id="244" w:name="_Toc100052405"/>
      <w:bookmarkStart w:id="245" w:name="_Toc73521676"/>
      <w:bookmarkStart w:id="246" w:name="_Toc73521588"/>
      <w:bookmarkStart w:id="247" w:name="_Toc73518159"/>
      <w:bookmarkStart w:id="248" w:name="_Toc73517681"/>
      <w:r>
        <w:rPr>
          <w:rFonts w:ascii="黑体" w:eastAsia="黑体" w:hAnsi="宋体" w:hint="eastAsia"/>
          <w:sz w:val="24"/>
        </w:rPr>
        <w:t>40．中标结果</w:t>
      </w:r>
      <w:bookmarkEnd w:id="244"/>
    </w:p>
    <w:p>
      <w:pPr>
        <w:snapToGrid w:val="0"/>
        <w:spacing w:line="360" w:lineRule="auto"/>
        <w:ind w:firstLine="412" w:firstLineChars="196"/>
        <w:rPr>
          <w:rFonts w:ascii="宋体" w:eastAsia="宋体" w:hAnsi="宋体" w:cs="Times New Roman" w:hint="eastAsia"/>
          <w:kern w:val="0"/>
          <w:sz w:val="20"/>
          <w:szCs w:val="21"/>
          <w:lang w:val="en-US" w:eastAsia="zh-CN" w:bidi="ar-SA"/>
        </w:rPr>
      </w:pPr>
      <w:r>
        <w:rPr>
          <w:rFonts w:ascii="宋体" w:hAnsi="宋体" w:hint="eastAsia"/>
          <w:szCs w:val="21"/>
        </w:rPr>
        <w:t>40.1为体现“公开、公平、公正”的原则，评标结束后，政府采购代理机构将在主管部门指定的政府采购网站和招标机构网站（详见招标公告中的查询网址）上同时发布中标结果公告。供应商如对评标结果有异议，请于</w:t>
      </w:r>
      <w:r>
        <w:rPr>
          <w:rFonts w:ascii="宋体" w:hAnsi="宋体"/>
        </w:rPr>
        <w:t>可在发布公示日期起</w:t>
      </w:r>
      <w:r>
        <w:rPr>
          <w:rFonts w:ascii="宋体" w:hAnsi="宋体" w:hint="eastAsia"/>
        </w:rPr>
        <w:t>七</w:t>
      </w:r>
      <w:r>
        <w:rPr>
          <w:rFonts w:ascii="宋体" w:hAnsi="宋体"/>
        </w:rPr>
        <w:t>个工作日</w:t>
      </w:r>
      <w:r>
        <w:rPr>
          <w:rFonts w:ascii="宋体" w:hAnsi="宋体" w:hint="eastAsia"/>
          <w:szCs w:val="21"/>
        </w:rPr>
        <w:t>内，以书面形式向政府采购代理机构反映。若未</w:t>
      </w:r>
      <w:r>
        <w:rPr>
          <w:rFonts w:ascii="宋体" w:eastAsia="宋体" w:hAnsi="宋体" w:cs="Times New Roman" w:hint="eastAsia"/>
          <w:kern w:val="0"/>
          <w:sz w:val="20"/>
          <w:szCs w:val="21"/>
          <w:lang w:val="en-US" w:eastAsia="zh-CN" w:bidi="ar-SA"/>
        </w:rPr>
        <w:t>在规定时间内未提出异议，则视为认同该评审结果。</w:t>
      </w:r>
    </w:p>
    <w:p>
      <w:pPr>
        <w:pStyle w:val="NormalIndent"/>
        <w:keepNext w:val="0"/>
        <w:keepLines w:val="0"/>
        <w:pageBreakBefore w:val="0"/>
        <w:widowControl w:val="0"/>
        <w:kinsoku/>
        <w:wordWrap/>
        <w:overflowPunct/>
        <w:topLinePunct w:val="0"/>
        <w:autoSpaceDE/>
        <w:autoSpaceDN/>
        <w:bidi w:val="0"/>
        <w:adjustRightInd/>
        <w:snapToGrid w:val="0"/>
        <w:spacing w:line="360" w:lineRule="auto"/>
        <w:ind w:firstLine="400"/>
        <w:textAlignment w:val="auto"/>
        <w:rPr>
          <w:rFonts w:ascii="宋体" w:eastAsia="宋体" w:hAnsi="宋体" w:cs="Times New Roman" w:hint="eastAsia"/>
          <w:kern w:val="0"/>
          <w:sz w:val="20"/>
          <w:szCs w:val="21"/>
          <w:lang w:val="en-US" w:eastAsia="zh-CN" w:bidi="ar-SA"/>
        </w:rPr>
      </w:pPr>
      <w:r>
        <w:rPr>
          <w:rFonts w:ascii="宋体" w:eastAsia="宋体" w:hAnsi="宋体" w:cs="Times New Roman" w:hint="eastAsia"/>
          <w:kern w:val="0"/>
          <w:sz w:val="20"/>
          <w:szCs w:val="21"/>
          <w:lang w:val="en-US" w:eastAsia="zh-CN" w:bidi="ar-SA"/>
        </w:rPr>
        <w:t>40.2质疑、投诉供应商应保证质疑、投诉内容的真实性和可靠性，并承担相应的法律责任。</w:t>
      </w:r>
    </w:p>
    <w:p>
      <w:pPr>
        <w:snapToGrid w:val="0"/>
        <w:spacing w:line="360" w:lineRule="auto"/>
        <w:ind w:firstLine="412" w:firstLineChars="196"/>
        <w:rPr>
          <w:rFonts w:ascii="宋体" w:eastAsia="宋体" w:hAnsi="宋体" w:hint="default"/>
          <w:szCs w:val="21"/>
          <w:lang w:val="en-US" w:eastAsia="zh-CN"/>
        </w:rPr>
      </w:pPr>
      <w:r>
        <w:rPr>
          <w:rFonts w:ascii="宋体" w:eastAsia="宋体" w:hAnsi="宋体" w:cs="Times New Roman" w:hint="eastAsia"/>
          <w:kern w:val="0"/>
          <w:sz w:val="20"/>
          <w:szCs w:val="21"/>
          <w:lang w:val="en-US" w:eastAsia="zh-CN" w:bidi="ar-SA"/>
        </w:rPr>
        <w:t>40.3评审</w:t>
      </w:r>
      <w:r>
        <w:rPr>
          <w:rFonts w:ascii="宋体" w:hAnsi="宋体" w:hint="eastAsia"/>
          <w:szCs w:val="21"/>
        </w:rPr>
        <w:t>委员会不直接向未通过符合性检查的投标人或者未中标的投标人解释未中标标原因，也不退还投标文件。</w:t>
      </w:r>
    </w:p>
    <w:p>
      <w:pPr>
        <w:snapToGrid w:val="0"/>
        <w:spacing w:line="360" w:lineRule="auto"/>
        <w:rPr>
          <w:rFonts w:ascii="黑体" w:eastAsia="黑体" w:hAnsi="宋体"/>
          <w:sz w:val="24"/>
        </w:rPr>
      </w:pPr>
      <w:bookmarkStart w:id="249" w:name="_Toc100052406"/>
      <w:r>
        <w:rPr>
          <w:rFonts w:ascii="黑体" w:eastAsia="黑体" w:hAnsi="宋体" w:hint="eastAsia"/>
          <w:sz w:val="24"/>
        </w:rPr>
        <w:t>41．中标通知书</w:t>
      </w:r>
      <w:bookmarkEnd w:id="249"/>
    </w:p>
    <w:p>
      <w:pPr>
        <w:snapToGrid w:val="0"/>
        <w:spacing w:line="360" w:lineRule="auto"/>
        <w:ind w:firstLine="412" w:firstLineChars="196"/>
        <w:rPr>
          <w:rFonts w:ascii="宋体" w:hAnsi="宋体" w:hint="eastAsia"/>
          <w:szCs w:val="21"/>
        </w:rPr>
      </w:pPr>
      <w:bookmarkEnd w:id="245"/>
      <w:bookmarkEnd w:id="246"/>
      <w:bookmarkEnd w:id="247"/>
      <w:bookmarkEnd w:id="248"/>
      <w:r>
        <w:rPr>
          <w:rFonts w:ascii="宋体" w:hAnsi="宋体" w:hint="eastAsia"/>
          <w:szCs w:val="21"/>
        </w:rPr>
        <w:t>41.1中标公告公布以后无异常的情况下,</w:t>
      </w:r>
      <w:r>
        <w:rPr>
          <w:rFonts w:hint="eastAsia"/>
        </w:rPr>
        <w:t>公示期内无人质疑投诉，</w:t>
      </w:r>
      <w:r>
        <w:rPr>
          <w:rFonts w:ascii="宋体" w:hAnsi="宋体" w:hint="eastAsia"/>
          <w:szCs w:val="21"/>
        </w:rPr>
        <w:t>采购代理机构即向中标人发出中标通知书。</w:t>
      </w:r>
    </w:p>
    <w:p>
      <w:pPr>
        <w:snapToGrid w:val="0"/>
        <w:spacing w:line="360" w:lineRule="auto"/>
        <w:ind w:firstLine="412" w:firstLineChars="196"/>
        <w:rPr>
          <w:rFonts w:ascii="宋体" w:hAnsi="宋体" w:hint="eastAsia"/>
          <w:szCs w:val="21"/>
        </w:rPr>
      </w:pPr>
      <w:r>
        <w:rPr>
          <w:rFonts w:ascii="宋体" w:hAnsi="宋体" w:hint="eastAsia"/>
          <w:szCs w:val="21"/>
        </w:rPr>
        <w:t>41.2中标通知书是合同的重要组成部分。</w:t>
      </w:r>
    </w:p>
    <w:p>
      <w:pPr>
        <w:snapToGrid w:val="0"/>
        <w:spacing w:line="360" w:lineRule="auto"/>
        <w:ind w:firstLine="412" w:firstLineChars="196"/>
        <w:rPr>
          <w:rFonts w:ascii="宋体" w:hAnsi="宋体"/>
          <w:szCs w:val="21"/>
        </w:rPr>
      </w:pPr>
      <w:r>
        <w:rPr>
          <w:rFonts w:ascii="宋体" w:hAnsi="宋体" w:hint="eastAsia"/>
          <w:szCs w:val="21"/>
        </w:rPr>
        <w:t>41.3因质疑投诉或其它原因导致项目结果变更或采购终止的，政府采购代理机构有权吊销中标通知书。</w:t>
      </w:r>
    </w:p>
    <w:p>
      <w:pPr>
        <w:pStyle w:val="Heading2"/>
        <w:spacing w:line="360" w:lineRule="auto"/>
        <w:jc w:val="center"/>
      </w:pPr>
      <w:bookmarkStart w:id="250" w:name="bt合同的授予"/>
      <w:bookmarkEnd w:id="250"/>
      <w:bookmarkStart w:id="251" w:name="_Toc29803"/>
      <w:bookmarkStart w:id="252" w:name="_Toc29921"/>
      <w:bookmarkStart w:id="253" w:name="_Toc20913"/>
      <w:bookmarkStart w:id="254" w:name="_Toc21059"/>
      <w:bookmarkStart w:id="255" w:name="_Toc73517678"/>
      <w:bookmarkStart w:id="256" w:name="_Toc101074884"/>
      <w:bookmarkStart w:id="257" w:name="_Toc100052407"/>
      <w:bookmarkStart w:id="258" w:name="_Toc73518156"/>
      <w:bookmarkStart w:id="259" w:name="_Toc256000012"/>
      <w:r>
        <w:rPr>
          <w:rFonts w:hint="eastAsia"/>
        </w:rPr>
        <w:t>第九章 公开招标失败的后续处理</w:t>
      </w:r>
      <w:bookmarkEnd w:id="259"/>
      <w:bookmarkEnd w:id="251"/>
      <w:bookmarkEnd w:id="252"/>
      <w:bookmarkEnd w:id="253"/>
      <w:bookmarkEnd w:id="254"/>
    </w:p>
    <w:p>
      <w:pPr>
        <w:snapToGrid w:val="0"/>
        <w:spacing w:line="360" w:lineRule="auto"/>
        <w:rPr>
          <w:rFonts w:ascii="黑体" w:eastAsia="黑体" w:hAnsi="宋体"/>
          <w:sz w:val="24"/>
        </w:rPr>
      </w:pPr>
      <w:r>
        <w:rPr>
          <w:rFonts w:ascii="黑体" w:eastAsia="黑体" w:hAnsi="宋体" w:hint="eastAsia"/>
          <w:sz w:val="24"/>
        </w:rPr>
        <w:t>42．公开招标失败的处理</w:t>
      </w:r>
    </w:p>
    <w:p>
      <w:pPr>
        <w:snapToGrid w:val="0"/>
        <w:spacing w:line="360" w:lineRule="auto"/>
        <w:ind w:firstLine="412" w:firstLineChars="196"/>
        <w:rPr>
          <w:rFonts w:ascii="宋体" w:hAnsi="宋体" w:hint="eastAsia"/>
        </w:rPr>
      </w:pPr>
      <w:r>
        <w:rPr>
          <w:rFonts w:ascii="宋体" w:hAnsi="宋体" w:hint="eastAsia"/>
          <w:szCs w:val="21"/>
        </w:rPr>
        <w:t>42.1本项目公开招标过程中若由于投标截止后</w:t>
      </w:r>
      <w:r>
        <w:rPr>
          <w:rFonts w:ascii="宋体" w:hAnsi="宋体" w:hint="eastAsia"/>
        </w:rPr>
        <w:t>实际递交</w:t>
      </w:r>
      <w:r>
        <w:rPr>
          <w:rFonts w:ascii="宋体" w:hAnsi="宋体"/>
        </w:rPr>
        <w:t>投标</w:t>
      </w:r>
      <w:r>
        <w:rPr>
          <w:rFonts w:ascii="宋体" w:hAnsi="宋体" w:hint="eastAsia"/>
        </w:rPr>
        <w:t>文件的供应商数量不足、经评审委员会评审对招标文件作实质响应的供应商不足等原因造成公开招标失败，可由政府采购代理机构重新组织采购。</w:t>
      </w:r>
    </w:p>
    <w:p>
      <w:pPr>
        <w:pStyle w:val="NormalIndent"/>
        <w:spacing w:line="360" w:lineRule="auto"/>
        <w:rPr>
          <w:sz w:val="21"/>
          <w:szCs w:val="21"/>
        </w:rPr>
      </w:pPr>
      <w:r>
        <w:rPr>
          <w:rFonts w:ascii="宋体" w:hAnsi="宋体" w:hint="eastAsia"/>
          <w:sz w:val="21"/>
          <w:szCs w:val="21"/>
        </w:rPr>
        <w:t>42.2对公开招标失败的项目，评审委员会在出具该项目招标失败结论的同时，可以提出重新采购组织形式的建议，以及进一步完善招标文件的资格、技术、商务要求的修改建议。</w:t>
      </w:r>
    </w:p>
    <w:p>
      <w:pPr>
        <w:snapToGrid w:val="0"/>
        <w:spacing w:line="360" w:lineRule="auto"/>
        <w:ind w:firstLine="412" w:firstLineChars="196"/>
        <w:rPr>
          <w:rFonts w:ascii="宋体" w:hAnsi="宋体"/>
          <w:szCs w:val="21"/>
        </w:rPr>
      </w:pPr>
      <w:r>
        <w:rPr>
          <w:rFonts w:ascii="宋体" w:hAnsi="宋体" w:hint="eastAsia"/>
          <w:szCs w:val="21"/>
        </w:rPr>
        <w:t>42.3重新组织采购有以下两种组织形式：</w:t>
      </w:r>
    </w:p>
    <w:p>
      <w:pPr>
        <w:snapToGrid w:val="0"/>
        <w:spacing w:line="360" w:lineRule="auto"/>
        <w:ind w:firstLine="412" w:firstLineChars="196"/>
        <w:rPr>
          <w:rFonts w:ascii="宋体" w:hAnsi="宋体"/>
        </w:rPr>
      </w:pPr>
      <w:r>
        <w:rPr>
          <w:rFonts w:ascii="宋体" w:hAnsi="宋体" w:hint="eastAsia"/>
        </w:rPr>
        <w:t>（1）由政府采购代理机构重新组织公开招标；</w:t>
      </w:r>
    </w:p>
    <w:p>
      <w:pPr>
        <w:snapToGrid w:val="0"/>
        <w:spacing w:line="360" w:lineRule="auto"/>
        <w:ind w:firstLine="412" w:firstLineChars="196"/>
        <w:rPr>
          <w:rFonts w:ascii="宋体" w:hAnsi="宋体"/>
        </w:rPr>
      </w:pPr>
      <w:r>
        <w:rPr>
          <w:rFonts w:ascii="宋体" w:hAnsi="宋体" w:hint="eastAsia"/>
        </w:rPr>
        <w:t>（2）根据实际情况需要向政府采购监督管理部门提出非公开招标机构式申请，经政府采购监督管理部门批准公开招标失败采购项目可转为竞争性谈判或单一来源谈判方式采购。</w:t>
      </w:r>
    </w:p>
    <w:p>
      <w:pPr>
        <w:snapToGrid w:val="0"/>
        <w:spacing w:line="360" w:lineRule="auto"/>
        <w:ind w:firstLine="412" w:firstLineChars="196"/>
        <w:rPr>
          <w:rFonts w:ascii="宋体" w:hAnsi="宋体"/>
        </w:rPr>
      </w:pPr>
      <w:r>
        <w:rPr>
          <w:rFonts w:ascii="宋体" w:hAnsi="宋体" w:hint="eastAsia"/>
        </w:rPr>
        <w:t>42.4公开招标失败的采购项目重新组织公开招标，政府采购代理机构要重新按公开招标流程发布招标公告和招标文件、组成评审委员会等组织采购活动。</w:t>
      </w:r>
    </w:p>
    <w:p>
      <w:pPr>
        <w:snapToGrid w:val="0"/>
        <w:spacing w:line="360" w:lineRule="auto"/>
        <w:ind w:firstLine="412" w:firstLineChars="196"/>
        <w:rPr>
          <w:rFonts w:ascii="宋体" w:hAnsi="宋体"/>
        </w:rPr>
      </w:pPr>
      <w:r>
        <w:rPr>
          <w:rFonts w:ascii="宋体" w:hAnsi="宋体" w:hint="eastAsia"/>
        </w:rPr>
        <w:t>42.5公开招标失败的采购项目经政府采购监督管理部门批准转为竞争性谈判或单一来源谈判方式采购的，按规定要求组织政府采购工作。</w:t>
      </w:r>
    </w:p>
    <w:p>
      <w:pPr>
        <w:pStyle w:val="Heading2"/>
        <w:spacing w:line="360" w:lineRule="auto"/>
        <w:jc w:val="center"/>
        <w:rPr>
          <w:rFonts w:hint="eastAsia"/>
        </w:rPr>
      </w:pPr>
      <w:bookmarkStart w:id="260" w:name="_Toc16889"/>
      <w:bookmarkStart w:id="261" w:name="_Toc21802"/>
      <w:bookmarkStart w:id="262" w:name="_Toc2475"/>
      <w:bookmarkStart w:id="263" w:name="_Toc15329"/>
      <w:bookmarkStart w:id="264" w:name="_Toc256000013"/>
      <w:r>
        <w:rPr>
          <w:rFonts w:hint="eastAsia"/>
        </w:rPr>
        <w:t>第十章 合同的授予</w:t>
      </w:r>
      <w:bookmarkEnd w:id="255"/>
      <w:bookmarkEnd w:id="256"/>
      <w:bookmarkEnd w:id="257"/>
      <w:bookmarkEnd w:id="258"/>
      <w:r>
        <w:rPr>
          <w:rFonts w:hint="eastAsia"/>
        </w:rPr>
        <w:t>与备案</w:t>
      </w:r>
      <w:bookmarkEnd w:id="264"/>
      <w:bookmarkEnd w:id="260"/>
      <w:bookmarkEnd w:id="261"/>
      <w:bookmarkEnd w:id="262"/>
      <w:bookmarkEnd w:id="263"/>
    </w:p>
    <w:p>
      <w:pPr>
        <w:snapToGrid w:val="0"/>
        <w:spacing w:line="360" w:lineRule="auto"/>
        <w:rPr>
          <w:rFonts w:ascii="黑体" w:eastAsia="黑体" w:hAnsi="宋体"/>
          <w:sz w:val="24"/>
        </w:rPr>
      </w:pPr>
      <w:bookmarkStart w:id="265" w:name="_33._合同授予标准"/>
      <w:bookmarkEnd w:id="265"/>
      <w:bookmarkStart w:id="266" w:name="_Toc73518157"/>
      <w:bookmarkStart w:id="267" w:name="_Toc73521674"/>
      <w:bookmarkStart w:id="268" w:name="_Toc73521586"/>
      <w:bookmarkStart w:id="269" w:name="_Toc73517679"/>
      <w:bookmarkStart w:id="270" w:name="_Toc100052408"/>
      <w:r>
        <w:rPr>
          <w:rFonts w:ascii="黑体" w:eastAsia="黑体" w:hAnsi="宋体" w:hint="eastAsia"/>
          <w:sz w:val="24"/>
        </w:rPr>
        <w:t>43．合同授予标准</w:t>
      </w:r>
      <w:bookmarkEnd w:id="266"/>
      <w:bookmarkEnd w:id="267"/>
      <w:bookmarkEnd w:id="268"/>
      <w:bookmarkEnd w:id="269"/>
      <w:bookmarkEnd w:id="270"/>
    </w:p>
    <w:p>
      <w:pPr>
        <w:snapToGrid w:val="0"/>
        <w:spacing w:line="360" w:lineRule="auto"/>
        <w:ind w:firstLine="412" w:firstLineChars="196"/>
        <w:rPr>
          <w:rFonts w:ascii="宋体" w:hAnsi="宋体"/>
          <w:szCs w:val="21"/>
        </w:rPr>
      </w:pPr>
      <w:r>
        <w:rPr>
          <w:rFonts w:ascii="宋体" w:hAnsi="宋体" w:hint="eastAsia"/>
          <w:szCs w:val="21"/>
        </w:rPr>
        <w:t>43</w:t>
      </w:r>
      <w:r>
        <w:rPr>
          <w:rFonts w:ascii="宋体" w:hAnsi="宋体"/>
          <w:szCs w:val="21"/>
        </w:rPr>
        <w:t>.1</w:t>
      </w:r>
      <w:r>
        <w:rPr>
          <w:rFonts w:ascii="宋体" w:hAnsi="宋体" w:hint="eastAsia"/>
          <w:szCs w:val="21"/>
        </w:rPr>
        <w:t>本项目的合同将授予按本招标文件规定评审确定的中标人。</w:t>
      </w:r>
    </w:p>
    <w:p>
      <w:pPr>
        <w:snapToGrid w:val="0"/>
        <w:spacing w:line="360" w:lineRule="auto"/>
        <w:rPr>
          <w:rFonts w:ascii="黑体" w:eastAsia="黑体" w:hAnsi="宋体"/>
          <w:sz w:val="24"/>
        </w:rPr>
      </w:pPr>
      <w:bookmarkStart w:id="271" w:name="_Toc73521675"/>
      <w:bookmarkStart w:id="272" w:name="_Toc73517680"/>
      <w:bookmarkStart w:id="273" w:name="_Toc73518158"/>
      <w:bookmarkStart w:id="274" w:name="_Toc100052409"/>
      <w:bookmarkStart w:id="275" w:name="_Toc73521587"/>
      <w:r>
        <w:rPr>
          <w:rFonts w:ascii="黑体" w:eastAsia="黑体" w:hAnsi="宋体" w:hint="eastAsia"/>
          <w:sz w:val="24"/>
        </w:rPr>
        <w:t>44．</w:t>
      </w:r>
      <w:bookmarkEnd w:id="271"/>
      <w:bookmarkEnd w:id="272"/>
      <w:bookmarkEnd w:id="273"/>
      <w:bookmarkEnd w:id="274"/>
      <w:bookmarkEnd w:id="275"/>
      <w:r>
        <w:rPr>
          <w:rFonts w:ascii="黑体" w:eastAsia="黑体" w:hAnsi="宋体" w:hint="eastAsia"/>
          <w:sz w:val="24"/>
        </w:rPr>
        <w:t>接受和拒绝任何或所有投标的权力</w:t>
      </w:r>
    </w:p>
    <w:p>
      <w:pPr>
        <w:snapToGrid w:val="0"/>
        <w:spacing w:line="360" w:lineRule="auto"/>
        <w:ind w:firstLine="412" w:firstLineChars="196"/>
        <w:rPr>
          <w:rFonts w:ascii="宋体" w:hAnsi="宋体"/>
          <w:szCs w:val="21"/>
        </w:rPr>
      </w:pPr>
      <w:r>
        <w:rPr>
          <w:rFonts w:ascii="宋体" w:hAnsi="宋体" w:hint="eastAsia"/>
          <w:szCs w:val="21"/>
        </w:rPr>
        <w:t>44.1政府采购代理机构和采购单位保留在投标之前任何时候接受或拒绝任何投标或所有投标，以及宣布招标无效的权力，对受影响的投标人不承担任何责任，也无义务向受影响的投标人解释采取这一行动的理由。</w:t>
      </w:r>
    </w:p>
    <w:p>
      <w:pPr>
        <w:snapToGrid w:val="0"/>
        <w:spacing w:line="360" w:lineRule="auto"/>
        <w:rPr>
          <w:rFonts w:ascii="黑体" w:eastAsia="黑体" w:hAnsi="宋体"/>
          <w:sz w:val="24"/>
        </w:rPr>
      </w:pPr>
      <w:bookmarkStart w:id="276" w:name="_Toc73521589"/>
      <w:bookmarkStart w:id="277" w:name="_Toc73518160"/>
      <w:bookmarkStart w:id="278" w:name="_Toc100052410"/>
      <w:bookmarkStart w:id="279" w:name="_Toc73521677"/>
      <w:bookmarkStart w:id="280" w:name="_Toc73517682"/>
      <w:r>
        <w:rPr>
          <w:rFonts w:ascii="黑体" w:eastAsia="黑体" w:hAnsi="宋体" w:hint="eastAsia"/>
          <w:sz w:val="24"/>
        </w:rPr>
        <w:t>45．合同协议书的签订</w:t>
      </w:r>
      <w:bookmarkEnd w:id="276"/>
      <w:bookmarkEnd w:id="277"/>
      <w:bookmarkEnd w:id="278"/>
      <w:bookmarkEnd w:id="279"/>
      <w:bookmarkEnd w:id="280"/>
    </w:p>
    <w:p>
      <w:pPr>
        <w:snapToGrid w:val="0"/>
        <w:spacing w:line="360" w:lineRule="auto"/>
        <w:ind w:firstLine="412" w:firstLineChars="196"/>
        <w:rPr>
          <w:rFonts w:ascii="宋体" w:hAnsi="宋体" w:hint="eastAsia"/>
          <w:szCs w:val="21"/>
        </w:rPr>
      </w:pPr>
      <w:r>
        <w:rPr>
          <w:rFonts w:ascii="宋体" w:hAnsi="宋体" w:hint="eastAsia"/>
          <w:szCs w:val="21"/>
        </w:rPr>
        <w:t>45.1中标人将于中标通知书发出之日起十个工作日内，按照招标文件和投标文件内容与采购单位签订书面合同，合同的实质性内容应当符合招标文件的规定。</w:t>
      </w:r>
    </w:p>
    <w:p>
      <w:pPr>
        <w:snapToGrid w:val="0"/>
        <w:spacing w:line="360" w:lineRule="auto"/>
        <w:ind w:firstLine="412" w:firstLineChars="196"/>
        <w:rPr>
          <w:rFonts w:ascii="宋体" w:hAnsi="宋体" w:cs="宋体" w:hint="eastAsia"/>
          <w:szCs w:val="21"/>
        </w:rPr>
      </w:pPr>
      <w:r>
        <w:rPr>
          <w:rFonts w:ascii="宋体" w:hAnsi="宋体" w:hint="eastAsia"/>
          <w:szCs w:val="21"/>
        </w:rPr>
        <w:t>45.2中标人如不按本本通用条款第45</w:t>
      </w:r>
      <w:r>
        <w:rPr>
          <w:rFonts w:ascii="宋体" w:hAnsi="宋体"/>
          <w:szCs w:val="21"/>
        </w:rPr>
        <w:t>.1</w:t>
      </w:r>
      <w:r>
        <w:rPr>
          <w:rFonts w:ascii="宋体" w:hAnsi="宋体" w:hint="eastAsia"/>
          <w:szCs w:val="21"/>
        </w:rPr>
        <w:t>款的规定与采购单位签订合同，</w:t>
      </w:r>
      <w:r>
        <w:rPr>
          <w:rFonts w:ascii="宋体" w:hAnsi="宋体" w:cs="宋体"/>
          <w:szCs w:val="21"/>
        </w:rPr>
        <w:t>情节严重的，并由主管部门记入供应商诚信档案，予以通报</w:t>
      </w:r>
      <w:r>
        <w:rPr>
          <w:rFonts w:ascii="宋体" w:hAnsi="宋体" w:cs="宋体" w:hint="eastAsia"/>
          <w:szCs w:val="21"/>
        </w:rPr>
        <w:t>。</w:t>
      </w:r>
    </w:p>
    <w:p>
      <w:pPr>
        <w:snapToGrid w:val="0"/>
        <w:spacing w:line="360" w:lineRule="auto"/>
        <w:ind w:firstLine="412" w:firstLineChars="196"/>
        <w:rPr>
          <w:rFonts w:ascii="宋体" w:hAnsi="宋体"/>
          <w:szCs w:val="21"/>
        </w:rPr>
      </w:pPr>
      <w:r>
        <w:rPr>
          <w:rFonts w:ascii="宋体" w:hAnsi="宋体" w:hint="eastAsia"/>
          <w:szCs w:val="21"/>
          <w:lang w:val="en-US" w:eastAsia="zh-CN"/>
        </w:rPr>
        <w:t>45.3</w:t>
      </w:r>
      <w:r>
        <w:rPr>
          <w:rFonts w:hint="eastAsia"/>
          <w:lang w:val="en-US" w:eastAsia="zh-CN"/>
        </w:rPr>
        <w:t>中标或者成交供应商拒绝与采购人签订合同的，采购人可以按照评审报告推荐的中标或者成交候选人名单排序，确定下一候选人为中标或者成交供应商，也可以重新开展政府采购活动。</w:t>
      </w:r>
    </w:p>
    <w:p>
      <w:pPr>
        <w:snapToGrid w:val="0"/>
        <w:spacing w:line="360" w:lineRule="auto"/>
        <w:ind w:firstLine="412" w:firstLineChars="196"/>
        <w:rPr>
          <w:rFonts w:ascii="宋体" w:hAnsi="宋体" w:hint="eastAsia"/>
          <w:szCs w:val="21"/>
        </w:rPr>
      </w:pPr>
      <w:r>
        <w:rPr>
          <w:rFonts w:ascii="宋体" w:hAnsi="宋体" w:hint="eastAsia"/>
          <w:szCs w:val="21"/>
        </w:rPr>
        <w:t>45.</w:t>
      </w:r>
      <w:r>
        <w:rPr>
          <w:rFonts w:ascii="宋体" w:hAnsi="宋体" w:hint="eastAsia"/>
          <w:szCs w:val="21"/>
          <w:lang w:val="en-US" w:eastAsia="zh-CN"/>
        </w:rPr>
        <w:t>4</w:t>
      </w:r>
      <w:r>
        <w:rPr>
          <w:rFonts w:ascii="宋体" w:hAnsi="宋体" w:hint="eastAsia"/>
          <w:szCs w:val="21"/>
        </w:rPr>
        <w:t>中标人应当按照合同约定履行义务，完成中标项目，未采购人及经监管部门许可不得将中标项目转让（转包）给他人。</w:t>
      </w:r>
    </w:p>
    <w:p>
      <w:pPr>
        <w:snapToGrid w:val="0"/>
        <w:spacing w:line="360" w:lineRule="auto"/>
        <w:ind w:firstLine="412" w:firstLineChars="196"/>
        <w:rPr>
          <w:rFonts w:ascii="宋体" w:hAnsi="宋体"/>
          <w:szCs w:val="21"/>
        </w:rPr>
      </w:pPr>
      <w:r>
        <w:rPr>
          <w:rFonts w:ascii="宋体" w:hAnsi="宋体" w:hint="eastAsia"/>
          <w:szCs w:val="21"/>
        </w:rPr>
        <w:t>45.</w:t>
      </w:r>
      <w:r>
        <w:rPr>
          <w:rFonts w:ascii="宋体" w:hAnsi="宋体" w:hint="eastAsia"/>
          <w:szCs w:val="21"/>
          <w:lang w:val="en-US" w:eastAsia="zh-CN"/>
        </w:rPr>
        <w:t>5</w:t>
      </w:r>
      <w:r>
        <w:rPr>
          <w:rFonts w:ascii="宋体" w:hAnsi="宋体" w:hint="eastAsia"/>
          <w:szCs w:val="21"/>
        </w:rPr>
        <w:t>采购人与中标人签订的合同必须遵守本招标文件的合同条件，并且不得更改合同条件。</w:t>
      </w:r>
    </w:p>
    <w:p>
      <w:pPr>
        <w:snapToGrid w:val="0"/>
        <w:spacing w:line="360" w:lineRule="auto"/>
        <w:rPr>
          <w:rFonts w:ascii="黑体" w:eastAsia="黑体" w:hAnsi="宋体"/>
          <w:sz w:val="24"/>
        </w:rPr>
      </w:pPr>
      <w:bookmarkStart w:id="281" w:name="_Toc73521678"/>
      <w:bookmarkStart w:id="282" w:name="_Toc73517683"/>
      <w:bookmarkStart w:id="283" w:name="_Toc73518161"/>
      <w:bookmarkStart w:id="284" w:name="_Toc73521590"/>
      <w:bookmarkStart w:id="285" w:name="_Toc100052411"/>
      <w:r>
        <w:rPr>
          <w:rFonts w:ascii="黑体" w:eastAsia="黑体" w:hAnsi="宋体" w:hint="eastAsia"/>
          <w:sz w:val="24"/>
        </w:rPr>
        <w:t>46．履约担保</w:t>
      </w:r>
      <w:bookmarkEnd w:id="281"/>
      <w:bookmarkEnd w:id="282"/>
      <w:bookmarkEnd w:id="283"/>
      <w:bookmarkEnd w:id="284"/>
      <w:bookmarkEnd w:id="285"/>
    </w:p>
    <w:p>
      <w:pPr>
        <w:snapToGrid w:val="0"/>
        <w:spacing w:line="360" w:lineRule="auto"/>
        <w:ind w:firstLine="412" w:firstLineChars="196"/>
        <w:rPr>
          <w:rFonts w:ascii="宋体" w:hAnsi="宋体" w:hint="eastAsia"/>
          <w:szCs w:val="21"/>
        </w:rPr>
      </w:pPr>
      <w:r>
        <w:rPr>
          <w:rFonts w:ascii="宋体" w:hAnsi="宋体" w:hint="eastAsia"/>
          <w:szCs w:val="21"/>
        </w:rPr>
        <w:t>46.1在签订项目合同的同时，中标人应按“对通用条款的补充内容”中规定的金额向采购人提交履约保证金（除现金方式外，允许供应商自主选择以支票、汇票、本票、保函等非现金方式缴纳或提交保证金）。</w:t>
      </w:r>
    </w:p>
    <w:p>
      <w:pPr>
        <w:snapToGrid w:val="0"/>
        <w:spacing w:line="360" w:lineRule="auto"/>
        <w:ind w:firstLine="412" w:firstLineChars="196"/>
        <w:rPr>
          <w:rFonts w:ascii="宋体" w:hAnsi="宋体"/>
          <w:szCs w:val="21"/>
        </w:rPr>
      </w:pPr>
      <w:r>
        <w:rPr>
          <w:rFonts w:ascii="宋体" w:hAnsi="宋体" w:hint="eastAsia"/>
          <w:szCs w:val="21"/>
        </w:rPr>
        <w:t>46.2如果中标人不能按本通用条款第46</w:t>
      </w:r>
      <w:r>
        <w:rPr>
          <w:rFonts w:ascii="宋体" w:hAnsi="宋体"/>
          <w:szCs w:val="21"/>
        </w:rPr>
        <w:t>.1</w:t>
      </w:r>
      <w:r>
        <w:rPr>
          <w:rFonts w:ascii="宋体" w:hAnsi="宋体" w:hint="eastAsia"/>
          <w:szCs w:val="21"/>
        </w:rPr>
        <w:t>款的规</w:t>
      </w:r>
      <w:r>
        <w:rPr>
          <w:rFonts w:hint="eastAsia"/>
        </w:rPr>
        <w:t>定执行，采购单位将有充分的理由通过政府采购监督管理部门废除中标，给采购单位造成</w:t>
      </w:r>
      <w:r>
        <w:rPr>
          <w:rFonts w:ascii="宋体" w:hAnsi="宋体" w:hint="eastAsia"/>
          <w:szCs w:val="21"/>
        </w:rPr>
        <w:t>的损失超过投标保证金数额的，还应当对超过部分予以赔偿；</w:t>
      </w:r>
    </w:p>
    <w:p>
      <w:pPr>
        <w:snapToGrid w:val="0"/>
        <w:spacing w:line="360" w:lineRule="auto"/>
        <w:ind w:firstLine="412" w:firstLineChars="196"/>
        <w:rPr>
          <w:rFonts w:ascii="宋体" w:hAnsi="宋体" w:hint="eastAsia"/>
          <w:szCs w:val="21"/>
        </w:rPr>
      </w:pPr>
      <w:r>
        <w:rPr>
          <w:rFonts w:ascii="宋体" w:hAnsi="宋体" w:hint="eastAsia"/>
          <w:szCs w:val="21"/>
        </w:rPr>
        <w:t>46</w:t>
      </w:r>
      <w:r>
        <w:rPr>
          <w:rFonts w:ascii="宋体" w:hAnsi="宋体"/>
          <w:szCs w:val="21"/>
        </w:rPr>
        <w:t>.</w:t>
      </w:r>
      <w:r>
        <w:rPr>
          <w:rFonts w:ascii="宋体" w:hAnsi="宋体" w:hint="eastAsia"/>
          <w:szCs w:val="21"/>
        </w:rPr>
        <w:t>3项目结束之后，经验收合格，采购单位在七日内办理退还履约担保手续。</w:t>
      </w:r>
    </w:p>
    <w:p>
      <w:pPr>
        <w:spacing w:line="360" w:lineRule="auto"/>
        <w:rPr>
          <w:rFonts w:ascii="黑体" w:eastAsia="黑体" w:hAnsi="宋体"/>
          <w:sz w:val="24"/>
        </w:rPr>
      </w:pPr>
      <w:r>
        <w:rPr>
          <w:rFonts w:ascii="黑体" w:eastAsia="黑体" w:hAnsi="宋体" w:hint="eastAsia"/>
          <w:sz w:val="24"/>
        </w:rPr>
        <w:t>47. 合同的备案</w:t>
      </w:r>
    </w:p>
    <w:p>
      <w:pPr>
        <w:spacing w:line="360" w:lineRule="auto"/>
        <w:rPr>
          <w:rFonts w:ascii="宋体" w:hAnsi="宋体"/>
          <w:szCs w:val="21"/>
        </w:rPr>
      </w:pPr>
      <w:r>
        <w:rPr>
          <w:rFonts w:ascii="宋体" w:hAnsi="宋体" w:hint="eastAsia"/>
          <w:szCs w:val="21"/>
        </w:rPr>
        <w:t xml:space="preserve">    采购人与中标人应于合同签订之日起十日内，由采购人或委托中标人将采购合同副本抄送采购代理机构和相关部门备案。</w:t>
      </w:r>
    </w:p>
    <w:p>
      <w:pPr>
        <w:spacing w:line="360" w:lineRule="auto"/>
        <w:rPr>
          <w:rFonts w:ascii="黑体" w:eastAsia="黑体" w:hAnsi="宋体"/>
          <w:sz w:val="24"/>
        </w:rPr>
      </w:pPr>
      <w:r>
        <w:rPr>
          <w:rFonts w:ascii="黑体" w:eastAsia="黑体" w:hAnsi="宋体" w:hint="eastAsia"/>
          <w:sz w:val="24"/>
        </w:rPr>
        <w:t>48. 合同的变更</w:t>
      </w:r>
    </w:p>
    <w:p>
      <w:pPr>
        <w:spacing w:line="360" w:lineRule="auto"/>
        <w:ind w:firstLine="412" w:firstLineChars="196"/>
        <w:rPr>
          <w:rFonts w:ascii="宋体" w:hAnsi="宋体"/>
          <w:szCs w:val="21"/>
        </w:rPr>
      </w:pPr>
      <w:r>
        <w:rPr>
          <w:rFonts w:ascii="宋体" w:hAnsi="宋体" w:hint="eastAsia"/>
          <w:szCs w:val="21"/>
        </w:rPr>
        <w:t>合同变更事宜按《深圳市财政局 深圳市政府采购中心关于进一步加强市本级政府采购合同备案管理工作的通知》（深财购〔2019〕43号）相关规定执行。</w:t>
      </w:r>
    </w:p>
    <w:p>
      <w:pPr>
        <w:spacing w:line="360" w:lineRule="auto"/>
        <w:rPr>
          <w:rFonts w:ascii="黑体" w:eastAsia="黑体" w:hAnsi="宋体"/>
          <w:sz w:val="24"/>
        </w:rPr>
      </w:pPr>
      <w:r>
        <w:rPr>
          <w:rFonts w:ascii="黑体" w:eastAsia="黑体" w:hAnsi="宋体" w:hint="eastAsia"/>
          <w:sz w:val="24"/>
        </w:rPr>
        <w:t>49.供应商违法责任</w:t>
      </w:r>
    </w:p>
    <w:p>
      <w:pPr>
        <w:spacing w:line="360" w:lineRule="auto"/>
        <w:ind w:firstLine="412" w:firstLineChars="196"/>
        <w:rPr>
          <w:rFonts w:ascii="宋体" w:hAnsi="宋体"/>
          <w:szCs w:val="21"/>
        </w:rPr>
      </w:pPr>
      <w:r>
        <w:rPr>
          <w:rFonts w:ascii="宋体" w:hAnsi="宋体" w:hint="eastAsia"/>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spacing w:line="360" w:lineRule="auto"/>
        <w:ind w:firstLine="412" w:firstLineChars="196"/>
        <w:rPr>
          <w:rFonts w:ascii="宋体" w:hAnsi="宋体"/>
          <w:szCs w:val="21"/>
        </w:rPr>
      </w:pPr>
      <w:r>
        <w:rPr>
          <w:rFonts w:ascii="宋体" w:hAnsi="宋体" w:hint="eastAsia"/>
          <w:szCs w:val="21"/>
        </w:rPr>
        <w:t>（1）在采购活动中应当回避而未回避的；</w:t>
      </w:r>
    </w:p>
    <w:p>
      <w:pPr>
        <w:spacing w:line="360" w:lineRule="auto"/>
        <w:ind w:firstLine="412" w:firstLineChars="196"/>
        <w:rPr>
          <w:rFonts w:ascii="宋体" w:hAnsi="宋体"/>
          <w:szCs w:val="21"/>
        </w:rPr>
      </w:pPr>
      <w:r>
        <w:rPr>
          <w:rFonts w:ascii="宋体" w:hAnsi="宋体" w:hint="eastAsia"/>
          <w:szCs w:val="21"/>
        </w:rPr>
        <w:t>（2）未按本条例规定签订、履行采购合同，造成严重后果的；</w:t>
      </w:r>
    </w:p>
    <w:p>
      <w:pPr>
        <w:spacing w:line="360" w:lineRule="auto"/>
        <w:ind w:firstLine="412" w:firstLineChars="196"/>
        <w:rPr>
          <w:rFonts w:ascii="宋体" w:hAnsi="宋体"/>
          <w:szCs w:val="21"/>
        </w:rPr>
      </w:pPr>
      <w:r>
        <w:rPr>
          <w:rFonts w:ascii="宋体" w:hAnsi="宋体" w:hint="eastAsia"/>
          <w:szCs w:val="21"/>
        </w:rPr>
        <w:t>（3）隐瞒真实情况，提供虚假资料的；</w:t>
      </w:r>
    </w:p>
    <w:p>
      <w:pPr>
        <w:spacing w:line="360" w:lineRule="auto"/>
        <w:ind w:firstLine="412" w:firstLineChars="196"/>
        <w:rPr>
          <w:rFonts w:ascii="宋体" w:hAnsi="宋体"/>
          <w:szCs w:val="21"/>
        </w:rPr>
      </w:pPr>
      <w:r>
        <w:rPr>
          <w:rFonts w:ascii="宋体" w:hAnsi="宋体" w:hint="eastAsia"/>
          <w:szCs w:val="21"/>
        </w:rPr>
        <w:t>（4）以非法手段排斥其他供应商参与竞争的；</w:t>
      </w:r>
    </w:p>
    <w:p>
      <w:pPr>
        <w:spacing w:line="360" w:lineRule="auto"/>
        <w:ind w:firstLine="412" w:firstLineChars="196"/>
        <w:rPr>
          <w:rFonts w:ascii="宋体" w:hAnsi="宋体"/>
          <w:szCs w:val="21"/>
        </w:rPr>
      </w:pPr>
      <w:r>
        <w:rPr>
          <w:rFonts w:ascii="宋体" w:hAnsi="宋体" w:hint="eastAsia"/>
          <w:szCs w:val="21"/>
        </w:rPr>
        <w:t>（5）与其他采购参加人串通投标的；</w:t>
      </w:r>
    </w:p>
    <w:p>
      <w:pPr>
        <w:spacing w:line="360" w:lineRule="auto"/>
        <w:ind w:firstLine="412" w:firstLineChars="196"/>
        <w:rPr>
          <w:rFonts w:ascii="宋体" w:hAnsi="宋体"/>
          <w:szCs w:val="21"/>
        </w:rPr>
      </w:pPr>
      <w:r>
        <w:rPr>
          <w:rFonts w:ascii="宋体" w:hAnsi="宋体" w:hint="eastAsia"/>
          <w:szCs w:val="21"/>
        </w:rPr>
        <w:t>（6）恶意投诉的；</w:t>
      </w:r>
    </w:p>
    <w:p>
      <w:pPr>
        <w:spacing w:line="360" w:lineRule="auto"/>
        <w:ind w:firstLine="412" w:firstLineChars="196"/>
        <w:rPr>
          <w:rFonts w:ascii="宋体" w:hAnsi="宋体"/>
          <w:szCs w:val="21"/>
        </w:rPr>
      </w:pPr>
      <w:r>
        <w:rPr>
          <w:rFonts w:ascii="宋体" w:hAnsi="宋体" w:hint="eastAsia"/>
          <w:szCs w:val="21"/>
        </w:rPr>
        <w:t>（7）向采购项目相关人行贿或者提供其他不当利益的；</w:t>
      </w:r>
    </w:p>
    <w:p>
      <w:pPr>
        <w:spacing w:line="360" w:lineRule="auto"/>
        <w:ind w:firstLine="412" w:firstLineChars="196"/>
        <w:rPr>
          <w:rFonts w:ascii="宋体" w:hAnsi="宋体"/>
          <w:szCs w:val="21"/>
        </w:rPr>
      </w:pPr>
      <w:r>
        <w:rPr>
          <w:rFonts w:ascii="宋体" w:hAnsi="宋体" w:hint="eastAsia"/>
          <w:szCs w:val="21"/>
        </w:rPr>
        <w:t>（8）阻碍、抗拒主管部门监督检查的；</w:t>
      </w:r>
    </w:p>
    <w:p>
      <w:pPr>
        <w:spacing w:line="360" w:lineRule="auto"/>
        <w:ind w:firstLine="412" w:firstLineChars="196"/>
        <w:rPr>
          <w:rFonts w:ascii="宋体" w:hAnsi="宋体" w:hint="eastAsia"/>
          <w:szCs w:val="21"/>
        </w:rPr>
      </w:pPr>
      <w:r>
        <w:rPr>
          <w:rFonts w:ascii="宋体" w:hAnsi="宋体" w:hint="eastAsia"/>
          <w:szCs w:val="21"/>
        </w:rPr>
        <w:t>（9）其他违反本条例规定的行为。</w:t>
      </w:r>
    </w:p>
    <w:p>
      <w:pPr>
        <w:snapToGrid w:val="0"/>
        <w:spacing w:line="360" w:lineRule="auto"/>
        <w:rPr>
          <w:rFonts w:ascii="黑体" w:eastAsia="黑体" w:hAnsi="宋体" w:hint="eastAsia"/>
          <w:sz w:val="24"/>
        </w:rPr>
      </w:pPr>
      <w:r>
        <w:rPr>
          <w:rFonts w:ascii="黑体" w:eastAsia="黑体" w:hAnsi="宋体" w:hint="eastAsia"/>
          <w:sz w:val="24"/>
        </w:rPr>
        <w:t>50．招标代理服务费收费说明</w:t>
      </w:r>
    </w:p>
    <w:p>
      <w:pPr>
        <w:snapToGrid w:val="0"/>
        <w:spacing w:line="360" w:lineRule="auto"/>
        <w:ind w:firstLine="412" w:firstLineChars="196"/>
        <w:rPr>
          <w:rFonts w:ascii="宋体" w:hAnsi="宋体" w:hint="eastAsia"/>
          <w:szCs w:val="21"/>
        </w:rPr>
      </w:pPr>
      <w:r>
        <w:rPr>
          <w:rFonts w:ascii="宋体" w:hAnsi="宋体" w:hint="eastAsia"/>
          <w:szCs w:val="21"/>
        </w:rPr>
        <w:t>50.1依据《深圳市财政委员会关于规范深圳市社会采购代理机构管理有关事项的补充通知》（深财购【2018】27号文）文件相关规定，</w:t>
      </w:r>
      <w:r>
        <w:rPr>
          <w:rFonts w:ascii="宋体" w:hAnsi="宋体"/>
          <w:szCs w:val="21"/>
        </w:rPr>
        <w:t>招标代理服务费</w:t>
      </w:r>
      <w:r>
        <w:rPr>
          <w:rFonts w:ascii="宋体" w:hAnsi="宋体" w:hint="eastAsia"/>
          <w:szCs w:val="21"/>
        </w:rPr>
        <w:t>以</w:t>
      </w:r>
      <w:r>
        <w:rPr>
          <w:rFonts w:ascii="宋体" w:hAnsi="宋体"/>
          <w:szCs w:val="21"/>
        </w:rPr>
        <w:t>中标金额</w:t>
      </w:r>
      <w:r>
        <w:rPr>
          <w:rFonts w:ascii="宋体" w:hAnsi="宋体" w:hint="eastAsia"/>
          <w:szCs w:val="21"/>
        </w:rPr>
        <w:t>为基数、按</w:t>
      </w:r>
      <w:r>
        <w:rPr>
          <w:rFonts w:ascii="宋体" w:hAnsi="宋体"/>
          <w:szCs w:val="21"/>
        </w:rPr>
        <w:t>差额定率累进法</w:t>
      </w:r>
      <w:r>
        <w:rPr>
          <w:rFonts w:ascii="宋体" w:hAnsi="宋体" w:hint="eastAsia"/>
          <w:szCs w:val="21"/>
        </w:rPr>
        <w:t>计算。具体</w:t>
      </w:r>
      <w:r>
        <w:rPr>
          <w:rFonts w:ascii="宋体" w:hAnsi="宋体"/>
          <w:szCs w:val="21"/>
        </w:rPr>
        <w:t>计取费率标准</w:t>
      </w:r>
      <w:r>
        <w:rPr>
          <w:rFonts w:ascii="宋体" w:hAnsi="宋体" w:hint="eastAsia"/>
          <w:szCs w:val="21"/>
        </w:rPr>
        <w:t>如下表所示：</w:t>
      </w:r>
    </w:p>
    <w:tbl>
      <w:tblPr>
        <w:tblStyle w:val="TableNorm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0" w:type="dxa"/>
          <w:left w:w="108" w:type="dxa"/>
          <w:bottom w:w="0" w:type="dxa"/>
          <w:right w:w="108" w:type="dxa"/>
        </w:tblCellMar>
      </w:tblPr>
      <w:tblGrid>
        <w:gridCol w:w="2447"/>
        <w:gridCol w:w="1788"/>
        <w:gridCol w:w="1788"/>
        <w:gridCol w:w="1788"/>
      </w:tblGrid>
      <w:tr>
        <w:tblPrEx>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0" w:type="dxa"/>
            <w:left w:w="108" w:type="dxa"/>
            <w:bottom w:w="0" w:type="dxa"/>
            <w:right w:w="108" w:type="dxa"/>
          </w:tblCellMar>
        </w:tblPrEx>
        <w:trPr>
          <w:trHeight w:val="794"/>
          <w:jc w:val="center"/>
        </w:trPr>
        <w:tc>
          <w:tcPr>
            <w:tcW w:w="2447" w:type="dxa"/>
            <w:tcBorders>
              <w:top w:val="single" w:sz="8" w:space="0" w:color="auto"/>
              <w:left w:val="single" w:sz="8" w:space="0" w:color="auto"/>
              <w:bottom w:val="single" w:sz="8" w:space="0" w:color="auto"/>
              <w:right w:val="single" w:sz="8" w:space="0" w:color="auto"/>
            </w:tcBorders>
            <w:noWrap w:val="0"/>
            <w:vAlign w:val="center"/>
          </w:tcPr>
          <w:p>
            <w:pPr>
              <w:keepNext w:val="0"/>
              <w:keepLines w:val="0"/>
              <w:suppressLineNumbers w:val="0"/>
              <w:snapToGrid w:val="0"/>
              <w:spacing w:before="0" w:beforeAutospacing="0" w:after="0" w:afterAutospacing="0" w:line="360" w:lineRule="auto"/>
              <w:ind w:left="0" w:right="0"/>
              <w:jc w:val="center"/>
              <w:rPr>
                <w:rFonts w:ascii="宋体" w:eastAsia="宋体" w:hAnsi="宋体" w:cs="Times New Roman"/>
                <w:szCs w:val="21"/>
              </w:rPr>
            </w:pPr>
            <w:r>
              <w:rPr>
                <w:rFonts w:ascii="宋体" w:eastAsia="宋体" w:hAnsi="宋体" w:cs="Times New Roman" w:hint="eastAsia"/>
                <w:szCs w:val="21"/>
              </w:rPr>
              <w:t>中标金额(万元)</w:t>
            </w:r>
          </w:p>
        </w:tc>
        <w:tc>
          <w:tcPr>
            <w:tcW w:w="1788" w:type="dxa"/>
            <w:tcBorders>
              <w:top w:val="single" w:sz="8" w:space="0" w:color="auto"/>
              <w:left w:val="nil"/>
              <w:bottom w:val="single" w:sz="8" w:space="0" w:color="auto"/>
              <w:right w:val="single" w:sz="8" w:space="0" w:color="auto"/>
            </w:tcBorders>
            <w:noWrap w:val="0"/>
            <w:vAlign w:val="center"/>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工程招标</w:t>
            </w:r>
          </w:p>
        </w:tc>
        <w:tc>
          <w:tcPr>
            <w:tcW w:w="1788" w:type="dxa"/>
            <w:tcBorders>
              <w:top w:val="single" w:sz="8" w:space="0" w:color="auto"/>
              <w:left w:val="nil"/>
              <w:bottom w:val="single" w:sz="8" w:space="0" w:color="auto"/>
              <w:right w:val="single" w:sz="8" w:space="0" w:color="auto"/>
            </w:tcBorders>
            <w:noWrap w:val="0"/>
            <w:vAlign w:val="center"/>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货物招标</w:t>
            </w:r>
          </w:p>
        </w:tc>
        <w:tc>
          <w:tcPr>
            <w:tcW w:w="1788" w:type="dxa"/>
            <w:tcBorders>
              <w:top w:val="single" w:sz="8" w:space="0" w:color="auto"/>
              <w:left w:val="nil"/>
              <w:bottom w:val="single" w:sz="8" w:space="0" w:color="auto"/>
              <w:right w:val="single" w:sz="8" w:space="0" w:color="auto"/>
            </w:tcBorders>
            <w:noWrap w:val="0"/>
            <w:vAlign w:val="center"/>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服务招标</w:t>
            </w:r>
          </w:p>
        </w:tc>
      </w:tr>
      <w:tr>
        <w:tblPrEx>
          <w:tblW w:w="0" w:type="auto"/>
          <w:jc w:val="center"/>
          <w:tblLayout w:type="fixed"/>
          <w:tblCellMar>
            <w:top w:w="0" w:type="dxa"/>
            <w:left w:w="108" w:type="dxa"/>
            <w:bottom w:w="0" w:type="dxa"/>
            <w:right w:w="108" w:type="dxa"/>
          </w:tblCellMar>
        </w:tblPrEx>
        <w:trPr>
          <w:trHeight w:val="90"/>
          <w:jc w:val="center"/>
        </w:trPr>
        <w:tc>
          <w:tcPr>
            <w:tcW w:w="2447" w:type="dxa"/>
            <w:tcBorders>
              <w:top w:val="single" w:sz="8" w:space="0" w:color="auto"/>
              <w:left w:val="single" w:sz="8" w:space="0" w:color="auto"/>
              <w:bottom w:val="single" w:sz="8" w:space="0" w:color="auto"/>
              <w:right w:val="single" w:sz="8" w:space="0" w:color="auto"/>
            </w:tcBorders>
            <w:noWrap w:val="0"/>
            <w:vAlign w:val="center"/>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100以下</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1.00%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1.50%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1.50%</w:t>
            </w:r>
          </w:p>
        </w:tc>
      </w:tr>
      <w:tr>
        <w:tblPrEx>
          <w:tblW w:w="0" w:type="auto"/>
          <w:jc w:val="center"/>
          <w:tblLayout w:type="fixed"/>
          <w:tblCellMar>
            <w:top w:w="0" w:type="dxa"/>
            <w:left w:w="108" w:type="dxa"/>
            <w:bottom w:w="0" w:type="dxa"/>
            <w:right w:w="108" w:type="dxa"/>
          </w:tblCellMar>
        </w:tblPrEx>
        <w:trPr>
          <w:trHeight w:val="402"/>
          <w:jc w:val="center"/>
        </w:trPr>
        <w:tc>
          <w:tcPr>
            <w:tcW w:w="2447" w:type="dxa"/>
            <w:tcBorders>
              <w:top w:val="single" w:sz="8" w:space="0" w:color="auto"/>
              <w:left w:val="single" w:sz="8" w:space="0" w:color="auto"/>
              <w:bottom w:val="single" w:sz="8" w:space="0" w:color="auto"/>
              <w:right w:val="single" w:sz="8" w:space="0" w:color="auto"/>
            </w:tcBorders>
            <w:noWrap w:val="0"/>
            <w:vAlign w:val="center"/>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100-500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0.70%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1.10%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0.80%</w:t>
            </w:r>
          </w:p>
        </w:tc>
      </w:tr>
      <w:tr>
        <w:tblPrEx>
          <w:tblW w:w="0" w:type="auto"/>
          <w:jc w:val="center"/>
          <w:tblLayout w:type="fixed"/>
          <w:tblCellMar>
            <w:top w:w="0" w:type="dxa"/>
            <w:left w:w="108" w:type="dxa"/>
            <w:bottom w:w="0" w:type="dxa"/>
            <w:right w:w="108" w:type="dxa"/>
          </w:tblCellMar>
        </w:tblPrEx>
        <w:trPr>
          <w:trHeight w:val="402"/>
          <w:jc w:val="center"/>
        </w:trPr>
        <w:tc>
          <w:tcPr>
            <w:tcW w:w="2447" w:type="dxa"/>
            <w:tcBorders>
              <w:top w:val="single" w:sz="8" w:space="0" w:color="auto"/>
              <w:left w:val="single" w:sz="8" w:space="0" w:color="auto"/>
              <w:bottom w:val="single" w:sz="8" w:space="0" w:color="auto"/>
              <w:right w:val="single" w:sz="8" w:space="0" w:color="auto"/>
            </w:tcBorders>
            <w:noWrap w:val="0"/>
            <w:vAlign w:val="center"/>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500-1000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0.55%</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0.80%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0.45%</w:t>
            </w:r>
          </w:p>
        </w:tc>
      </w:tr>
      <w:tr>
        <w:tblPrEx>
          <w:tblW w:w="0" w:type="auto"/>
          <w:jc w:val="center"/>
          <w:tblLayout w:type="fixed"/>
          <w:tblCellMar>
            <w:top w:w="0" w:type="dxa"/>
            <w:left w:w="108" w:type="dxa"/>
            <w:bottom w:w="0" w:type="dxa"/>
            <w:right w:w="108" w:type="dxa"/>
          </w:tblCellMar>
        </w:tblPrEx>
        <w:trPr>
          <w:trHeight w:val="402"/>
          <w:jc w:val="center"/>
        </w:trPr>
        <w:tc>
          <w:tcPr>
            <w:tcW w:w="2447" w:type="dxa"/>
            <w:tcBorders>
              <w:top w:val="single" w:sz="8" w:space="0" w:color="auto"/>
              <w:left w:val="single" w:sz="8" w:space="0" w:color="auto"/>
              <w:bottom w:val="single" w:sz="8" w:space="0" w:color="auto"/>
              <w:right w:val="single" w:sz="8" w:space="0" w:color="auto"/>
            </w:tcBorders>
            <w:noWrap w:val="0"/>
            <w:vAlign w:val="center"/>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1000-5000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0.35%</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0.50%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0.25%</w:t>
            </w:r>
          </w:p>
        </w:tc>
      </w:tr>
      <w:tr>
        <w:tblPrEx>
          <w:tblW w:w="0" w:type="auto"/>
          <w:jc w:val="center"/>
          <w:tblLayout w:type="fixed"/>
          <w:tblCellMar>
            <w:top w:w="0" w:type="dxa"/>
            <w:left w:w="108" w:type="dxa"/>
            <w:bottom w:w="0" w:type="dxa"/>
            <w:right w:w="108" w:type="dxa"/>
          </w:tblCellMar>
        </w:tblPrEx>
        <w:trPr>
          <w:trHeight w:val="402"/>
          <w:jc w:val="center"/>
        </w:trPr>
        <w:tc>
          <w:tcPr>
            <w:tcW w:w="2447" w:type="dxa"/>
            <w:tcBorders>
              <w:top w:val="single" w:sz="8" w:space="0" w:color="auto"/>
              <w:left w:val="single" w:sz="8" w:space="0" w:color="auto"/>
              <w:bottom w:val="single" w:sz="8" w:space="0" w:color="auto"/>
              <w:right w:val="single" w:sz="8" w:space="0" w:color="auto"/>
            </w:tcBorders>
            <w:noWrap w:val="0"/>
            <w:vAlign w:val="center"/>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5000-10000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0.20%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0.25%</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0.10%</w:t>
            </w:r>
          </w:p>
        </w:tc>
      </w:tr>
      <w:tr>
        <w:tblPrEx>
          <w:tblW w:w="0" w:type="auto"/>
          <w:jc w:val="center"/>
          <w:tblLayout w:type="fixed"/>
          <w:tblCellMar>
            <w:top w:w="0" w:type="dxa"/>
            <w:left w:w="108" w:type="dxa"/>
            <w:bottom w:w="0" w:type="dxa"/>
            <w:right w:w="108" w:type="dxa"/>
          </w:tblCellMar>
        </w:tblPrEx>
        <w:trPr>
          <w:trHeight w:val="402"/>
          <w:jc w:val="center"/>
        </w:trPr>
        <w:tc>
          <w:tcPr>
            <w:tcW w:w="2447" w:type="dxa"/>
            <w:tcBorders>
              <w:top w:val="single" w:sz="8" w:space="0" w:color="auto"/>
              <w:left w:val="single" w:sz="8" w:space="0" w:color="auto"/>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10000-50000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0.05%</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0.05%</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0.05%</w:t>
            </w:r>
          </w:p>
        </w:tc>
      </w:tr>
      <w:tr>
        <w:tblPrEx>
          <w:tblW w:w="0" w:type="auto"/>
          <w:jc w:val="center"/>
          <w:tblLayout w:type="fixed"/>
          <w:tblCellMar>
            <w:top w:w="0" w:type="dxa"/>
            <w:left w:w="108" w:type="dxa"/>
            <w:bottom w:w="0" w:type="dxa"/>
            <w:right w:w="108" w:type="dxa"/>
          </w:tblCellMar>
        </w:tblPrEx>
        <w:trPr>
          <w:trHeight w:val="402"/>
          <w:jc w:val="center"/>
        </w:trPr>
        <w:tc>
          <w:tcPr>
            <w:tcW w:w="2447" w:type="dxa"/>
            <w:tcBorders>
              <w:top w:val="single" w:sz="8" w:space="0" w:color="auto"/>
              <w:left w:val="single" w:sz="8" w:space="0" w:color="auto"/>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50000-100000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0.035%</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0.035%</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0.035%</w:t>
            </w:r>
          </w:p>
        </w:tc>
      </w:tr>
      <w:tr>
        <w:tblPrEx>
          <w:tblW w:w="0" w:type="auto"/>
          <w:jc w:val="center"/>
          <w:tblLayout w:type="fixed"/>
          <w:tblCellMar>
            <w:top w:w="0" w:type="dxa"/>
            <w:left w:w="108" w:type="dxa"/>
            <w:bottom w:w="0" w:type="dxa"/>
            <w:right w:w="108" w:type="dxa"/>
          </w:tblCellMar>
        </w:tblPrEx>
        <w:trPr>
          <w:trHeight w:val="402"/>
          <w:jc w:val="center"/>
        </w:trPr>
        <w:tc>
          <w:tcPr>
            <w:tcW w:w="2447" w:type="dxa"/>
            <w:tcBorders>
              <w:top w:val="single" w:sz="8" w:space="0" w:color="auto"/>
              <w:left w:val="single" w:sz="8" w:space="0" w:color="auto"/>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100000-500000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0.008%</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0.008%</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0.008%</w:t>
            </w:r>
          </w:p>
        </w:tc>
      </w:tr>
      <w:tr>
        <w:tblPrEx>
          <w:tblW w:w="0" w:type="auto"/>
          <w:jc w:val="center"/>
          <w:tblLayout w:type="fixed"/>
          <w:tblCellMar>
            <w:top w:w="0" w:type="dxa"/>
            <w:left w:w="108" w:type="dxa"/>
            <w:bottom w:w="0" w:type="dxa"/>
            <w:right w:w="108" w:type="dxa"/>
          </w:tblCellMar>
        </w:tblPrEx>
        <w:trPr>
          <w:trHeight w:val="402"/>
          <w:jc w:val="center"/>
        </w:trPr>
        <w:tc>
          <w:tcPr>
            <w:tcW w:w="2447" w:type="dxa"/>
            <w:tcBorders>
              <w:top w:val="single" w:sz="8" w:space="0" w:color="auto"/>
              <w:left w:val="single" w:sz="8" w:space="0" w:color="auto"/>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500000-1000000</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0.006%</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0.006%</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0.006%</w:t>
            </w:r>
          </w:p>
        </w:tc>
      </w:tr>
      <w:tr>
        <w:tblPrEx>
          <w:tblW w:w="0" w:type="auto"/>
          <w:jc w:val="center"/>
          <w:tblLayout w:type="fixed"/>
          <w:tblCellMar>
            <w:top w:w="0" w:type="dxa"/>
            <w:left w:w="108" w:type="dxa"/>
            <w:bottom w:w="0" w:type="dxa"/>
            <w:right w:w="108" w:type="dxa"/>
          </w:tblCellMar>
        </w:tblPrEx>
        <w:trPr>
          <w:trHeight w:val="402"/>
          <w:jc w:val="center"/>
        </w:trPr>
        <w:tc>
          <w:tcPr>
            <w:tcW w:w="2447" w:type="dxa"/>
            <w:tcBorders>
              <w:top w:val="single" w:sz="8" w:space="0" w:color="auto"/>
              <w:left w:val="single" w:sz="8" w:space="0" w:color="auto"/>
              <w:bottom w:val="single" w:sz="8" w:space="0" w:color="auto"/>
              <w:right w:val="single" w:sz="8" w:space="0" w:color="auto"/>
            </w:tcBorders>
            <w:noWrap w:val="0"/>
            <w:vAlign w:val="center"/>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1000000以上</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0.004%</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0.004%</w:t>
            </w:r>
          </w:p>
        </w:tc>
        <w:tc>
          <w:tcPr>
            <w:tcW w:w="1788" w:type="dxa"/>
            <w:tcBorders>
              <w:top w:val="single" w:sz="8" w:space="0" w:color="auto"/>
              <w:left w:val="nil"/>
              <w:bottom w:val="single" w:sz="8" w:space="0" w:color="auto"/>
              <w:right w:val="single" w:sz="8" w:space="0" w:color="auto"/>
            </w:tcBorders>
            <w:noWrap w:val="0"/>
            <w:vAlign w:val="top"/>
          </w:tcPr>
          <w:p>
            <w:pPr>
              <w:keepNext w:val="0"/>
              <w:keepLines w:val="0"/>
              <w:suppressLineNumbers w:val="0"/>
              <w:snapToGrid w:val="0"/>
              <w:spacing w:before="0" w:beforeAutospacing="0" w:after="0" w:afterAutospacing="0" w:line="360" w:lineRule="auto"/>
              <w:ind w:left="0" w:right="0" w:firstLine="412" w:firstLineChars="196"/>
              <w:rPr>
                <w:rFonts w:ascii="宋体" w:eastAsia="宋体" w:hAnsi="宋体" w:cs="Times New Roman"/>
                <w:szCs w:val="21"/>
              </w:rPr>
            </w:pPr>
            <w:r>
              <w:rPr>
                <w:rFonts w:ascii="宋体" w:eastAsia="宋体" w:hAnsi="宋体" w:cs="Times New Roman" w:hint="eastAsia"/>
                <w:szCs w:val="21"/>
              </w:rPr>
              <w:t>0.004%</w:t>
            </w:r>
          </w:p>
        </w:tc>
      </w:tr>
    </w:tbl>
    <w:p>
      <w:pPr>
        <w:snapToGrid w:val="0"/>
        <w:spacing w:line="360" w:lineRule="auto"/>
        <w:ind w:firstLine="412" w:firstLineChars="196"/>
        <w:rPr>
          <w:rFonts w:ascii="宋体" w:hAnsi="宋体"/>
          <w:szCs w:val="21"/>
        </w:rPr>
      </w:pPr>
      <w:r>
        <w:rPr>
          <w:rFonts w:ascii="宋体" w:hAnsi="宋体"/>
          <w:szCs w:val="21"/>
        </w:rPr>
        <w:t>例如：某</w:t>
      </w:r>
      <w:r>
        <w:rPr>
          <w:rFonts w:ascii="宋体" w:hAnsi="宋体" w:hint="eastAsia"/>
          <w:b/>
          <w:szCs w:val="21"/>
        </w:rPr>
        <w:t>服务</w:t>
      </w:r>
      <w:r>
        <w:rPr>
          <w:rFonts w:ascii="宋体" w:hAnsi="宋体"/>
          <w:b/>
          <w:szCs w:val="21"/>
        </w:rPr>
        <w:t>招标代理业务</w:t>
      </w:r>
      <w:r>
        <w:rPr>
          <w:rFonts w:ascii="宋体" w:hAnsi="宋体"/>
          <w:szCs w:val="21"/>
        </w:rPr>
        <w:t>中标金额为</w:t>
      </w:r>
      <w:r>
        <w:rPr>
          <w:rFonts w:ascii="宋体" w:hAnsi="宋体" w:hint="eastAsia"/>
          <w:szCs w:val="21"/>
        </w:rPr>
        <w:t>300</w:t>
      </w:r>
      <w:r>
        <w:rPr>
          <w:rFonts w:ascii="宋体" w:hAnsi="宋体"/>
          <w:szCs w:val="21"/>
        </w:rPr>
        <w:t>万元，计算招标代理服务收费额如下：</w:t>
      </w:r>
    </w:p>
    <w:p>
      <w:pPr>
        <w:snapToGrid w:val="0"/>
        <w:spacing w:line="360" w:lineRule="auto"/>
        <w:ind w:firstLine="412" w:firstLineChars="196"/>
        <w:rPr>
          <w:rFonts w:ascii="宋体" w:hAnsi="宋体"/>
          <w:szCs w:val="21"/>
        </w:rPr>
      </w:pPr>
      <w:r>
        <w:rPr>
          <w:rFonts w:ascii="宋体" w:hAnsi="宋体"/>
          <w:szCs w:val="21"/>
        </w:rPr>
        <w:t>100万元×1.</w:t>
      </w:r>
      <w:r>
        <w:rPr>
          <w:rFonts w:ascii="宋体" w:hAnsi="宋体" w:hint="eastAsia"/>
          <w:szCs w:val="21"/>
        </w:rPr>
        <w:t>5</w:t>
      </w:r>
      <w:r>
        <w:rPr>
          <w:rFonts w:ascii="宋体" w:hAnsi="宋体"/>
          <w:szCs w:val="21"/>
        </w:rPr>
        <w:t>%=1</w:t>
      </w:r>
      <w:r>
        <w:rPr>
          <w:rFonts w:ascii="宋体" w:hAnsi="宋体" w:hint="eastAsia"/>
          <w:szCs w:val="21"/>
        </w:rPr>
        <w:t>.5</w:t>
      </w:r>
      <w:r>
        <w:rPr>
          <w:rFonts w:ascii="宋体" w:hAnsi="宋体"/>
          <w:szCs w:val="21"/>
        </w:rPr>
        <w:t>万元</w:t>
      </w:r>
    </w:p>
    <w:p>
      <w:pPr>
        <w:snapToGrid w:val="0"/>
        <w:spacing w:line="360" w:lineRule="auto"/>
        <w:ind w:firstLine="412" w:firstLineChars="196"/>
        <w:rPr>
          <w:rFonts w:ascii="宋体" w:hAnsi="宋体"/>
          <w:szCs w:val="21"/>
        </w:rPr>
      </w:pPr>
      <w:r>
        <w:rPr>
          <w:rFonts w:ascii="宋体" w:hAnsi="宋体"/>
          <w:szCs w:val="21"/>
        </w:rPr>
        <w:t>（</w:t>
      </w:r>
      <w:r>
        <w:rPr>
          <w:rFonts w:ascii="宋体" w:hAnsi="宋体" w:hint="eastAsia"/>
          <w:szCs w:val="21"/>
        </w:rPr>
        <w:t>3</w:t>
      </w:r>
      <w:r>
        <w:rPr>
          <w:rFonts w:ascii="宋体" w:hAnsi="宋体"/>
          <w:szCs w:val="21"/>
        </w:rPr>
        <w:t>00-100）万元×</w:t>
      </w:r>
      <w:r>
        <w:rPr>
          <w:rFonts w:ascii="宋体" w:hAnsi="宋体" w:hint="eastAsia"/>
          <w:szCs w:val="21"/>
        </w:rPr>
        <w:t>0.8</w:t>
      </w:r>
      <w:r>
        <w:rPr>
          <w:rFonts w:ascii="宋体" w:hAnsi="宋体"/>
          <w:szCs w:val="21"/>
        </w:rPr>
        <w:t>%=</w:t>
      </w:r>
      <w:r>
        <w:rPr>
          <w:rFonts w:ascii="宋体" w:hAnsi="宋体" w:hint="eastAsia"/>
          <w:szCs w:val="21"/>
        </w:rPr>
        <w:t>1.6</w:t>
      </w:r>
      <w:r>
        <w:rPr>
          <w:rFonts w:ascii="宋体" w:hAnsi="宋体"/>
          <w:szCs w:val="21"/>
        </w:rPr>
        <w:t>万元</w:t>
      </w:r>
    </w:p>
    <w:p>
      <w:pPr>
        <w:snapToGrid w:val="0"/>
        <w:spacing w:line="360" w:lineRule="auto"/>
        <w:ind w:firstLine="412" w:firstLineChars="196"/>
        <w:rPr>
          <w:rFonts w:ascii="宋体" w:hAnsi="宋体" w:hint="eastAsia"/>
          <w:b/>
          <w:szCs w:val="21"/>
        </w:rPr>
      </w:pPr>
      <w:r>
        <w:rPr>
          <w:rFonts w:ascii="宋体" w:hAnsi="宋体"/>
          <w:szCs w:val="21"/>
        </w:rPr>
        <w:t>合计收费=1</w:t>
      </w:r>
      <w:r>
        <w:rPr>
          <w:rFonts w:ascii="宋体" w:hAnsi="宋体" w:hint="eastAsia"/>
          <w:szCs w:val="21"/>
        </w:rPr>
        <w:t>.5</w:t>
      </w:r>
      <w:r>
        <w:rPr>
          <w:rFonts w:ascii="宋体" w:hAnsi="宋体"/>
          <w:szCs w:val="21"/>
        </w:rPr>
        <w:t>+</w:t>
      </w:r>
      <w:r>
        <w:rPr>
          <w:rFonts w:ascii="宋体" w:hAnsi="宋体" w:hint="eastAsia"/>
          <w:szCs w:val="21"/>
        </w:rPr>
        <w:t>1.6</w:t>
      </w:r>
      <w:r>
        <w:rPr>
          <w:rFonts w:ascii="宋体" w:hAnsi="宋体"/>
          <w:szCs w:val="21"/>
        </w:rPr>
        <w:t>=</w:t>
      </w:r>
      <w:r>
        <w:rPr>
          <w:rFonts w:ascii="宋体" w:hAnsi="宋体" w:hint="eastAsia"/>
          <w:szCs w:val="21"/>
        </w:rPr>
        <w:t>3.1</w:t>
      </w:r>
      <w:r>
        <w:rPr>
          <w:rFonts w:ascii="宋体" w:hAnsi="宋体"/>
          <w:szCs w:val="21"/>
        </w:rPr>
        <w:t>万元</w:t>
      </w:r>
      <w:r>
        <w:rPr>
          <w:rFonts w:ascii="宋体" w:hAnsi="宋体" w:hint="eastAsia"/>
          <w:szCs w:val="21"/>
        </w:rPr>
        <w:t>。</w:t>
      </w:r>
    </w:p>
    <w:p>
      <w:pPr>
        <w:snapToGrid w:val="0"/>
        <w:spacing w:line="360" w:lineRule="auto"/>
        <w:ind w:firstLine="412" w:firstLineChars="196"/>
        <w:rPr>
          <w:rFonts w:ascii="宋体" w:hAnsi="宋体"/>
          <w:szCs w:val="21"/>
        </w:rPr>
      </w:pPr>
      <w:r>
        <w:rPr>
          <w:rFonts w:ascii="宋体" w:hAnsi="宋体" w:hint="eastAsia"/>
          <w:szCs w:val="21"/>
        </w:rPr>
        <w:t>50.2 本项目由中标方向招标代理机构支付招标代理服务费。</w:t>
      </w:r>
    </w:p>
    <w:p>
      <w:pPr>
        <w:spacing w:line="360" w:lineRule="auto"/>
        <w:ind w:left="420" w:leftChars="200"/>
        <w:rPr>
          <w:rFonts w:ascii="宋体" w:hAnsi="宋体"/>
          <w:szCs w:val="21"/>
        </w:rPr>
      </w:pPr>
      <w:r>
        <w:rPr>
          <w:rFonts w:ascii="宋体" w:hAnsi="宋体" w:hint="eastAsia"/>
          <w:szCs w:val="21"/>
        </w:rPr>
        <w:t>50.3 招标代理服务费以转账、银行汇票形式交付。</w:t>
      </w:r>
    </w:p>
    <w:p>
      <w:pPr>
        <w:pStyle w:val="Heading2"/>
        <w:spacing w:line="360" w:lineRule="auto"/>
        <w:jc w:val="center"/>
        <w:rPr>
          <w:rFonts w:hint="eastAsia"/>
        </w:rPr>
      </w:pPr>
      <w:bookmarkStart w:id="286" w:name="_Toc15479772"/>
      <w:bookmarkStart w:id="287" w:name="_Toc15479397"/>
      <w:bookmarkStart w:id="288" w:name="_Toc20639"/>
      <w:bookmarkStart w:id="289" w:name="_Toc726"/>
      <w:bookmarkStart w:id="290" w:name="_Toc18782"/>
      <w:bookmarkStart w:id="291" w:name="_Toc1889"/>
      <w:bookmarkStart w:id="292" w:name="_Toc256000014"/>
      <w:r>
        <w:rPr>
          <w:rFonts w:hint="eastAsia"/>
        </w:rPr>
        <w:t>第十一章 项目质疑受理</w:t>
      </w:r>
      <w:bookmarkEnd w:id="286"/>
      <w:bookmarkEnd w:id="287"/>
      <w:r>
        <w:rPr>
          <w:rFonts w:hint="eastAsia"/>
        </w:rPr>
        <w:t>与答复</w:t>
      </w:r>
      <w:bookmarkEnd w:id="292"/>
      <w:bookmarkEnd w:id="288"/>
      <w:bookmarkEnd w:id="289"/>
      <w:bookmarkEnd w:id="290"/>
      <w:bookmarkEnd w:id="291"/>
    </w:p>
    <w:p>
      <w:pPr>
        <w:spacing w:line="360" w:lineRule="auto"/>
        <w:rPr>
          <w:rFonts w:ascii="黑体" w:eastAsia="黑体" w:hAnsi="宋体"/>
          <w:sz w:val="24"/>
        </w:rPr>
      </w:pPr>
      <w:r>
        <w:rPr>
          <w:rFonts w:ascii="黑体" w:eastAsia="黑体" w:hAnsi="宋体" w:hint="eastAsia"/>
          <w:sz w:val="24"/>
        </w:rPr>
        <w:t>51. 质疑提出与答复</w:t>
      </w:r>
    </w:p>
    <w:p>
      <w:pPr>
        <w:spacing w:line="360" w:lineRule="auto"/>
        <w:ind w:firstLine="420"/>
        <w:rPr>
          <w:rFonts w:ascii="宋体" w:hAnsi="宋体"/>
          <w:szCs w:val="21"/>
        </w:rPr>
      </w:pPr>
      <w:r>
        <w:rPr>
          <w:rFonts w:ascii="宋体" w:hAnsi="宋体" w:hint="eastAsia"/>
          <w:szCs w:val="21"/>
        </w:rPr>
        <w:t>51.1提出质疑</w:t>
      </w:r>
    </w:p>
    <w:p>
      <w:pPr>
        <w:spacing w:line="360" w:lineRule="auto"/>
        <w:rPr>
          <w:rFonts w:ascii="宋体" w:hAnsi="宋体"/>
          <w:szCs w:val="21"/>
        </w:rPr>
      </w:pPr>
      <w:r>
        <w:rPr>
          <w:rFonts w:ascii="宋体" w:hAnsi="宋体" w:hint="eastAsia"/>
          <w:szCs w:val="21"/>
        </w:rPr>
        <w:t xml:space="preserve">    参与本项目采购活动的供应商认为自己的权益在采购活动中受到损害的，应当自知道或者应当知道其权益受到损害之日起七个工作日内向采购人、政府采购代理机构以书面形式提出质疑。</w:t>
      </w:r>
    </w:p>
    <w:p>
      <w:pPr>
        <w:spacing w:line="360" w:lineRule="auto"/>
        <w:ind w:firstLine="420"/>
        <w:rPr>
          <w:rFonts w:ascii="宋体" w:hAnsi="宋体"/>
          <w:szCs w:val="21"/>
        </w:rPr>
      </w:pPr>
      <w:r>
        <w:rPr>
          <w:rFonts w:ascii="宋体" w:hAnsi="宋体" w:hint="eastAsia"/>
          <w:szCs w:val="21"/>
        </w:rPr>
        <w:t>51.2</w:t>
      </w:r>
      <w:r>
        <w:rPr>
          <w:rFonts w:ascii="宋体" w:hAnsi="宋体"/>
          <w:szCs w:val="21"/>
        </w:rPr>
        <w:t>法律依据</w:t>
      </w:r>
    </w:p>
    <w:p>
      <w:pPr>
        <w:spacing w:line="360" w:lineRule="auto"/>
        <w:ind w:firstLine="420"/>
        <w:rPr>
          <w:rFonts w:ascii="宋体" w:hAnsi="宋体"/>
          <w:szCs w:val="21"/>
        </w:rPr>
      </w:pPr>
      <w:r>
        <w:rPr>
          <w:rFonts w:ascii="宋体" w:hAnsi="宋体" w:hint="eastAsia"/>
          <w:szCs w:val="21"/>
        </w:rPr>
        <w:t>《中华人民共和国政府采购法》、《中华人民共和国政府采购法实施条例》、</w:t>
      </w:r>
      <w:r>
        <w:rPr>
          <w:rFonts w:ascii="宋体" w:hAnsi="宋体"/>
          <w:szCs w:val="21"/>
        </w:rPr>
        <w:t>《</w:t>
      </w:r>
      <w:r>
        <w:rPr>
          <w:rFonts w:ascii="宋体" w:hAnsi="宋体" w:hint="eastAsia"/>
          <w:szCs w:val="21"/>
        </w:rPr>
        <w:t>深圳经济特区政府采购</w:t>
      </w:r>
      <w:r>
        <w:rPr>
          <w:rFonts w:ascii="宋体" w:hAnsi="宋体"/>
          <w:szCs w:val="21"/>
        </w:rPr>
        <w:t>条例</w:t>
      </w:r>
      <w:r>
        <w:rPr>
          <w:rFonts w:ascii="宋体" w:hAnsi="宋体" w:hint="eastAsia"/>
          <w:szCs w:val="21"/>
        </w:rPr>
        <w:t>》、《深圳经济特区政府采购条例实施细则》、《政府采购质疑和投诉办法》（财政部令第94号）和其他有关法律法规规定。</w:t>
      </w:r>
    </w:p>
    <w:p>
      <w:pPr>
        <w:spacing w:line="360" w:lineRule="auto"/>
        <w:ind w:firstLine="420"/>
        <w:rPr>
          <w:rFonts w:ascii="宋体" w:hAnsi="宋体"/>
          <w:szCs w:val="21"/>
        </w:rPr>
      </w:pPr>
      <w:r>
        <w:rPr>
          <w:rFonts w:ascii="宋体" w:hAnsi="宋体" w:hint="eastAsia"/>
          <w:szCs w:val="21"/>
        </w:rPr>
        <w:t>51.3质疑条件</w:t>
      </w:r>
    </w:p>
    <w:p>
      <w:pPr>
        <w:spacing w:line="360" w:lineRule="auto"/>
        <w:ind w:firstLine="420"/>
        <w:rPr>
          <w:rFonts w:ascii="宋体" w:hAnsi="宋体"/>
          <w:szCs w:val="21"/>
        </w:rPr>
      </w:pPr>
      <w:r>
        <w:rPr>
          <w:rFonts w:ascii="宋体" w:hAnsi="宋体" w:hint="eastAsia"/>
          <w:szCs w:val="21"/>
        </w:rPr>
        <w:t>51.3.1提出质疑的供应商应当是参与所质疑项目采购活动的供应商；</w:t>
      </w:r>
    </w:p>
    <w:p>
      <w:pPr>
        <w:spacing w:line="360" w:lineRule="auto"/>
        <w:ind w:firstLine="420"/>
        <w:rPr>
          <w:rFonts w:ascii="宋体" w:hAnsi="宋体"/>
          <w:szCs w:val="21"/>
        </w:rPr>
      </w:pPr>
      <w:r>
        <w:rPr>
          <w:rFonts w:ascii="宋体" w:hAnsi="宋体" w:hint="eastAsia"/>
          <w:szCs w:val="21"/>
        </w:rPr>
        <w:t>51.3.2应当在法定质疑期内一次性提出针对同一采购程序环节的质疑，法定质疑期为自知道或应当知道权益受到损害之日起七个工作日内。应当知道其权益受到损害之日是指：对采购文件的质疑，为采购文件公布之日；对采购过程的质疑，为各采购程序环节结束之日；对中标或者成交结果以及评审委员会、谈判小组、竞价小组组成人员的质疑，为中标或者成交结果公示之日。</w:t>
      </w:r>
    </w:p>
    <w:p>
      <w:pPr>
        <w:spacing w:line="360" w:lineRule="auto"/>
        <w:ind w:firstLine="420"/>
        <w:rPr>
          <w:rFonts w:ascii="宋体" w:hAnsi="宋体" w:cs="Segoe UI"/>
          <w:sz w:val="22"/>
          <w:szCs w:val="22"/>
        </w:rPr>
      </w:pPr>
      <w:r>
        <w:rPr>
          <w:rFonts w:ascii="宋体" w:hAnsi="宋体" w:hint="eastAsia"/>
          <w:szCs w:val="21"/>
        </w:rPr>
        <w:t>51.3.3应提交书面质疑函，质疑函应当包括以下内容：（1）具体、明确的质疑事项和与质疑事项相关的请求；（2）合理的事实和依据；（3）必要的证明材料和法律依据。注：质疑函范本可在深圳公共资源交易网网站下载。</w:t>
      </w:r>
    </w:p>
    <w:p>
      <w:pPr>
        <w:spacing w:line="360" w:lineRule="auto"/>
        <w:ind w:firstLine="420"/>
        <w:rPr>
          <w:rFonts w:ascii="宋体" w:hAnsi="宋体"/>
          <w:szCs w:val="21"/>
        </w:rPr>
      </w:pPr>
      <w:r>
        <w:rPr>
          <w:rFonts w:ascii="宋体" w:hAnsi="宋体" w:hint="eastAsia"/>
          <w:szCs w:val="21"/>
        </w:rPr>
        <w:t>51.4提交</w:t>
      </w:r>
      <w:r>
        <w:rPr>
          <w:rFonts w:ascii="宋体" w:hAnsi="宋体"/>
          <w:szCs w:val="21"/>
        </w:rPr>
        <w:t>材料</w:t>
      </w:r>
    </w:p>
    <w:p>
      <w:pPr>
        <w:spacing w:line="360" w:lineRule="auto"/>
        <w:ind w:firstLine="420"/>
        <w:rPr>
          <w:rFonts w:ascii="宋体" w:hAnsi="宋体"/>
          <w:szCs w:val="21"/>
        </w:rPr>
      </w:pPr>
      <w:r>
        <w:rPr>
          <w:rFonts w:ascii="宋体" w:hAnsi="宋体" w:hint="eastAsia"/>
          <w:szCs w:val="21"/>
        </w:rPr>
        <w:t>质疑函、营业执照复印件、法定代表人证明。如委托代理人提交的，还需提交授权委托书及代理人身份证明。</w:t>
      </w:r>
    </w:p>
    <w:p>
      <w:pPr>
        <w:spacing w:line="360" w:lineRule="auto"/>
        <w:ind w:firstLine="420"/>
        <w:rPr>
          <w:rFonts w:ascii="宋体" w:hAnsi="宋体"/>
          <w:szCs w:val="21"/>
        </w:rPr>
      </w:pPr>
      <w:r>
        <w:rPr>
          <w:rFonts w:ascii="宋体" w:hAnsi="宋体" w:hint="eastAsia"/>
          <w:szCs w:val="21"/>
        </w:rPr>
        <w:t>51.5收文部门</w:t>
      </w:r>
    </w:p>
    <w:p>
      <w:pPr>
        <w:spacing w:line="360" w:lineRule="auto"/>
        <w:ind w:firstLine="420"/>
        <w:rPr>
          <w:rFonts w:ascii="宋体" w:hAnsi="宋体"/>
          <w:szCs w:val="21"/>
        </w:rPr>
      </w:pPr>
      <w:r>
        <w:rPr>
          <w:rFonts w:ascii="宋体" w:hAnsi="宋体" w:hint="eastAsia"/>
          <w:szCs w:val="21"/>
        </w:rPr>
        <w:t>政府采购代理机构处，详细收文地址、联系人、联系方法见招标公告。</w:t>
      </w:r>
    </w:p>
    <w:p>
      <w:pPr>
        <w:spacing w:line="360" w:lineRule="auto"/>
        <w:ind w:firstLine="420"/>
        <w:rPr>
          <w:rFonts w:ascii="宋体" w:hAnsi="宋体"/>
          <w:szCs w:val="21"/>
        </w:rPr>
      </w:pPr>
      <w:r>
        <w:rPr>
          <w:rFonts w:ascii="宋体" w:hAnsi="宋体" w:hint="eastAsia"/>
          <w:szCs w:val="21"/>
        </w:rPr>
        <w:t>51.6收文办理</w:t>
      </w:r>
      <w:r>
        <w:rPr>
          <w:rFonts w:ascii="宋体" w:hAnsi="宋体"/>
          <w:szCs w:val="21"/>
        </w:rPr>
        <w:t>程序</w:t>
      </w:r>
    </w:p>
    <w:p>
      <w:pPr>
        <w:spacing w:line="360" w:lineRule="auto"/>
        <w:ind w:firstLine="420"/>
        <w:rPr>
          <w:rFonts w:ascii="宋体" w:hAnsi="宋体"/>
          <w:szCs w:val="21"/>
        </w:rPr>
      </w:pPr>
      <w:r>
        <w:rPr>
          <w:rFonts w:ascii="宋体" w:hAnsi="宋体" w:hint="eastAsia"/>
          <w:szCs w:val="21"/>
        </w:rPr>
        <w:t>51.6.1供应商提交的质疑材料符合质疑条件的办理收文，出具收文回执；</w:t>
      </w:r>
    </w:p>
    <w:p>
      <w:pPr>
        <w:spacing w:line="360" w:lineRule="auto"/>
        <w:ind w:firstLine="420"/>
        <w:rPr>
          <w:rFonts w:ascii="宋体" w:hAnsi="宋体"/>
          <w:szCs w:val="21"/>
        </w:rPr>
      </w:pPr>
      <w:r>
        <w:rPr>
          <w:rFonts w:ascii="宋体" w:hAnsi="宋体" w:hint="eastAsia"/>
          <w:szCs w:val="21"/>
        </w:rPr>
        <w:t>51.6.2供应商提交的质疑材料不符合质疑条件的，视情况处理：（1）质疑主体、时限不符合的，不予收文；（2）质疑函内容、提交人身份证明不符合的，开具补正告知书，供应商可在质疑期内补正后重新提交。</w:t>
      </w:r>
    </w:p>
    <w:p>
      <w:pPr>
        <w:spacing w:line="360" w:lineRule="auto"/>
        <w:ind w:firstLine="420"/>
        <w:rPr>
          <w:rFonts w:ascii="宋体" w:hAnsi="宋体"/>
          <w:szCs w:val="21"/>
        </w:rPr>
      </w:pPr>
      <w:r>
        <w:rPr>
          <w:rFonts w:ascii="宋体" w:hAnsi="宋体" w:hint="eastAsia"/>
          <w:szCs w:val="21"/>
        </w:rPr>
        <w:t>51.7质疑答复时限</w:t>
      </w:r>
    </w:p>
    <w:p>
      <w:pPr>
        <w:spacing w:line="360" w:lineRule="auto"/>
        <w:ind w:firstLine="420"/>
        <w:rPr>
          <w:rFonts w:ascii="宋体" w:hAnsi="宋体"/>
          <w:szCs w:val="21"/>
        </w:rPr>
      </w:pPr>
      <w:r>
        <w:rPr>
          <w:rFonts w:ascii="宋体" w:hAnsi="宋体" w:hint="eastAsia"/>
          <w:szCs w:val="21"/>
        </w:rPr>
        <w:t>自收文之日起七个工作日内。</w:t>
      </w:r>
    </w:p>
    <w:p>
      <w:pPr>
        <w:spacing w:line="360" w:lineRule="auto"/>
        <w:ind w:firstLine="420"/>
        <w:rPr>
          <w:rFonts w:ascii="宋体" w:hAnsi="宋体"/>
          <w:szCs w:val="21"/>
        </w:rPr>
      </w:pPr>
      <w:r>
        <w:rPr>
          <w:rFonts w:ascii="宋体" w:hAnsi="宋体" w:hint="eastAsia"/>
          <w:szCs w:val="21"/>
        </w:rPr>
        <w:t>51.8投诉</w:t>
      </w:r>
    </w:p>
    <w:p>
      <w:pPr>
        <w:spacing w:line="360" w:lineRule="auto"/>
        <w:ind w:firstLine="420"/>
        <w:rPr>
          <w:rFonts w:ascii="宋体" w:hAnsi="宋体"/>
          <w:szCs w:val="21"/>
        </w:rPr>
      </w:pPr>
      <w:r>
        <w:rPr>
          <w:rFonts w:ascii="宋体" w:hAnsi="宋体" w:hint="eastAsia"/>
          <w:szCs w:val="21"/>
        </w:rPr>
        <w:t>对质疑答复不满意或者未在规定时间内答复的，提出质疑的供应商可以在答复期满后15个工作日内向深圳市财政局投诉。</w:t>
      </w:r>
    </w:p>
    <w:p>
      <w:pPr>
        <w:spacing w:line="360" w:lineRule="auto"/>
        <w:rPr>
          <w:rFonts w:ascii="黑体" w:eastAsia="黑体" w:hAnsi="宋体"/>
          <w:sz w:val="24"/>
        </w:rPr>
      </w:pPr>
      <w:r>
        <w:rPr>
          <w:rFonts w:ascii="黑体" w:eastAsia="黑体" w:hAnsi="宋体" w:hint="eastAsia"/>
          <w:sz w:val="24"/>
        </w:rPr>
        <w:t>52. 质疑后续处理</w:t>
      </w:r>
    </w:p>
    <w:p>
      <w:pPr>
        <w:autoSpaceDE w:val="0"/>
        <w:autoSpaceDN w:val="0"/>
        <w:adjustRightInd w:val="0"/>
        <w:spacing w:line="360" w:lineRule="auto"/>
        <w:ind w:firstLine="420"/>
        <w:rPr>
          <w:rFonts w:ascii="宋体" w:hAnsi="宋体"/>
          <w:szCs w:val="21"/>
        </w:rPr>
      </w:pPr>
      <w:r>
        <w:rPr>
          <w:rFonts w:ascii="宋体" w:hAnsi="宋体" w:hint="eastAsia"/>
          <w:szCs w:val="21"/>
        </w:rPr>
        <w:t>52.1 供应商质疑不成立，或者成立但未对中标、成交结果构成影响的，继续开展采购活动。</w:t>
      </w:r>
    </w:p>
    <w:p>
      <w:pPr>
        <w:autoSpaceDE w:val="0"/>
        <w:autoSpaceDN w:val="0"/>
        <w:adjustRightInd w:val="0"/>
        <w:spacing w:line="360" w:lineRule="auto"/>
        <w:ind w:firstLine="420"/>
        <w:rPr>
          <w:rFonts w:ascii="宋体" w:hAnsi="宋体"/>
          <w:szCs w:val="21"/>
        </w:rPr>
      </w:pPr>
      <w:r>
        <w:rPr>
          <w:rFonts w:ascii="宋体" w:hAnsi="宋体" w:hint="eastAsia"/>
          <w:szCs w:val="21"/>
        </w:rPr>
        <w:t>52.2 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如果合格供应商符合法定数量，依法从合格的中标或者成交候选人中另行确定中标、成交供应商；如果合格供应商不符合法定数量，应当重新开展采购活动。</w:t>
      </w:r>
    </w:p>
    <w:p>
      <w:pPr>
        <w:spacing w:line="360" w:lineRule="auto"/>
        <w:ind w:firstLine="412" w:firstLineChars="196"/>
        <w:rPr>
          <w:rFonts w:ascii="宋体" w:hAnsi="宋体"/>
          <w:szCs w:val="21"/>
        </w:rPr>
      </w:pPr>
    </w:p>
    <w:p>
      <w:pPr>
        <w:spacing w:line="360" w:lineRule="auto"/>
        <w:ind w:firstLine="412" w:firstLineChars="196"/>
        <w:rPr>
          <w:rFonts w:ascii="宋体" w:hAnsi="宋体"/>
          <w:szCs w:val="21"/>
        </w:rPr>
      </w:pPr>
    </w:p>
    <w:p/>
    <w:p/>
    <w:p>
      <w:pPr>
        <w:rPr>
          <w:rFonts w:eastAsia="黑体"/>
          <w:b/>
          <w:sz w:val="44"/>
        </w:rPr>
      </w:pPr>
    </w:p>
    <w:p/>
    <w:p/>
    <w:p/>
    <w:p/>
    <w:p/>
    <w:p/>
    <w:p/>
    <w:p/>
    <w:p/>
    <w:p>
      <w:pPr>
        <w:pStyle w:val="BodyText"/>
      </w:pPr>
    </w:p>
    <w:p>
      <w:pPr>
        <w:pStyle w:val="BodyText2"/>
      </w:pPr>
    </w:p>
    <w:p>
      <w:pPr>
        <w:pStyle w:val="BodyText2"/>
      </w:pPr>
    </w:p>
    <w:p>
      <w:pPr>
        <w:pStyle w:val="BodyText2"/>
      </w:pPr>
    </w:p>
    <w:p>
      <w:pPr>
        <w:pStyle w:val="BodyText2"/>
      </w:pPr>
    </w:p>
    <w:p/>
    <w:p/>
    <w:p>
      <w:pPr>
        <w:pStyle w:val="Title"/>
        <w:spacing w:before="120" w:after="120"/>
        <w:rPr>
          <w:b w:val="0"/>
        </w:rPr>
      </w:pPr>
      <w:bookmarkStart w:id="293" w:name="_Toc16167"/>
      <w:bookmarkStart w:id="294" w:name="_Toc16769"/>
      <w:bookmarkStart w:id="295" w:name="_Toc3831"/>
      <w:bookmarkStart w:id="296" w:name="_Toc22417"/>
      <w:bookmarkStart w:id="297" w:name="_Toc256000015"/>
      <w:r>
        <w:rPr>
          <w:rFonts w:eastAsia="黑体" w:hint="eastAsia"/>
          <w:b w:val="0"/>
          <w:sz w:val="44"/>
        </w:rPr>
        <w:t>第二册 专用条款</w:t>
      </w:r>
      <w:bookmarkEnd w:id="297"/>
      <w:bookmarkEnd w:id="293"/>
      <w:bookmarkEnd w:id="294"/>
      <w:bookmarkEnd w:id="295"/>
      <w:bookmarkEnd w:id="296"/>
    </w:p>
    <w:p>
      <w:pPr>
        <w:pStyle w:val="Heading2"/>
        <w:jc w:val="center"/>
      </w:pPr>
      <w:r>
        <w:br w:type="page"/>
      </w:r>
      <w:bookmarkStart w:id="298" w:name="_Toc15315"/>
      <w:bookmarkStart w:id="299" w:name="_Toc16966"/>
      <w:bookmarkStart w:id="300" w:name="_Toc23692"/>
      <w:bookmarkStart w:id="301" w:name="_Toc17914"/>
      <w:bookmarkStart w:id="302" w:name="_Toc256000016"/>
      <w:r>
        <w:rPr>
          <w:rFonts w:hint="eastAsia"/>
        </w:rPr>
        <w:t>第一章 招标公告</w:t>
      </w:r>
      <w:bookmarkEnd w:id="302"/>
      <w:bookmarkEnd w:id="298"/>
      <w:bookmarkEnd w:id="299"/>
      <w:bookmarkEnd w:id="300"/>
      <w:bookmarkEnd w:id="301"/>
    </w:p>
    <w:p>
      <w:pPr>
        <w:rPr>
          <w:rFonts w:hint="eastAsia"/>
          <w:b/>
          <w:sz w:val="28"/>
          <w:szCs w:val="28"/>
        </w:rPr>
      </w:pPr>
      <w:r>
        <w:rPr>
          <w:rFonts w:hint="eastAsia"/>
          <w:b/>
          <w:sz w:val="28"/>
          <w:szCs w:val="28"/>
        </w:rPr>
        <w:t>投标人资格要求：</w:t>
      </w:r>
    </w:p>
    <w:p>
      <w:pPr>
        <w:pStyle w:val="PlainText"/>
        <w:spacing w:line="360" w:lineRule="auto"/>
        <w:ind w:firstLine="420" w:firstLineChars="200"/>
        <w:rPr>
          <w:rFonts w:hAnsi="宋体" w:cs="宋体" w:hint="eastAsia"/>
          <w:bCs/>
          <w:szCs w:val="21"/>
        </w:rPr>
      </w:pPr>
      <w:r>
        <w:rPr>
          <w:rFonts w:hAnsi="宋体" w:cs="宋体" w:hint="eastAsia"/>
          <w:bCs/>
          <w:szCs w:val="21"/>
        </w:rPr>
        <w:t>1.满足《中华人民共和国政府采购法》第二十二条规定（要求投标人提供营业执照或事业单位法人证等证明扫描件以及《政府采购投标及履约承诺函》）。</w:t>
      </w:r>
    </w:p>
    <w:p>
      <w:pPr>
        <w:pStyle w:val="PlainText"/>
        <w:spacing w:line="360" w:lineRule="auto"/>
        <w:ind w:firstLine="420" w:firstLineChars="200"/>
        <w:rPr>
          <w:rFonts w:hAnsi="宋体" w:cs="宋体" w:hint="eastAsia"/>
          <w:bCs/>
          <w:szCs w:val="21"/>
        </w:rPr>
      </w:pPr>
      <w:r>
        <w:rPr>
          <w:rFonts w:hAnsi="宋体" w:cs="宋体" w:hint="eastAsia"/>
          <w:bCs/>
          <w:szCs w:val="21"/>
        </w:rPr>
        <w:t>2.落实政府采购政策需满足的资格要求：无。</w:t>
      </w:r>
    </w:p>
    <w:p>
      <w:pPr>
        <w:pStyle w:val="PlainText"/>
        <w:spacing w:line="360" w:lineRule="auto"/>
        <w:ind w:firstLine="420" w:firstLineChars="200"/>
        <w:rPr>
          <w:rFonts w:hAnsi="宋体" w:cs="宋体" w:hint="eastAsia"/>
          <w:bCs/>
          <w:szCs w:val="21"/>
        </w:rPr>
      </w:pPr>
      <w:r>
        <w:rPr>
          <w:rFonts w:hAnsi="宋体" w:cs="宋体" w:hint="eastAsia"/>
          <w:bCs/>
          <w:szCs w:val="21"/>
        </w:rPr>
        <w:t>3.本项目的特定资格要求：无。</w:t>
      </w:r>
    </w:p>
    <w:p>
      <w:pPr>
        <w:pStyle w:val="PlainText"/>
        <w:spacing w:line="360" w:lineRule="auto"/>
        <w:ind w:firstLine="420" w:firstLineChars="200"/>
        <w:rPr>
          <w:rFonts w:hAnsi="宋体" w:cs="宋体" w:hint="eastAsia"/>
          <w:bCs/>
          <w:szCs w:val="21"/>
        </w:rPr>
      </w:pPr>
      <w:r>
        <w:rPr>
          <w:rFonts w:hAnsi="宋体" w:cs="宋体" w:hint="eastAsia"/>
          <w:bCs/>
          <w:szCs w:val="21"/>
        </w:rPr>
        <w:t>4.参与本项目投标前三年内，在经营活动中没有重大违法记录（由供应商在《政府采购投标及履约承诺函》中作出声明）。</w:t>
      </w:r>
    </w:p>
    <w:p>
      <w:pPr>
        <w:pStyle w:val="PlainText"/>
        <w:spacing w:line="360" w:lineRule="auto"/>
        <w:ind w:firstLine="420" w:firstLineChars="200"/>
        <w:rPr>
          <w:rFonts w:hAnsi="宋体" w:cs="宋体" w:hint="eastAsia"/>
          <w:bCs/>
          <w:szCs w:val="21"/>
        </w:rPr>
      </w:pPr>
      <w:r>
        <w:rPr>
          <w:rFonts w:hAnsi="宋体" w:cs="宋体" w:hint="eastAsia"/>
          <w:bCs/>
          <w:szCs w:val="21"/>
        </w:rPr>
        <w:t>5.参与本项目政府采购活动时不存在被有关部门禁止参与政府采购活动且在有效期内的情况（由供应商在《政府采购投标及履约承诺函》中作出声明）。</w:t>
      </w:r>
    </w:p>
    <w:p>
      <w:pPr>
        <w:pStyle w:val="PlainText"/>
        <w:spacing w:line="360" w:lineRule="auto"/>
        <w:ind w:firstLine="420" w:firstLineChars="200"/>
        <w:rPr>
          <w:rFonts w:hAnsi="宋体" w:cs="宋体" w:hint="eastAsia"/>
          <w:bCs/>
          <w:szCs w:val="21"/>
        </w:rPr>
      </w:pPr>
      <w:r>
        <w:rPr>
          <w:rFonts w:hAnsi="宋体" w:cs="宋体" w:hint="eastAsia"/>
          <w:bCs/>
          <w:szCs w:val="21"/>
        </w:rPr>
        <w:t>6.为采购项目提供整体设计、规范编制或者项目管理、监理、检测等服务的供应商，不得再参加该采购项目同一合同项下的其他采购活动。（由供应商在《政府采购投标及履约承诺函》中作出声明）</w:t>
      </w:r>
    </w:p>
    <w:p>
      <w:pPr>
        <w:pStyle w:val="PlainText"/>
        <w:spacing w:line="360" w:lineRule="auto"/>
        <w:ind w:firstLine="420" w:firstLineChars="200"/>
        <w:rPr>
          <w:rFonts w:hAnsi="宋体" w:cs="宋体" w:hint="eastAsia"/>
          <w:bCs/>
          <w:szCs w:val="21"/>
        </w:rPr>
      </w:pPr>
      <w:r>
        <w:rPr>
          <w:rFonts w:hAnsi="宋体" w:cs="宋体" w:hint="eastAsia"/>
          <w:bCs/>
          <w:szCs w:val="21"/>
        </w:rPr>
        <w:t>7.未被列入失信被执行人、重大税收违法案件当事人名单、政府采购严重违法失信行为记录名单（由供应商在《政府采购投标及履约承诺函》中作出声明）。注：“信用中国”中“信用服务”栏的“重大税收违法失信主体”“失信被执行人”、“中国政府采购网”中的“政府采购严重违法失信行为记录名单”、“深圳信用网”以及“深圳市政府采购监管网”为供应商信用信息的查询渠道，相关信息以开标当日的查询结果为准。</w:t>
      </w:r>
    </w:p>
    <w:p>
      <w:pPr>
        <w:pStyle w:val="PlainText"/>
        <w:spacing w:line="360" w:lineRule="auto"/>
        <w:ind w:firstLine="420" w:firstLineChars="200"/>
        <w:rPr>
          <w:rFonts w:hAnsi="宋体" w:cs="宋体" w:hint="eastAsia"/>
          <w:bCs/>
          <w:szCs w:val="21"/>
        </w:rPr>
      </w:pPr>
      <w:r>
        <w:rPr>
          <w:rFonts w:hAnsi="宋体" w:cs="宋体" w:hint="eastAsia"/>
          <w:bCs/>
          <w:szCs w:val="21"/>
        </w:rPr>
        <w:t>8.投标人不存在《深圳市财政局政府采购供应商信用信息管理办法》（深财规〔2023〕3号）列明的严重违法失信行为。（由供应商在《政府采购投标及履约承诺函》中作出声明）</w:t>
      </w:r>
    </w:p>
    <w:p>
      <w:pPr>
        <w:pStyle w:val="PlainText"/>
        <w:spacing w:line="360" w:lineRule="auto"/>
        <w:ind w:firstLine="420" w:firstLineChars="200"/>
        <w:rPr>
          <w:rFonts w:hAnsi="宋体" w:cs="宋体" w:hint="eastAsia"/>
          <w:bCs/>
          <w:szCs w:val="21"/>
        </w:rPr>
      </w:pPr>
      <w:r>
        <w:rPr>
          <w:rFonts w:hAnsi="宋体" w:cs="宋体" w:hint="eastAsia"/>
          <w:bCs/>
          <w:szCs w:val="21"/>
        </w:rPr>
        <w:t>9.投标人参加本项目投标所提供的货物或服务未侵犯知识产权（由供应商在《政府采购投标及履约承诺函》中作出声明）。</w:t>
      </w:r>
    </w:p>
    <w:p>
      <w:pPr>
        <w:pStyle w:val="PlainText"/>
        <w:spacing w:line="360" w:lineRule="auto"/>
        <w:ind w:firstLine="420" w:firstLineChars="200"/>
        <w:rPr>
          <w:rFonts w:hAnsi="宋体" w:cs="宋体" w:hint="eastAsia"/>
          <w:bCs/>
          <w:szCs w:val="21"/>
        </w:rPr>
      </w:pPr>
      <w:r>
        <w:rPr>
          <w:rFonts w:hAnsi="宋体" w:cs="宋体" w:hint="eastAsia"/>
          <w:bCs/>
          <w:szCs w:val="21"/>
        </w:rPr>
        <w:t>10.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作为证明）。</w:t>
      </w:r>
    </w:p>
    <w:p>
      <w:pPr>
        <w:pStyle w:val="PlainText"/>
        <w:spacing w:line="360" w:lineRule="auto"/>
        <w:ind w:firstLine="420" w:firstLineChars="200"/>
        <w:rPr>
          <w:rFonts w:hAnsi="宋体" w:cs="宋体" w:hint="eastAsia"/>
          <w:bCs/>
          <w:szCs w:val="21"/>
        </w:rPr>
      </w:pPr>
      <w:r>
        <w:rPr>
          <w:rFonts w:hAnsi="宋体" w:cs="宋体" w:hint="eastAsia"/>
          <w:bCs/>
          <w:szCs w:val="21"/>
        </w:rPr>
        <w:t>11.本项目不接受联合体投标。</w:t>
      </w:r>
    </w:p>
    <w:p>
      <w:pPr>
        <w:spacing w:line="360" w:lineRule="auto"/>
        <w:rPr>
          <w:rFonts w:hint="eastAsia"/>
          <w:b/>
          <w:sz w:val="24"/>
        </w:rPr>
      </w:pPr>
      <w:r>
        <w:rPr>
          <w:rFonts w:hint="eastAsia"/>
          <w:b/>
          <w:sz w:val="24"/>
        </w:rPr>
        <w:t>其他信息详见深圳公共资源交易网（</w:t>
      </w:r>
      <w:r>
        <w:rPr>
          <w:b/>
          <w:sz w:val="24"/>
        </w:rPr>
        <w:t>http://www.szggzy.com</w:t>
      </w:r>
      <w:r>
        <w:rPr>
          <w:rFonts w:hint="eastAsia"/>
          <w:b/>
          <w:sz w:val="24"/>
        </w:rPr>
        <w:t>）本项目招标公告。</w:t>
      </w:r>
    </w:p>
    <w:p>
      <w:pPr>
        <w:pStyle w:val="Heading2"/>
        <w:jc w:val="center"/>
      </w:pPr>
      <w:r>
        <w:br w:type="page"/>
      </w:r>
      <w:bookmarkStart w:id="303" w:name="_Toc26084"/>
      <w:bookmarkStart w:id="304" w:name="_Toc28976"/>
      <w:bookmarkStart w:id="305" w:name="_Toc27906"/>
      <w:bookmarkStart w:id="306" w:name="_Toc15363"/>
      <w:bookmarkStart w:id="307" w:name="_Toc256000017"/>
      <w:r>
        <w:rPr>
          <w:rFonts w:hint="eastAsia"/>
        </w:rPr>
        <w:t>第二章 关键信息</w:t>
      </w:r>
      <w:bookmarkEnd w:id="307"/>
      <w:bookmarkEnd w:id="303"/>
      <w:bookmarkEnd w:id="304"/>
      <w:bookmarkEnd w:id="305"/>
      <w:bookmarkEnd w:id="306"/>
    </w:p>
    <w:p>
      <w:pPr>
        <w:pStyle w:val="Heading3"/>
        <w:spacing w:line="400" w:lineRule="exact"/>
        <w:jc w:val="center"/>
      </w:pPr>
      <w:bookmarkStart w:id="308" w:name="_Toc24262"/>
      <w:bookmarkStart w:id="309" w:name="_Toc23071"/>
      <w:bookmarkStart w:id="310" w:name="_Toc6370"/>
      <w:bookmarkStart w:id="311" w:name="_Toc13204"/>
      <w:bookmarkStart w:id="312" w:name="_Toc256000018"/>
      <w:r>
        <w:rPr>
          <w:rFonts w:hint="eastAsia"/>
        </w:rPr>
        <w:t>一、</w:t>
      </w:r>
      <w:r>
        <w:rPr>
          <w:rFonts w:ascii="宋体" w:hAnsi="宋体" w:hint="eastAsia"/>
          <w:szCs w:val="21"/>
        </w:rPr>
        <w:t>对通用条款的补充内容</w:t>
      </w:r>
      <w:bookmarkEnd w:id="312"/>
      <w:bookmarkEnd w:id="308"/>
      <w:bookmarkEnd w:id="309"/>
      <w:bookmarkEnd w:id="310"/>
      <w:bookmarkEnd w:id="311"/>
    </w:p>
    <w:tbl>
      <w:tblPr>
        <w:tblStyle w:val="TableNorm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0" w:type="dxa"/>
          <w:left w:w="108" w:type="dxa"/>
          <w:bottom w:w="0" w:type="dxa"/>
          <w:right w:w="108" w:type="dxa"/>
        </w:tblCellMar>
      </w:tblPr>
      <w:tblGrid>
        <w:gridCol w:w="878"/>
        <w:gridCol w:w="2595"/>
        <w:gridCol w:w="5302"/>
      </w:tblGrid>
      <w:tr>
        <w:tblPrEx>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b/>
                <w:bCs/>
                <w:szCs w:val="21"/>
              </w:rPr>
            </w:pPr>
            <w:bookmarkStart w:id="313" w:name="bt总则"/>
            <w:bookmarkEnd w:id="313"/>
            <w:r>
              <w:rPr>
                <w:rFonts w:ascii="宋体" w:eastAsia="宋体" w:hAnsi="宋体" w:cs="Times New Roman" w:hint="eastAsia"/>
                <w:b/>
                <w:bCs/>
                <w:szCs w:val="21"/>
              </w:rPr>
              <w:t>序号</w:t>
            </w:r>
          </w:p>
        </w:tc>
        <w:tc>
          <w:tcPr>
            <w:tcW w:w="2595" w:type="dxa"/>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b/>
                <w:bCs/>
                <w:szCs w:val="21"/>
              </w:rPr>
            </w:pPr>
            <w:r>
              <w:rPr>
                <w:rFonts w:ascii="宋体" w:eastAsia="宋体" w:hAnsi="宋体" w:cs="Times New Roman" w:hint="eastAsia"/>
                <w:b/>
                <w:bCs/>
                <w:szCs w:val="21"/>
              </w:rPr>
              <w:t>内   容</w:t>
            </w:r>
          </w:p>
        </w:tc>
        <w:tc>
          <w:tcPr>
            <w:tcW w:w="5302" w:type="dxa"/>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b/>
                <w:bCs/>
                <w:szCs w:val="21"/>
              </w:rPr>
            </w:pPr>
            <w:r>
              <w:rPr>
                <w:rFonts w:ascii="宋体" w:eastAsia="宋体" w:hAnsi="宋体" w:cs="Times New Roman" w:hint="eastAsia"/>
                <w:b/>
                <w:bCs/>
                <w:szCs w:val="21"/>
              </w:rPr>
              <w:t>说明及规定</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1</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bCs/>
                <w:szCs w:val="21"/>
              </w:rPr>
            </w:pPr>
            <w:r>
              <w:rPr>
                <w:rFonts w:ascii="宋体" w:eastAsia="宋体" w:hAnsi="宋体" w:cs="Times New Roman" w:hint="eastAsia"/>
                <w:bCs/>
                <w:szCs w:val="21"/>
              </w:rPr>
              <w:t>资金来源</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napToGrid w:val="0"/>
                <w:kern w:val="0"/>
                <w:szCs w:val="21"/>
                <w:lang w:val="zh-CN"/>
              </w:rPr>
            </w:pPr>
            <w:r>
              <w:rPr>
                <w:rFonts w:ascii="宋体" w:eastAsia="宋体" w:hAnsi="宋体" w:cs="Times New Roman" w:hint="eastAsia"/>
                <w:snapToGrid w:val="0"/>
                <w:kern w:val="0"/>
                <w:szCs w:val="21"/>
                <w:lang w:val="zh-CN"/>
              </w:rPr>
              <w:t>财政性资金100%</w:t>
            </w:r>
          </w:p>
        </w:tc>
      </w:tr>
      <w:tr>
        <w:tblPrEx>
          <w:tblW w:w="0" w:type="auto"/>
          <w:jc w:val="center"/>
          <w:tblLayout w:type="fixed"/>
          <w:tblCellMar>
            <w:top w:w="0" w:type="dxa"/>
            <w:left w:w="108" w:type="dxa"/>
            <w:bottom w:w="0" w:type="dxa"/>
            <w:right w:w="108" w:type="dxa"/>
          </w:tblCellMar>
        </w:tblPrEx>
        <w:trPr>
          <w:cantSplit/>
          <w:trHeight w:val="237"/>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2</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bCs/>
                <w:szCs w:val="21"/>
              </w:rPr>
            </w:pPr>
            <w:r>
              <w:rPr>
                <w:rFonts w:ascii="宋体" w:eastAsia="宋体" w:hAnsi="宋体" w:cs="Times New Roman" w:hint="eastAsia"/>
                <w:bCs/>
                <w:szCs w:val="21"/>
              </w:rPr>
              <w:t>项目预算或最高限价</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宋体"/>
                <w:kern w:val="0"/>
                <w:szCs w:val="21"/>
              </w:rPr>
            </w:pPr>
            <w:r>
              <w:rPr>
                <w:rFonts w:ascii="Calibri" w:eastAsia="宋体" w:hAnsi="Calibri" w:cs="Times New Roman" w:hint="eastAsia"/>
                <w:szCs w:val="21"/>
                <w:u w:val="single"/>
                <w:lang w:val="en-US" w:eastAsia="zh-CN"/>
              </w:rPr>
              <w:t>5,</w:t>
            </w:r>
            <w:r>
              <w:rPr>
                <w:rFonts w:ascii="Calibri" w:hAnsi="Calibri" w:cs="Times New Roman" w:hint="eastAsia"/>
                <w:szCs w:val="21"/>
                <w:u w:val="single"/>
                <w:lang w:val="en-US" w:eastAsia="zh-CN"/>
              </w:rPr>
              <w:t>32</w:t>
            </w:r>
            <w:r>
              <w:rPr>
                <w:rFonts w:ascii="Calibri" w:eastAsia="宋体" w:hAnsi="Calibri" w:cs="Times New Roman" w:hint="eastAsia"/>
                <w:szCs w:val="21"/>
                <w:u w:val="single"/>
                <w:lang w:val="en-US" w:eastAsia="zh-CN"/>
              </w:rPr>
              <w:t>0,000</w:t>
            </w:r>
            <w:r>
              <w:rPr>
                <w:rFonts w:ascii="Calibri" w:eastAsia="宋体" w:hAnsi="Calibri" w:cs="Times New Roman" w:hint="eastAsia"/>
                <w:szCs w:val="21"/>
                <w:u w:val="single"/>
              </w:rPr>
              <w:t>元</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3</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bCs/>
                <w:szCs w:val="21"/>
              </w:rPr>
            </w:pPr>
            <w:r>
              <w:rPr>
                <w:rFonts w:ascii="宋体" w:eastAsia="宋体" w:hAnsi="宋体" w:cs="Times New Roman" w:hint="eastAsia"/>
                <w:bCs/>
                <w:szCs w:val="21"/>
              </w:rPr>
              <w:t>项目名称</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hint="eastAsia"/>
                <w:snapToGrid w:val="0"/>
                <w:kern w:val="0"/>
                <w:szCs w:val="21"/>
              </w:rPr>
            </w:pPr>
            <w:r>
              <w:rPr>
                <w:rFonts w:ascii="宋体" w:eastAsia="宋体" w:hAnsi="宋体" w:cs="Times New Roman" w:hint="eastAsia"/>
                <w:snapToGrid w:val="0"/>
                <w:kern w:val="0"/>
                <w:szCs w:val="21"/>
              </w:rPr>
              <w:t>重度残疾人托养服务试点项目</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bCs/>
                <w:szCs w:val="21"/>
              </w:rPr>
            </w:pPr>
            <w:r>
              <w:rPr>
                <w:rFonts w:ascii="宋体" w:eastAsia="宋体" w:hAnsi="宋体" w:cs="Times New Roman" w:hint="eastAsia"/>
                <w:bCs/>
                <w:szCs w:val="21"/>
              </w:rPr>
              <w:t>4</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bCs/>
                <w:szCs w:val="21"/>
              </w:rPr>
            </w:pPr>
            <w:r>
              <w:rPr>
                <w:rFonts w:ascii="宋体" w:eastAsia="宋体" w:hAnsi="宋体" w:cs="Times New Roman" w:hint="eastAsia"/>
                <w:bCs/>
                <w:szCs w:val="21"/>
              </w:rPr>
              <w:t>投标报价</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napToGrid w:val="0"/>
                <w:kern w:val="0"/>
                <w:szCs w:val="21"/>
                <w:lang w:val="zh-CN"/>
              </w:rPr>
            </w:pPr>
            <w:r>
              <w:rPr>
                <w:rFonts w:ascii="宋体" w:eastAsia="宋体" w:hAnsi="宋体" w:cs="Times New Roman" w:hint="eastAsia"/>
                <w:snapToGrid w:val="0"/>
                <w:kern w:val="0"/>
                <w:szCs w:val="21"/>
                <w:lang w:val="zh-CN"/>
              </w:rPr>
              <w:t>见投标人投标函</w:t>
            </w:r>
          </w:p>
        </w:tc>
      </w:tr>
      <w:tr>
        <w:tblPrEx>
          <w:tblW w:w="0" w:type="auto"/>
          <w:jc w:val="center"/>
          <w:tblLayout w:type="fixed"/>
          <w:tblCellMar>
            <w:top w:w="0" w:type="dxa"/>
            <w:left w:w="108" w:type="dxa"/>
            <w:bottom w:w="0" w:type="dxa"/>
            <w:right w:w="108" w:type="dxa"/>
          </w:tblCellMar>
        </w:tblPrEx>
        <w:trPr>
          <w:cantSplit/>
          <w:trHeight w:val="336"/>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bCs/>
                <w:szCs w:val="21"/>
              </w:rPr>
            </w:pPr>
            <w:r>
              <w:rPr>
                <w:rFonts w:ascii="宋体" w:eastAsia="宋体" w:hAnsi="宋体" w:cs="Times New Roman" w:hint="eastAsia"/>
                <w:bCs/>
                <w:szCs w:val="21"/>
              </w:rPr>
              <w:t>5</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bCs/>
                <w:szCs w:val="21"/>
              </w:rPr>
            </w:pPr>
            <w:r>
              <w:rPr>
                <w:rFonts w:ascii="宋体" w:eastAsia="宋体" w:hAnsi="宋体" w:cs="Times New Roman" w:hint="eastAsia"/>
                <w:bCs/>
                <w:szCs w:val="21"/>
              </w:rPr>
              <w:t>投标人的资质（格）要求</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napToGrid w:val="0"/>
                <w:kern w:val="0"/>
                <w:szCs w:val="21"/>
                <w:lang w:val="zh-CN"/>
              </w:rPr>
            </w:pPr>
            <w:r>
              <w:rPr>
                <w:rFonts w:ascii="宋体" w:eastAsia="宋体" w:hAnsi="宋体" w:cs="Times New Roman" w:hint="eastAsia"/>
                <w:snapToGrid w:val="0"/>
                <w:kern w:val="0"/>
                <w:szCs w:val="21"/>
                <w:lang w:val="zh-CN"/>
              </w:rPr>
              <w:t>见招标公告中有关投标人资格要求中的相关内容</w:t>
            </w:r>
          </w:p>
        </w:tc>
      </w:tr>
      <w:tr>
        <w:tblPrEx>
          <w:tblW w:w="0" w:type="auto"/>
          <w:jc w:val="center"/>
          <w:tblLayout w:type="fixed"/>
          <w:tblCellMar>
            <w:top w:w="0" w:type="dxa"/>
            <w:left w:w="108" w:type="dxa"/>
            <w:bottom w:w="0" w:type="dxa"/>
            <w:right w:w="108" w:type="dxa"/>
          </w:tblCellMar>
        </w:tblPrEx>
        <w:trPr>
          <w:cantSplit/>
          <w:trHeight w:val="386"/>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6</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bCs/>
                <w:szCs w:val="21"/>
              </w:rPr>
            </w:pPr>
            <w:r>
              <w:rPr>
                <w:rFonts w:ascii="宋体" w:eastAsia="宋体" w:hAnsi="宋体" w:cs="Times New Roman" w:hint="eastAsia"/>
                <w:bCs/>
                <w:szCs w:val="21"/>
              </w:rPr>
              <w:t>投标保证金</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napToGrid w:val="0"/>
                <w:kern w:val="0"/>
                <w:szCs w:val="21"/>
                <w:lang w:val="zh-CN"/>
              </w:rPr>
            </w:pPr>
            <w:r>
              <w:rPr>
                <w:rFonts w:ascii="宋体" w:eastAsia="宋体" w:hAnsi="宋体" w:cs="Times New Roman" w:hint="eastAsia"/>
                <w:szCs w:val="21"/>
              </w:rPr>
              <w:t>本项目不需要投标保证金</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7</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bCs/>
                <w:szCs w:val="21"/>
              </w:rPr>
            </w:pPr>
            <w:r>
              <w:rPr>
                <w:rFonts w:ascii="宋体" w:eastAsia="宋体" w:hAnsi="宋体" w:cs="Times New Roman" w:hint="eastAsia"/>
                <w:bCs/>
                <w:szCs w:val="21"/>
              </w:rPr>
              <w:t>交货/完工/服务期限</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napToGrid w:val="0"/>
                <w:kern w:val="0"/>
                <w:szCs w:val="21"/>
                <w:lang w:val="zh-CN"/>
              </w:rPr>
            </w:pPr>
            <w:r>
              <w:rPr>
                <w:rFonts w:ascii="宋体" w:eastAsia="宋体" w:hAnsi="宋体" w:cs="Times New Roman" w:hint="eastAsia"/>
                <w:snapToGrid w:val="0"/>
                <w:kern w:val="0"/>
                <w:szCs w:val="21"/>
                <w:lang w:val="zh-CN"/>
              </w:rPr>
              <w:t>见后述招标有关要求</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8</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bCs/>
                <w:szCs w:val="21"/>
              </w:rPr>
            </w:pPr>
            <w:r>
              <w:rPr>
                <w:rFonts w:ascii="宋体" w:eastAsia="宋体" w:hAnsi="宋体" w:cs="Times New Roman" w:hint="eastAsia"/>
                <w:bCs/>
                <w:szCs w:val="21"/>
              </w:rPr>
              <w:t>评标方法</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napToGrid w:val="0"/>
                <w:kern w:val="0"/>
                <w:szCs w:val="21"/>
                <w:lang w:val="zh-CN"/>
              </w:rPr>
            </w:pPr>
            <w:r>
              <w:rPr>
                <w:rFonts w:ascii="宋体" w:eastAsia="宋体" w:hAnsi="宋体" w:cs="Times New Roman" w:hint="eastAsia"/>
                <w:szCs w:val="21"/>
              </w:rPr>
              <w:t>综合评分法</w:t>
            </w:r>
          </w:p>
        </w:tc>
      </w:tr>
      <w:tr>
        <w:tblPrEx>
          <w:tblW w:w="0" w:type="auto"/>
          <w:jc w:val="center"/>
          <w:tblLayout w:type="fixed"/>
          <w:tblCellMar>
            <w:top w:w="0" w:type="dxa"/>
            <w:left w:w="108" w:type="dxa"/>
            <w:bottom w:w="0" w:type="dxa"/>
            <w:right w:w="108" w:type="dxa"/>
          </w:tblCellMar>
        </w:tblPrEx>
        <w:trPr>
          <w:cantSplit/>
          <w:trHeight w:val="402"/>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9</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bCs/>
                <w:szCs w:val="21"/>
              </w:rPr>
            </w:pPr>
            <w:r>
              <w:rPr>
                <w:rFonts w:ascii="宋体" w:eastAsia="宋体" w:hAnsi="宋体" w:cs="Times New Roman" w:hint="eastAsia"/>
                <w:bCs/>
                <w:szCs w:val="21"/>
              </w:rPr>
              <w:t>投标币种</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napToGrid w:val="0"/>
                <w:kern w:val="0"/>
                <w:szCs w:val="21"/>
                <w:lang w:val="zh-CN"/>
              </w:rPr>
            </w:pPr>
            <w:r>
              <w:rPr>
                <w:rFonts w:ascii="宋体" w:eastAsia="宋体" w:hAnsi="宋体" w:cs="Times New Roman" w:hint="eastAsia"/>
                <w:snapToGrid w:val="0"/>
                <w:kern w:val="0"/>
                <w:szCs w:val="21"/>
                <w:lang w:val="zh-CN"/>
              </w:rPr>
              <w:t>人民币</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10</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联合体投标</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napToGrid w:val="0"/>
                <w:kern w:val="0"/>
                <w:szCs w:val="21"/>
                <w:lang w:val="zh-CN"/>
              </w:rPr>
            </w:pPr>
            <w:r>
              <w:rPr>
                <w:rFonts w:ascii="宋体" w:eastAsia="宋体" w:hAnsi="宋体" w:cs="Times New Roman" w:hint="eastAsia"/>
                <w:b/>
                <w:bCs/>
                <w:snapToGrid w:val="0"/>
                <w:color w:val="FF0000"/>
                <w:kern w:val="0"/>
                <w:szCs w:val="21"/>
                <w:lang w:val="zh-CN"/>
              </w:rPr>
              <w:t>不允许</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11</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投标有效期</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Arial" w:hint="eastAsia"/>
                <w:szCs w:val="21"/>
              </w:rPr>
              <w:t>90个日历天（从投标截止之日算起）</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12</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投标人的替代方案</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不允许</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13</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购买标书时间地点</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详见招标公告中相关内容</w:t>
            </w:r>
          </w:p>
        </w:tc>
      </w:tr>
      <w:tr>
        <w:tblPrEx>
          <w:tblW w:w="0" w:type="auto"/>
          <w:jc w:val="center"/>
          <w:tblLayout w:type="fixed"/>
          <w:tblCellMar>
            <w:top w:w="0" w:type="dxa"/>
            <w:left w:w="108" w:type="dxa"/>
            <w:bottom w:w="0" w:type="dxa"/>
            <w:right w:w="108" w:type="dxa"/>
          </w:tblCellMar>
        </w:tblPrEx>
        <w:trPr>
          <w:cantSplit/>
          <w:trHeight w:val="69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14</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现场踏勘</w:t>
            </w:r>
          </w:p>
        </w:tc>
        <w:tc>
          <w:tcPr>
            <w:tcW w:w="5302" w:type="dxa"/>
            <w:noWrap w:val="0"/>
            <w:vAlign w:val="center"/>
          </w:tcPr>
          <w:p>
            <w:pPr>
              <w:pStyle w:val="USE1"/>
              <w:keepNext w:val="0"/>
              <w:keepLines w:val="0"/>
              <w:suppressLineNumbers w:val="0"/>
              <w:tabs>
                <w:tab w:val="left" w:pos="1260"/>
              </w:tabs>
              <w:spacing w:before="0" w:beforeAutospacing="0" w:after="0" w:afterAutospacing="0" w:line="240" w:lineRule="auto"/>
              <w:ind w:left="0" w:right="0"/>
              <w:jc w:val="both"/>
              <w:rPr>
                <w:rFonts w:eastAsia="宋体" w:cs="Times New Roman"/>
                <w:b w:val="0"/>
                <w:sz w:val="21"/>
                <w:szCs w:val="21"/>
              </w:rPr>
            </w:pPr>
            <w:r>
              <w:rPr>
                <w:rFonts w:eastAsia="宋体" w:cs="Times New Roman" w:hint="eastAsia"/>
                <w:b w:val="0"/>
                <w:sz w:val="21"/>
                <w:szCs w:val="21"/>
              </w:rPr>
              <w:t>本项目是否组织供应商进行现场踏勘： 口是 ■否</w:t>
            </w:r>
          </w:p>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时间、地址、联系人、联系方式等</w:t>
            </w:r>
          </w:p>
        </w:tc>
      </w:tr>
      <w:tr>
        <w:tblPrEx>
          <w:tblW w:w="0" w:type="auto"/>
          <w:jc w:val="center"/>
          <w:tblLayout w:type="fixed"/>
          <w:tblCellMar>
            <w:top w:w="0" w:type="dxa"/>
            <w:left w:w="108" w:type="dxa"/>
            <w:bottom w:w="0" w:type="dxa"/>
            <w:right w:w="108" w:type="dxa"/>
          </w:tblCellMar>
        </w:tblPrEx>
        <w:trPr>
          <w:cantSplit/>
          <w:trHeight w:val="319"/>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15</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现场答疑会</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本项目不安排现场答疑</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16</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采购人对招标文件的澄清或修改、答疑的期限</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详见招标公告中相关内容</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17</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投标文件的投递</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Calibri" w:cs="宋体" w:hint="eastAsia"/>
                <w:spacing w:val="-4"/>
              </w:rPr>
              <w:t>本项目实行网上投标，投标人必须在招标文件规定的投标截止时间前登录“深圳政府采购智慧平台”，使用“应标管理-&gt;上传投标文件”功能点，将编制好的电子投标文件上传，投标文件大小不得超过100MB。</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18</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投标截止时间</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详见招标公告中相关内容</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19</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开标时间和地点</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详见招标公告中相关内容</w:t>
            </w:r>
          </w:p>
        </w:tc>
      </w:tr>
      <w:tr>
        <w:tblPrEx>
          <w:tblW w:w="0" w:type="auto"/>
          <w:jc w:val="center"/>
          <w:tblLayout w:type="fixed"/>
          <w:tblCellMar>
            <w:top w:w="0" w:type="dxa"/>
            <w:left w:w="108" w:type="dxa"/>
            <w:bottom w:w="0" w:type="dxa"/>
            <w:right w:w="108" w:type="dxa"/>
          </w:tblCellMar>
        </w:tblPrEx>
        <w:trPr>
          <w:cantSplit/>
          <w:trHeight w:val="20"/>
          <w:jc w:val="center"/>
        </w:trPr>
        <w:tc>
          <w:tcPr>
            <w:tcW w:w="878" w:type="dxa"/>
            <w:tcBorders>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szCs w:val="21"/>
              </w:rPr>
              <w:t>20</w:t>
            </w:r>
          </w:p>
        </w:tc>
        <w:tc>
          <w:tcPr>
            <w:tcW w:w="2595"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履约担保金额</w:t>
            </w:r>
          </w:p>
        </w:tc>
        <w:tc>
          <w:tcPr>
            <w:tcW w:w="5302" w:type="dxa"/>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szCs w:val="21"/>
              </w:rPr>
              <w:t>无</w:t>
            </w:r>
          </w:p>
        </w:tc>
      </w:tr>
      <w:tr>
        <w:tblPrEx>
          <w:tblW w:w="0" w:type="auto"/>
          <w:jc w:val="center"/>
          <w:tblLayout w:type="fixed"/>
          <w:tblCellMar>
            <w:top w:w="0" w:type="dxa"/>
            <w:left w:w="108" w:type="dxa"/>
            <w:bottom w:w="0" w:type="dxa"/>
            <w:right w:w="108" w:type="dxa"/>
          </w:tblCellMar>
        </w:tblPrEx>
        <w:trPr>
          <w:cantSplit/>
          <w:trHeight w:val="20"/>
          <w:jc w:val="center"/>
        </w:trPr>
        <w:tc>
          <w:tcPr>
            <w:tcW w:w="8775" w:type="dxa"/>
            <w:gridSpan w:val="3"/>
            <w:noWrap w:val="0"/>
            <w:vAlign w:val="center"/>
          </w:tcPr>
          <w:p>
            <w:pPr>
              <w:keepNext w:val="0"/>
              <w:keepLines w:val="0"/>
              <w:suppressLineNumbers w:val="0"/>
              <w:spacing w:before="0" w:beforeAutospacing="0" w:after="0" w:afterAutospacing="0"/>
              <w:ind w:left="0" w:right="0"/>
              <w:rPr>
                <w:rFonts w:ascii="宋体" w:eastAsia="宋体" w:hAnsi="宋体" w:cs="Times New Roman" w:hint="eastAsia"/>
                <w:szCs w:val="21"/>
              </w:rPr>
            </w:pPr>
            <w:r>
              <w:rPr>
                <w:rFonts w:ascii="宋体" w:eastAsia="宋体" w:hAnsi="宋体" w:cs="Times New Roman" w:hint="eastAsia"/>
                <w:szCs w:val="21"/>
              </w:rPr>
              <w:t>注：如“第一册 通用条款”与“第二册第三章 招标项目需求”的内容不一致的，以第二册第三章所述内容为准。</w:t>
            </w:r>
          </w:p>
        </w:tc>
      </w:tr>
    </w:tbl>
    <w:p/>
    <w:p>
      <w:pPr>
        <w:pStyle w:val="Heading3"/>
        <w:spacing w:line="400" w:lineRule="exact"/>
        <w:jc w:val="center"/>
        <w:rPr>
          <w:sz w:val="28"/>
          <w:szCs w:val="28"/>
        </w:rPr>
      </w:pPr>
      <w:r>
        <w:rPr>
          <w:rFonts w:ascii="黑体"/>
          <w:b w:val="0"/>
          <w:sz w:val="28"/>
          <w:szCs w:val="28"/>
        </w:rPr>
        <w:br w:type="page"/>
      </w:r>
      <w:bookmarkStart w:id="314" w:name="_Toc31286"/>
      <w:bookmarkStart w:id="315" w:name="_Toc3514"/>
      <w:bookmarkStart w:id="316" w:name="_Toc30730"/>
      <w:bookmarkStart w:id="317" w:name="_Toc13711"/>
      <w:bookmarkStart w:id="318" w:name="_Toc256000019"/>
      <w:r>
        <w:rPr>
          <w:rFonts w:hint="eastAsia"/>
        </w:rPr>
        <w:t>二、投标文件初审表</w:t>
      </w:r>
      <w:bookmarkEnd w:id="318"/>
      <w:bookmarkEnd w:id="314"/>
      <w:bookmarkEnd w:id="315"/>
      <w:bookmarkEnd w:id="316"/>
      <w:bookmarkEnd w:id="317"/>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979"/>
        <w:gridCol w:w="7543"/>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8522" w:type="dxa"/>
            <w:gridSpan w:val="2"/>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b/>
              </w:rPr>
            </w:pPr>
            <w:r>
              <w:rPr>
                <w:rFonts w:ascii="宋体" w:eastAsia="宋体" w:hAnsi="宋体" w:cs="Times New Roman" w:hint="eastAsia"/>
                <w:b/>
              </w:rPr>
              <w:t>资格性检查表</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rPr>
            </w:pPr>
            <w:r>
              <w:rPr>
                <w:rFonts w:ascii="宋体" w:eastAsia="宋体" w:hAnsi="宋体" w:cs="Times New Roman" w:hint="eastAsia"/>
              </w:rPr>
              <w:t>序号</w:t>
            </w:r>
          </w:p>
        </w:tc>
        <w:tc>
          <w:tcPr>
            <w:tcW w:w="7543"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rPr>
            </w:pPr>
            <w:r>
              <w:rPr>
                <w:rFonts w:ascii="宋体" w:eastAsia="宋体" w:hAnsi="宋体" w:cs="Times New Roman" w:hint="eastAsia"/>
              </w:rPr>
              <w:t>检查内容</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rPr>
            </w:pPr>
            <w:r>
              <w:rPr>
                <w:rFonts w:ascii="宋体" w:eastAsia="宋体" w:hAnsi="宋体" w:cs="Times New Roman"/>
              </w:rPr>
              <w:t>1</w:t>
            </w:r>
          </w:p>
        </w:tc>
        <w:tc>
          <w:tcPr>
            <w:tcW w:w="7543"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rPr>
                <w:rFonts w:ascii="宋体" w:eastAsia="宋体" w:hAnsi="宋体" w:cs="Times New Roman"/>
              </w:rPr>
            </w:pPr>
            <w:r>
              <w:rPr>
                <w:rFonts w:ascii="宋体" w:eastAsia="宋体" w:hAnsi="宋体" w:cs="Times New Roman" w:hint="eastAsia"/>
              </w:rPr>
              <w:t>投标人不具备本项目招标资质要求，或未提交相应资格证明材料</w:t>
            </w:r>
            <w:r>
              <w:rPr>
                <w:rFonts w:ascii="宋体" w:eastAsia="宋体" w:hAnsi="宋体" w:cs="Times New Roman"/>
              </w:rPr>
              <w:t>(</w:t>
            </w:r>
            <w:r>
              <w:rPr>
                <w:rFonts w:ascii="宋体" w:eastAsia="宋体" w:hAnsi="宋体" w:cs="Times New Roman" w:hint="eastAsia"/>
              </w:rPr>
              <w:t>详见招标公告投标人资格要求</w:t>
            </w:r>
            <w:r>
              <w:rPr>
                <w:rFonts w:ascii="宋体" w:eastAsia="宋体" w:hAnsi="宋体" w:cs="Times New Roman"/>
              </w:rPr>
              <w:t>)</w:t>
            </w:r>
          </w:p>
        </w:tc>
      </w:tr>
      <w:tr>
        <w:tblPrEx>
          <w:tblW w:w="0" w:type="auto"/>
          <w:jc w:val="center"/>
          <w:tblLayout w:type="fixed"/>
          <w:tblCellMar>
            <w:top w:w="0" w:type="dxa"/>
            <w:left w:w="108" w:type="dxa"/>
            <w:bottom w:w="0" w:type="dxa"/>
            <w:right w:w="108" w:type="dxa"/>
          </w:tblCellMar>
        </w:tblPrEx>
        <w:trPr>
          <w:jc w:val="center"/>
        </w:trPr>
        <w:tc>
          <w:tcPr>
            <w:tcW w:w="8522" w:type="dxa"/>
            <w:gridSpan w:val="2"/>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b/>
              </w:rPr>
            </w:pPr>
            <w:r>
              <w:rPr>
                <w:rFonts w:ascii="宋体" w:eastAsia="宋体" w:hAnsi="宋体" w:cs="Times New Roman" w:hint="eastAsia"/>
                <w:b/>
              </w:rPr>
              <w:t>符合性检查表</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rPr>
            </w:pPr>
            <w:r>
              <w:rPr>
                <w:rFonts w:ascii="宋体" w:eastAsia="宋体" w:hAnsi="宋体" w:cs="Times New Roman" w:hint="eastAsia"/>
              </w:rPr>
              <w:t>序号</w:t>
            </w:r>
          </w:p>
        </w:tc>
        <w:tc>
          <w:tcPr>
            <w:tcW w:w="7543"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rPr>
            </w:pPr>
            <w:r>
              <w:rPr>
                <w:rFonts w:ascii="宋体" w:eastAsia="宋体" w:hAnsi="宋体" w:cs="Times New Roman" w:hint="eastAsia"/>
              </w:rPr>
              <w:t>检查内容</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szCs w:val="21"/>
              </w:rPr>
            </w:pPr>
            <w:r>
              <w:rPr>
                <w:rFonts w:ascii="Calibri" w:eastAsia="宋体" w:hAnsi="Calibri" w:cs="Times New Roman"/>
                <w:szCs w:val="21"/>
              </w:rPr>
              <w:t>1</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szCs w:val="21"/>
              </w:rPr>
            </w:pPr>
            <w:r>
              <w:rPr>
                <w:rFonts w:ascii="Calibri" w:eastAsia="宋体" w:hAnsi="Calibri" w:cs="Times New Roman"/>
                <w:szCs w:val="21"/>
              </w:rPr>
              <w:t>将一个包或一个标段的内容拆开投标；</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szCs w:val="21"/>
              </w:rPr>
            </w:pPr>
            <w:r>
              <w:rPr>
                <w:rFonts w:ascii="Calibri" w:eastAsia="宋体" w:hAnsi="Calibri" w:cs="Times New Roman"/>
                <w:szCs w:val="21"/>
              </w:rPr>
              <w:t>2</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szCs w:val="21"/>
              </w:rPr>
            </w:pPr>
            <w:r>
              <w:rPr>
                <w:rFonts w:ascii="Calibri" w:eastAsia="宋体" w:hAnsi="Calibri" w:cs="Times New Roman"/>
                <w:szCs w:val="21"/>
              </w:rPr>
              <w:t>对同一项目投标时，提供两套以上的投标方案（招标文件另有规定的除外）；</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szCs w:val="21"/>
              </w:rPr>
            </w:pPr>
            <w:r>
              <w:rPr>
                <w:rFonts w:ascii="Calibri" w:eastAsia="宋体" w:hAnsi="Calibri" w:cs="Times New Roman"/>
                <w:szCs w:val="21"/>
              </w:rPr>
              <w:t>3</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b/>
                <w:color w:val="FF0000"/>
                <w:szCs w:val="21"/>
              </w:rPr>
            </w:pPr>
            <w:r>
              <w:rPr>
                <w:rFonts w:ascii="Calibri" w:eastAsia="宋体" w:hAnsi="Calibri" w:cs="Times New Roman" w:hint="eastAsia"/>
                <w:bCs/>
                <w:szCs w:val="21"/>
              </w:rPr>
              <w:t>分项报价或投标总价高于预算金额（最高投标限价）的；</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hint="eastAsia"/>
                <w:szCs w:val="21"/>
              </w:rPr>
            </w:pPr>
            <w:r>
              <w:rPr>
                <w:rFonts w:ascii="Calibri" w:eastAsia="宋体" w:hAnsi="Calibri" w:cs="Times New Roman" w:hint="eastAsia"/>
                <w:szCs w:val="21"/>
              </w:rPr>
              <w:t>4</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hint="eastAsia"/>
                <w:bCs/>
                <w:szCs w:val="21"/>
              </w:rPr>
            </w:pPr>
            <w:r>
              <w:rPr>
                <w:rFonts w:ascii="Calibri" w:eastAsia="宋体" w:hAnsi="Calibri" w:cs="Times New Roman" w:hint="eastAsia"/>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审委员会成员对投标人提供的说明材料判断不一致的，按照“少数服从多数”的原则确定评审委员会的意见）；</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szCs w:val="21"/>
              </w:rPr>
            </w:pPr>
            <w:r>
              <w:rPr>
                <w:rFonts w:ascii="Calibri" w:eastAsia="宋体" w:hAnsi="Calibri" w:cs="Times New Roman" w:hint="eastAsia"/>
                <w:szCs w:val="21"/>
              </w:rPr>
              <w:t>5</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hint="eastAsia"/>
                <w:szCs w:val="21"/>
              </w:rPr>
            </w:pPr>
            <w:r>
              <w:rPr>
                <w:rFonts w:ascii="Calibri" w:eastAsia="宋体" w:hAnsi="Calibri" w:cs="Times New Roman" w:hint="eastAsia"/>
                <w:szCs w:val="21"/>
              </w:rPr>
              <w:t>所投产品、工程、服务在商务、技术等方面没有实质性满足招标文件要求的（是否实质性满足招标文件要求，由评标委员会根据《实质性条款响应情况表》做出评判）；</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hint="eastAsia"/>
                <w:szCs w:val="21"/>
              </w:rPr>
            </w:pPr>
            <w:r>
              <w:rPr>
                <w:rFonts w:ascii="Calibri" w:eastAsia="宋体" w:hAnsi="Calibri" w:cs="Times New Roman" w:hint="eastAsia"/>
                <w:szCs w:val="21"/>
              </w:rPr>
              <w:t>6</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szCs w:val="21"/>
              </w:rPr>
            </w:pPr>
            <w:r>
              <w:rPr>
                <w:rFonts w:ascii="Calibri" w:eastAsia="宋体" w:hAnsi="Calibri" w:cs="Times New Roman"/>
                <w:szCs w:val="21"/>
              </w:rPr>
              <w:t>未按招标文件所提供的样式填写《投标函》；未按招标文件所提供的《政府采购投标及履约承诺函》进行承诺；未按招标文件对投标文件组成的要求提供投标文件的（投标文件组成不完整）；</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szCs w:val="21"/>
              </w:rPr>
            </w:pPr>
            <w:r>
              <w:rPr>
                <w:rFonts w:ascii="Calibri" w:eastAsia="宋体" w:hAnsi="Calibri" w:cs="Times New Roman" w:hint="eastAsia"/>
                <w:szCs w:val="21"/>
              </w:rPr>
              <w:t>7</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szCs w:val="21"/>
              </w:rPr>
            </w:pPr>
            <w:r>
              <w:rPr>
                <w:rFonts w:ascii="Calibri" w:eastAsia="宋体" w:hAnsi="Calibri" w:cs="Times New Roman" w:hint="eastAsia"/>
                <w:szCs w:val="21"/>
              </w:rPr>
              <w:t>投标报价有缺漏项目或对招标文件规定的服务清单项目及数量进行修改；</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hint="eastAsia"/>
                <w:szCs w:val="21"/>
              </w:rPr>
            </w:pPr>
            <w:r>
              <w:rPr>
                <w:rFonts w:ascii="Calibri" w:eastAsia="宋体" w:hAnsi="Calibri" w:cs="Times New Roman" w:hint="eastAsia"/>
                <w:szCs w:val="21"/>
              </w:rPr>
              <w:t>8</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szCs w:val="21"/>
              </w:rPr>
            </w:pPr>
            <w:r>
              <w:rPr>
                <w:rFonts w:ascii="Calibri" w:eastAsia="宋体" w:hAnsi="Calibri" w:cs="Times New Roman" w:hint="eastAsia"/>
                <w:szCs w:val="21"/>
              </w:rPr>
              <w:t>投标文件存在列放位置错误，导致属于信息公开情形的没有被公开；</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hint="eastAsia"/>
                <w:szCs w:val="21"/>
              </w:rPr>
            </w:pPr>
            <w:r>
              <w:rPr>
                <w:rFonts w:ascii="Calibri" w:eastAsia="宋体" w:hAnsi="Calibri" w:cs="Times New Roman" w:hint="eastAsia"/>
                <w:szCs w:val="21"/>
              </w:rPr>
              <w:t>9</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szCs w:val="21"/>
              </w:rPr>
            </w:pPr>
            <w:r>
              <w:rPr>
                <w:rFonts w:ascii="Calibri" w:eastAsia="宋体" w:hAnsi="Calibri" w:cs="Times New Roman"/>
                <w:szCs w:val="21"/>
              </w:rPr>
              <w:t>投标文件电子文档带病毒；</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szCs w:val="21"/>
              </w:rPr>
            </w:pPr>
            <w:r>
              <w:rPr>
                <w:rFonts w:ascii="Calibri" w:eastAsia="宋体" w:hAnsi="Calibri" w:cs="Times New Roman" w:hint="eastAsia"/>
                <w:szCs w:val="21"/>
              </w:rPr>
              <w:t>10</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szCs w:val="21"/>
              </w:rPr>
            </w:pPr>
            <w:r>
              <w:rPr>
                <w:rFonts w:ascii="Calibri" w:eastAsia="宋体" w:hAnsi="Calibri" w:cs="Times New Roman"/>
                <w:szCs w:val="21"/>
              </w:rPr>
              <w:t>投标文件用不属于本公司的电子密钥进行加密的；</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hint="eastAsia"/>
                <w:szCs w:val="21"/>
              </w:rPr>
            </w:pPr>
            <w:r>
              <w:rPr>
                <w:rFonts w:ascii="Calibri" w:eastAsia="宋体" w:hAnsi="Calibri" w:cs="Times New Roman"/>
                <w:szCs w:val="21"/>
              </w:rPr>
              <w:t>1</w:t>
            </w:r>
            <w:r>
              <w:rPr>
                <w:rFonts w:ascii="Calibri" w:eastAsia="宋体" w:hAnsi="Calibri" w:cs="Times New Roman" w:hint="eastAsia"/>
                <w:szCs w:val="21"/>
              </w:rPr>
              <w:t>1</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szCs w:val="21"/>
              </w:rPr>
            </w:pPr>
            <w:r>
              <w:rPr>
                <w:rFonts w:ascii="Calibri" w:eastAsia="宋体" w:hAnsi="Calibri" w:cs="Times New Roman"/>
                <w:szCs w:val="21"/>
              </w:rPr>
              <w:t>误选了非本项目的最新加密规则文件，导致投标文件不能在开标时解密；</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szCs w:val="21"/>
              </w:rPr>
            </w:pPr>
            <w:r>
              <w:rPr>
                <w:rFonts w:ascii="Calibri" w:eastAsia="宋体" w:hAnsi="Calibri" w:cs="Times New Roman" w:hint="eastAsia"/>
                <w:szCs w:val="21"/>
              </w:rPr>
              <w:t>12</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szCs w:val="21"/>
              </w:rPr>
            </w:pPr>
            <w:r>
              <w:rPr>
                <w:rFonts w:ascii="Calibri" w:eastAsia="宋体" w:hAnsi="Calibri" w:cs="Times New Roman" w:hint="eastAsia"/>
                <w:szCs w:val="21"/>
              </w:rPr>
              <w:t xml:space="preserve">不同投标供应商投标文件“文件制作机器码”一致的； </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szCs w:val="21"/>
              </w:rPr>
            </w:pPr>
            <w:r>
              <w:rPr>
                <w:rFonts w:ascii="Calibri" w:eastAsia="宋体" w:hAnsi="Calibri" w:cs="Times New Roman" w:hint="eastAsia"/>
                <w:szCs w:val="21"/>
              </w:rPr>
              <w:t>13</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szCs w:val="21"/>
              </w:rPr>
            </w:pPr>
            <w:r>
              <w:rPr>
                <w:rFonts w:ascii="Calibri" w:eastAsia="宋体" w:hAnsi="Calibri" w:cs="Times New Roman" w:hint="eastAsia"/>
                <w:szCs w:val="21"/>
              </w:rPr>
              <w:t>不同投标供应商投标文件“文件创建标识码”一致的；</w:t>
            </w:r>
          </w:p>
        </w:tc>
      </w:tr>
      <w:tr>
        <w:tblPrEx>
          <w:tblW w:w="0" w:type="auto"/>
          <w:jc w:val="center"/>
          <w:tblLayout w:type="fixed"/>
          <w:tblCellMar>
            <w:top w:w="0" w:type="dxa"/>
            <w:left w:w="108" w:type="dxa"/>
            <w:bottom w:w="0" w:type="dxa"/>
            <w:right w:w="108" w:type="dxa"/>
          </w:tblCellMar>
        </w:tblPrEx>
        <w:trPr>
          <w:jc w:val="center"/>
        </w:trPr>
        <w:tc>
          <w:tcPr>
            <w:tcW w:w="979"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hint="eastAsia"/>
                <w:szCs w:val="21"/>
              </w:rPr>
            </w:pPr>
            <w:r>
              <w:rPr>
                <w:rFonts w:ascii="Calibri" w:eastAsia="宋体" w:hAnsi="Calibri" w:cs="Times New Roman" w:hint="eastAsia"/>
                <w:szCs w:val="21"/>
              </w:rPr>
              <w:t>14</w:t>
            </w:r>
          </w:p>
        </w:tc>
        <w:tc>
          <w:tcPr>
            <w:tcW w:w="7543"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szCs w:val="21"/>
              </w:rPr>
            </w:pPr>
            <w:r>
              <w:rPr>
                <w:rFonts w:ascii="Calibri" w:eastAsia="宋体" w:hAnsi="Calibri" w:cs="Times New Roman"/>
                <w:szCs w:val="21"/>
              </w:rPr>
              <w:t>法律、法规规定的其他情形。</w:t>
            </w:r>
          </w:p>
        </w:tc>
      </w:tr>
    </w:tbl>
    <w:p>
      <w:pPr>
        <w:pStyle w:val="Heading3"/>
        <w:jc w:val="center"/>
      </w:pPr>
      <w:r>
        <w:rPr>
          <w:sz w:val="30"/>
          <w:szCs w:val="30"/>
        </w:rPr>
        <w:br w:type="page"/>
      </w:r>
      <w:bookmarkStart w:id="319" w:name="_Toc3867"/>
      <w:bookmarkStart w:id="320" w:name="_Toc31072"/>
      <w:bookmarkStart w:id="321" w:name="_Toc21627"/>
      <w:bookmarkStart w:id="322" w:name="_Toc1837"/>
      <w:bookmarkStart w:id="323" w:name="_Toc256000020"/>
      <w:r>
        <w:rPr>
          <w:rFonts w:hint="eastAsia"/>
        </w:rPr>
        <w:t>三、评标信息</w:t>
      </w:r>
      <w:bookmarkEnd w:id="323"/>
      <w:bookmarkEnd w:id="319"/>
      <w:bookmarkEnd w:id="320"/>
      <w:bookmarkEnd w:id="321"/>
      <w:bookmarkEnd w:id="322"/>
    </w:p>
    <w:p>
      <w:pPr>
        <w:spacing w:line="400" w:lineRule="exact"/>
        <w:rPr>
          <w:rFonts w:ascii="宋体" w:hAnsi="宋体" w:hint="eastAsia"/>
          <w:b/>
          <w:szCs w:val="21"/>
        </w:rPr>
      </w:pPr>
      <w:r>
        <w:rPr>
          <w:rFonts w:hint="eastAsia"/>
          <w:b/>
          <w:szCs w:val="21"/>
        </w:rPr>
        <w:t>一、评标方法</w:t>
      </w:r>
    </w:p>
    <w:p>
      <w:pPr>
        <w:spacing w:line="400" w:lineRule="exact"/>
        <w:ind w:firstLine="420"/>
        <w:rPr>
          <w:rFonts w:ascii="宋体" w:hAnsi="宋体" w:hint="eastAsia"/>
          <w:szCs w:val="21"/>
        </w:rPr>
      </w:pPr>
      <w:r>
        <w:rPr>
          <w:rFonts w:ascii="宋体" w:hAnsi="宋体" w:hint="eastAsia"/>
          <w:b/>
          <w:szCs w:val="21"/>
        </w:rPr>
        <w:t>综合评分法</w:t>
      </w:r>
      <w:r>
        <w:rPr>
          <w:rFonts w:ascii="宋体" w:hAnsi="宋体" w:hint="eastAsia"/>
          <w:szCs w:val="21"/>
        </w:rPr>
        <w:t xml:space="preserve">，是指投标文件满足招标文件全部实质性要求，且按照评审因素的量化指标评审得分最高的投标人为中标候选人的评标方法。 </w:t>
      </w:r>
    </w:p>
    <w:p>
      <w:pPr>
        <w:spacing w:line="400" w:lineRule="exact"/>
        <w:rPr>
          <w:rFonts w:ascii="宋体" w:hAnsi="宋体" w:hint="eastAsia"/>
          <w:szCs w:val="21"/>
        </w:rPr>
      </w:pPr>
      <w:r>
        <w:rPr>
          <w:rFonts w:ascii="宋体" w:hAnsi="宋体" w:hint="eastAsia"/>
          <w:szCs w:val="21"/>
        </w:rPr>
        <w:t xml:space="preserve">    1.价格分计算方法：采用低价优先法计算，即满足招标文件要求且投标价格最低的投标报价为评标基准价，其价格分为满分。其他投标人的价格分统一按照下列公式计算： </w:t>
      </w:r>
    </w:p>
    <w:p>
      <w:pPr>
        <w:spacing w:line="400" w:lineRule="exact"/>
        <w:rPr>
          <w:rFonts w:ascii="宋体" w:hAnsi="宋体" w:hint="eastAsia"/>
          <w:szCs w:val="21"/>
        </w:rPr>
      </w:pPr>
      <w:r>
        <w:rPr>
          <w:rFonts w:ascii="宋体" w:hAnsi="宋体" w:hint="eastAsia"/>
          <w:szCs w:val="21"/>
        </w:rPr>
        <w:t xml:space="preserve">    投标报价得分=(评标基准价／投标报价)×100 </w:t>
      </w:r>
    </w:p>
    <w:p>
      <w:pPr>
        <w:spacing w:line="400" w:lineRule="exact"/>
        <w:rPr>
          <w:rFonts w:ascii="宋体" w:hAnsi="宋体" w:hint="eastAsia"/>
          <w:szCs w:val="21"/>
        </w:rPr>
      </w:pPr>
      <w:r>
        <w:rPr>
          <w:rFonts w:ascii="宋体" w:hAnsi="宋体" w:hint="eastAsia"/>
          <w:szCs w:val="21"/>
        </w:rPr>
        <w:t xml:space="preserve">    2.评标总得分＝F1×A1＋F2×A2＋……＋Fn×An </w:t>
      </w:r>
    </w:p>
    <w:p>
      <w:pPr>
        <w:spacing w:line="400" w:lineRule="exact"/>
        <w:rPr>
          <w:rFonts w:ascii="宋体" w:hAnsi="宋体" w:hint="eastAsia"/>
          <w:szCs w:val="21"/>
        </w:rPr>
      </w:pPr>
      <w:r>
        <w:rPr>
          <w:rFonts w:ascii="宋体" w:hAnsi="宋体" w:hint="eastAsia"/>
          <w:szCs w:val="21"/>
        </w:rPr>
        <w:t xml:space="preserve">    F1、F2……Fn分别为各项评审因素的得分； </w:t>
      </w:r>
    </w:p>
    <w:p>
      <w:pPr>
        <w:spacing w:line="400" w:lineRule="exact"/>
        <w:rPr>
          <w:rFonts w:ascii="宋体" w:hAnsi="宋体" w:hint="eastAsia"/>
          <w:szCs w:val="21"/>
        </w:rPr>
      </w:pPr>
      <w:r>
        <w:rPr>
          <w:rFonts w:ascii="宋体" w:hAnsi="宋体" w:hint="eastAsia"/>
          <w:szCs w:val="21"/>
        </w:rPr>
        <w:t xml:space="preserve">    A1、A2、……An 分别为各项评审因素所占的权重(A1＋A2＋……＋An＝1)。 </w:t>
      </w:r>
    </w:p>
    <w:p>
      <w:pPr>
        <w:spacing w:line="400" w:lineRule="exact"/>
        <w:rPr>
          <w:rFonts w:ascii="宋体" w:hAnsi="宋体" w:hint="eastAsia"/>
          <w:szCs w:val="21"/>
        </w:rPr>
      </w:pPr>
      <w:r>
        <w:rPr>
          <w:rFonts w:ascii="宋体" w:hAnsi="宋体" w:hint="eastAsia"/>
          <w:szCs w:val="21"/>
        </w:rPr>
        <w:t xml:space="preserve">    评标过程中，不得去掉报价中的最高报价和最低报价。 </w:t>
      </w:r>
    </w:p>
    <w:p>
      <w:pPr>
        <w:spacing w:line="400" w:lineRule="exact"/>
        <w:ind w:firstLine="420" w:firstLineChars="200"/>
        <w:rPr>
          <w:rFonts w:hint="eastAsia"/>
          <w:b/>
          <w:szCs w:val="21"/>
        </w:rPr>
      </w:pPr>
      <w:r>
        <w:rPr>
          <w:rFonts w:ascii="宋体" w:hAnsi="宋体" w:hint="eastAsia"/>
          <w:szCs w:val="21"/>
        </w:rPr>
        <w:t>此方法适用于货物类、服务类、工程类项目。</w:t>
      </w:r>
    </w:p>
    <w:p>
      <w:pPr>
        <w:numPr>
          <w:ilvl w:val="0"/>
          <w:numId w:val="0"/>
        </w:numPr>
        <w:spacing w:line="400" w:lineRule="exact"/>
        <w:rPr>
          <w:rFonts w:hint="eastAsia"/>
          <w:b/>
          <w:szCs w:val="21"/>
        </w:rPr>
      </w:pPr>
      <w:r>
        <w:rPr>
          <w:rFonts w:hint="eastAsia"/>
          <w:b/>
          <w:kern w:val="2"/>
          <w:sz w:val="21"/>
          <w:szCs w:val="21"/>
          <w:lang w:val="en-US" w:eastAsia="zh-CN" w:bidi="ar-SA"/>
        </w:rPr>
        <w:t>二、</w:t>
      </w:r>
      <w:r>
        <w:rPr>
          <w:rFonts w:hint="eastAsia"/>
          <w:b/>
          <w:szCs w:val="21"/>
        </w:rPr>
        <w:t>评标优惠政策</w:t>
      </w:r>
    </w:p>
    <w:p>
      <w:pPr>
        <w:spacing w:line="360" w:lineRule="auto"/>
        <w:ind w:firstLine="405"/>
        <w:rPr>
          <w:rFonts w:hint="eastAsia"/>
          <w:szCs w:val="21"/>
        </w:rPr>
      </w:pPr>
      <w:r>
        <w:rPr>
          <w:rFonts w:hint="eastAsia"/>
          <w:szCs w:val="21"/>
        </w:rPr>
        <w:t>1.本项目服务全部由优惠主体承接的，可给予投标人</w:t>
      </w:r>
      <w:r>
        <w:rPr>
          <w:rFonts w:hint="eastAsia"/>
          <w:b/>
          <w:bCs/>
          <w:color w:val="0000FF"/>
          <w:szCs w:val="21"/>
          <w:u w:val="single"/>
        </w:rPr>
        <w:t xml:space="preserve">10 </w:t>
      </w:r>
      <w:r>
        <w:rPr>
          <w:rFonts w:hint="eastAsia"/>
          <w:b/>
          <w:bCs/>
          <w:color w:val="0000FF"/>
          <w:szCs w:val="21"/>
        </w:rPr>
        <w:t>%</w:t>
      </w:r>
      <w:r>
        <w:rPr>
          <w:rFonts w:hint="eastAsia"/>
          <w:szCs w:val="21"/>
        </w:rPr>
        <w:t>的价格扣除，用扣除后的价格参与评审。满足多项优惠政策的企业，不重复进行投标报价扣除。</w:t>
      </w:r>
    </w:p>
    <w:p>
      <w:pPr>
        <w:spacing w:line="360" w:lineRule="auto"/>
        <w:ind w:firstLine="420" w:firstLineChars="200"/>
        <w:jc w:val="left"/>
        <w:rPr>
          <w:rFonts w:hint="eastAsia"/>
          <w:szCs w:val="21"/>
        </w:rPr>
      </w:pPr>
      <w:r>
        <w:rPr>
          <w:rFonts w:hint="eastAsia"/>
          <w:szCs w:val="21"/>
        </w:rPr>
        <w:t>备注：（a）优惠主体包括小型企业、微型企业、监狱企业、残疾人福利性单位；中小企业是指在中华人民共和国境内依法设立，依据国务院批准的中小企业划分标准确定的中型企业、小型企业、微型企业，</w:t>
      </w:r>
      <w:r>
        <w:rPr>
          <w:rFonts w:hint="eastAsia"/>
          <w:b/>
          <w:bCs/>
          <w:color w:val="0000FF"/>
          <w:szCs w:val="21"/>
        </w:rPr>
        <w:t>但与大企业的负责人为同一人，或者与大企业存在直接控股、管理关系的除外</w:t>
      </w:r>
      <w:r>
        <w:rPr>
          <w:rFonts w:hint="eastAsia"/>
          <w:szCs w:val="21"/>
        </w:rPr>
        <w:t>；符合中小企业划分标准的个体工商户，在政府采购活动中视同中小企业；(b)优惠主体承接是指提供服务的人员为中小企业依照《中华人民共和国劳动合同法》订立劳动合同的从业人员。</w:t>
      </w:r>
    </w:p>
    <w:p>
      <w:pPr>
        <w:pStyle w:val="a4"/>
        <w:spacing w:line="360" w:lineRule="auto"/>
        <w:rPr>
          <w:rFonts w:hint="eastAsia"/>
        </w:rPr>
      </w:pPr>
      <w:r>
        <w:rPr>
          <w:rFonts w:hint="eastAsia"/>
        </w:rPr>
        <w:t>2.小型企业、微型企业、残疾人福利性单位作为优惠主体的认定资料为《中小企业声明函》、《残疾人福利性单位声明函》；监狱企业作为优惠主体的认定资料为省级以上监狱管理局、戒毒管理局出具的监狱企业证明文件。声明函样式见</w:t>
      </w:r>
      <w:r>
        <w:rPr>
          <w:rFonts w:hint="eastAsia"/>
          <w:b/>
          <w:bCs/>
          <w:color w:val="0000FF"/>
        </w:rPr>
        <w:t>格式详见招标文件第五章，“供应商情况介绍及相关资格资质”</w:t>
      </w:r>
      <w:r>
        <w:rPr>
          <w:rFonts w:hint="eastAsia"/>
        </w:rPr>
        <w:t>，声明函须放入投标文件正文，否则不享受相应的价格扣除，但不作投标无效处理。</w:t>
      </w:r>
    </w:p>
    <w:p>
      <w:pPr>
        <w:spacing w:line="360" w:lineRule="auto"/>
        <w:ind w:firstLine="405"/>
        <w:rPr>
          <w:rFonts w:hint="eastAsia"/>
          <w:szCs w:val="21"/>
        </w:rPr>
      </w:pPr>
      <w:r>
        <w:rPr>
          <w:rFonts w:hint="eastAsia"/>
          <w:szCs w:val="21"/>
        </w:rPr>
        <w:t>3.</w:t>
      </w:r>
      <w:r>
        <w:rPr>
          <w:rFonts w:hint="eastAsia"/>
          <w:b/>
          <w:bCs/>
          <w:szCs w:val="21"/>
        </w:rPr>
        <w:t>（本项目不适用）</w:t>
      </w:r>
      <w:r>
        <w:rPr>
          <w:rFonts w:hint="eastAsia"/>
          <w:szCs w:val="21"/>
        </w:rPr>
        <w:t>联合体投标的情况下：1、联合体各方均为优惠主体的，该联合体视同为优惠主体享受同比例价格扣除；2、大中型企业与小微企业组成联合体，且联合体共同投标协议中明确注明约定优惠主体的协议合同金额占到联合体协议总金额30%以上的，对该联合体的投标总价给予</w:t>
      </w:r>
      <w:r>
        <w:rPr>
          <w:rFonts w:ascii="宋体" w:hAnsi="宋体" w:hint="eastAsia"/>
          <w:b/>
          <w:bCs/>
          <w:color w:val="0000FF"/>
          <w:szCs w:val="21"/>
          <w:u w:val="single"/>
        </w:rPr>
        <w:t xml:space="preserve"> </w:t>
      </w:r>
      <w:r>
        <w:rPr>
          <w:rFonts w:ascii="宋体" w:hAnsi="宋体" w:hint="eastAsia"/>
          <w:b/>
          <w:bCs/>
          <w:color w:val="0000FF"/>
          <w:szCs w:val="21"/>
          <w:u w:val="single"/>
          <w:lang w:val="en-US" w:eastAsia="zh-CN"/>
        </w:rPr>
        <w:t xml:space="preserve">/ </w:t>
      </w:r>
      <w:r>
        <w:rPr>
          <w:rFonts w:ascii="宋体" w:hAnsi="宋体" w:hint="eastAsia"/>
          <w:b/>
          <w:bCs/>
          <w:color w:val="0000FF"/>
          <w:szCs w:val="21"/>
        </w:rPr>
        <w:t>%</w:t>
      </w:r>
      <w:r>
        <w:rPr>
          <w:rFonts w:hint="eastAsia"/>
          <w:szCs w:val="21"/>
        </w:rPr>
        <w:t>的扣除，用扣除后的价格参与评审。</w:t>
      </w:r>
    </w:p>
    <w:p>
      <w:pPr>
        <w:spacing w:line="360" w:lineRule="auto"/>
        <w:jc w:val="left"/>
        <w:rPr>
          <w:rFonts w:hint="eastAsia"/>
          <w:szCs w:val="21"/>
        </w:rPr>
      </w:pPr>
      <w:r>
        <w:rPr>
          <w:rFonts w:hint="eastAsia"/>
          <w:szCs w:val="21"/>
        </w:rPr>
        <w:t>4.</w:t>
      </w:r>
      <w:r>
        <w:rPr>
          <w:rFonts w:hint="eastAsia"/>
          <w:b/>
          <w:bCs/>
          <w:szCs w:val="21"/>
        </w:rPr>
        <w:t>（本项目不适用）</w:t>
      </w:r>
      <w:r>
        <w:rPr>
          <w:rFonts w:hint="eastAsia"/>
          <w:szCs w:val="21"/>
        </w:rPr>
        <w:t>大中型企业向一家或者多家小微企业分包的，且分包意向协议约定，优惠主体的协议合同金额占到合同总金额30%以上的，可给予投标人</w:t>
      </w:r>
      <w:r>
        <w:rPr>
          <w:rFonts w:ascii="宋体" w:hAnsi="宋体" w:hint="eastAsia"/>
          <w:b/>
          <w:bCs/>
          <w:color w:val="0000FF"/>
          <w:szCs w:val="21"/>
          <w:u w:val="single"/>
        </w:rPr>
        <w:t xml:space="preserve"> / </w:t>
      </w:r>
      <w:r>
        <w:rPr>
          <w:rFonts w:ascii="宋体" w:hAnsi="宋体" w:hint="eastAsia"/>
          <w:b/>
          <w:bCs/>
          <w:color w:val="0000FF"/>
          <w:szCs w:val="21"/>
        </w:rPr>
        <w:t xml:space="preserve">% </w:t>
      </w:r>
      <w:r>
        <w:rPr>
          <w:rFonts w:hint="eastAsia"/>
          <w:szCs w:val="21"/>
        </w:rPr>
        <w:t>的价格扣除，用扣除后的价格参与评审。</w:t>
      </w:r>
    </w:p>
    <w:p>
      <w:pPr>
        <w:spacing w:line="360" w:lineRule="auto"/>
        <w:jc w:val="center"/>
        <w:rPr>
          <w:rFonts w:ascii="宋体" w:hAnsi="宋体" w:hint="eastAsia"/>
          <w:b/>
          <w:bCs/>
          <w:szCs w:val="21"/>
        </w:rPr>
      </w:pPr>
      <w:r>
        <w:rPr>
          <w:rFonts w:ascii="宋体" w:hAnsi="宋体" w:hint="eastAsia"/>
          <w:b/>
          <w:bCs/>
          <w:sz w:val="28"/>
          <w:szCs w:val="28"/>
        </w:rPr>
        <w:t>评分细则表</w:t>
      </w:r>
    </w:p>
    <w:tbl>
      <w:tblPr>
        <w:tblStyle w:val="TableNormal"/>
        <w:tblpPr w:leftFromText="180" w:rightFromText="180" w:vertAnchor="text" w:horzAnchor="page" w:tblpX="1417" w:tblpY="268"/>
        <w:tblOverlap w:val="never"/>
        <w:tblW w:w="92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522"/>
        <w:gridCol w:w="550"/>
        <w:gridCol w:w="1647"/>
        <w:gridCol w:w="791"/>
        <w:gridCol w:w="5746"/>
      </w:tblGrid>
      <w:tr>
        <w:tblPrEx>
          <w:tblW w:w="92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22"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序号</w:t>
            </w:r>
          </w:p>
        </w:tc>
        <w:tc>
          <w:tcPr>
            <w:tcW w:w="2988" w:type="dxa"/>
            <w:gridSpan w:val="3"/>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评分项</w:t>
            </w:r>
          </w:p>
        </w:tc>
        <w:tc>
          <w:tcPr>
            <w:tcW w:w="5746"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权重</w:t>
            </w:r>
          </w:p>
        </w:tc>
      </w:tr>
      <w:tr>
        <w:tblPrEx>
          <w:tblW w:w="9256" w:type="dxa"/>
          <w:tblInd w:w="0" w:type="dxa"/>
          <w:tblCellMar>
            <w:top w:w="0" w:type="dxa"/>
            <w:left w:w="108" w:type="dxa"/>
            <w:bottom w:w="0" w:type="dxa"/>
            <w:right w:w="108" w:type="dxa"/>
          </w:tblCellMar>
        </w:tblPrEx>
        <w:tc>
          <w:tcPr>
            <w:tcW w:w="522" w:type="dxa"/>
            <w:tcBorders>
              <w:top w:val="single" w:sz="4" w:space="0" w:color="auto"/>
              <w:left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eastAsia"/>
                <w:color w:val="auto"/>
                <w:szCs w:val="21"/>
                <w:lang w:eastAsia="zh-CN"/>
              </w:rPr>
            </w:pPr>
            <w:r>
              <w:rPr>
                <w:rFonts w:ascii="宋体" w:hAnsi="宋体" w:cs="Times New Roman" w:hint="eastAsia"/>
                <w:color w:val="auto"/>
                <w:szCs w:val="21"/>
                <w:lang w:val="en-US" w:eastAsia="zh-CN"/>
              </w:rPr>
              <w:t>一</w:t>
            </w:r>
          </w:p>
        </w:tc>
        <w:tc>
          <w:tcPr>
            <w:tcW w:w="2988" w:type="dxa"/>
            <w:gridSpan w:val="3"/>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价格</w:t>
            </w:r>
          </w:p>
        </w:tc>
        <w:tc>
          <w:tcPr>
            <w:tcW w:w="5746"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Calibri" w:eastAsia="宋体" w:hAnsi="Calibri" w:cs="Times New Roman" w:hint="default"/>
                <w:color w:val="auto"/>
                <w:lang w:val="en-US" w:eastAsia="zh-CN"/>
              </w:rPr>
            </w:pPr>
            <w:r>
              <w:rPr>
                <w:rFonts w:ascii="Calibri" w:eastAsia="宋体" w:hAnsi="Calibri" w:cs="Times New Roman" w:hint="eastAsia"/>
                <w:color w:val="auto"/>
                <w:lang w:val="en-US" w:eastAsia="zh-CN"/>
              </w:rPr>
              <w:t>10</w:t>
            </w:r>
          </w:p>
        </w:tc>
      </w:tr>
      <w:tr>
        <w:tblPrEx>
          <w:tblW w:w="9256" w:type="dxa"/>
          <w:tblInd w:w="0" w:type="dxa"/>
          <w:tblCellMar>
            <w:top w:w="0" w:type="dxa"/>
            <w:left w:w="108" w:type="dxa"/>
            <w:bottom w:w="0" w:type="dxa"/>
            <w:right w:w="108" w:type="dxa"/>
          </w:tblCellMar>
        </w:tblPrEx>
        <w:tc>
          <w:tcPr>
            <w:tcW w:w="522"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eastAsia"/>
                <w:color w:val="auto"/>
                <w:szCs w:val="21"/>
                <w:lang w:eastAsia="zh-CN"/>
              </w:rPr>
            </w:pPr>
            <w:r>
              <w:rPr>
                <w:rFonts w:ascii="宋体" w:hAnsi="宋体" w:cs="Times New Roman" w:hint="eastAsia"/>
                <w:color w:val="auto"/>
                <w:szCs w:val="21"/>
                <w:lang w:val="en-US" w:eastAsia="zh-CN"/>
              </w:rPr>
              <w:t>二</w:t>
            </w:r>
          </w:p>
        </w:tc>
        <w:tc>
          <w:tcPr>
            <w:tcW w:w="2988" w:type="dxa"/>
            <w:gridSpan w:val="3"/>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技术</w:t>
            </w:r>
          </w:p>
        </w:tc>
        <w:tc>
          <w:tcPr>
            <w:tcW w:w="5746"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default"/>
                <w:color w:val="auto"/>
                <w:szCs w:val="21"/>
                <w:lang w:val="en-US"/>
              </w:rPr>
            </w:pPr>
            <w:r>
              <w:rPr>
                <w:rFonts w:ascii="宋体" w:eastAsia="宋体" w:hAnsi="宋体" w:cs="Times New Roman" w:hint="eastAsia"/>
                <w:color w:val="auto"/>
                <w:szCs w:val="21"/>
                <w:lang w:val="en-US" w:eastAsia="zh-CN"/>
              </w:rPr>
              <w:t>43</w:t>
            </w:r>
          </w:p>
        </w:tc>
      </w:tr>
      <w:tr>
        <w:tblPrEx>
          <w:tblW w:w="9256" w:type="dxa"/>
          <w:tblInd w:w="0" w:type="dxa"/>
          <w:tblCellMar>
            <w:top w:w="0" w:type="dxa"/>
            <w:left w:w="108" w:type="dxa"/>
            <w:bottom w:w="0" w:type="dxa"/>
            <w:right w:w="108" w:type="dxa"/>
          </w:tblCellMar>
        </w:tblPrEx>
        <w:trPr>
          <w:trHeight w:val="63"/>
        </w:trPr>
        <w:tc>
          <w:tcPr>
            <w:tcW w:w="522" w:type="dxa"/>
            <w:vMerge w:val="restart"/>
            <w:tcBorders>
              <w:top w:val="single" w:sz="4" w:space="0" w:color="auto"/>
              <w:left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行号</w:t>
            </w: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内容</w:t>
            </w: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权重</w:t>
            </w:r>
          </w:p>
        </w:tc>
        <w:tc>
          <w:tcPr>
            <w:tcW w:w="5746"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评分准则</w:t>
            </w:r>
          </w:p>
        </w:tc>
      </w:tr>
      <w:tr>
        <w:tblPrEx>
          <w:tblW w:w="9256" w:type="dxa"/>
          <w:tblInd w:w="0" w:type="dxa"/>
          <w:tblCellMar>
            <w:top w:w="0" w:type="dxa"/>
            <w:left w:w="108" w:type="dxa"/>
            <w:bottom w:w="0" w:type="dxa"/>
            <w:right w:w="108" w:type="dxa"/>
          </w:tblCellMar>
        </w:tblPrEx>
        <w:trPr>
          <w:trHeight w:val="255"/>
        </w:trPr>
        <w:tc>
          <w:tcPr>
            <w:tcW w:w="522" w:type="dxa"/>
            <w:vMerge/>
            <w:tcBorders>
              <w:left w:val="single" w:sz="4" w:space="0" w:color="auto"/>
              <w:right w:val="single" w:sz="4" w:space="0" w:color="auto"/>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color w:val="auto"/>
                <w:szCs w:val="21"/>
                <w:highlight w:val="none"/>
              </w:rPr>
              <w:t>1</w:t>
            </w: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hint="eastAsia"/>
                <w:color w:val="auto"/>
                <w:szCs w:val="21"/>
                <w:highlight w:val="none"/>
              </w:rPr>
              <w:t>实施方案</w:t>
            </w: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default"/>
                <w:color w:val="auto"/>
                <w:szCs w:val="21"/>
                <w:highlight w:val="none"/>
                <w:lang w:val="en-US" w:eastAsia="zh-CN"/>
              </w:rPr>
            </w:pPr>
            <w:r>
              <w:rPr>
                <w:rFonts w:ascii="宋体" w:eastAsia="宋体" w:hAnsi="宋体" w:cs="Times New Roman" w:hint="eastAsia"/>
                <w:color w:val="auto"/>
                <w:szCs w:val="21"/>
                <w:highlight w:val="none"/>
                <w:lang w:val="en-US" w:eastAsia="zh-CN"/>
              </w:rPr>
              <w:t>15</w:t>
            </w:r>
          </w:p>
        </w:tc>
        <w:tc>
          <w:tcPr>
            <w:tcW w:w="5746"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b/>
                <w:bCs/>
                <w:color w:val="auto"/>
                <w:szCs w:val="21"/>
                <w:highlight w:val="none"/>
              </w:rPr>
            </w:pPr>
            <w:r>
              <w:rPr>
                <w:rFonts w:ascii="宋体" w:eastAsia="宋体" w:hAnsi="宋体" w:cs="Times New Roman" w:hint="eastAsia"/>
                <w:b/>
                <w:bCs/>
                <w:color w:val="auto"/>
                <w:szCs w:val="21"/>
                <w:highlight w:val="none"/>
              </w:rPr>
              <w:t>（一）评分内容：</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rPr>
              <w:t>投标人制定符合本项目特点的实施方案，包含</w:t>
            </w:r>
            <w:r>
              <w:rPr>
                <w:rFonts w:ascii="宋体" w:eastAsia="宋体" w:hAnsi="宋体" w:cs="Times New Roman" w:hint="eastAsia"/>
                <w:color w:val="auto"/>
                <w:szCs w:val="21"/>
                <w:highlight w:val="none"/>
                <w:lang w:val="en-US" w:eastAsia="zh-CN"/>
              </w:rPr>
              <w:t>但不限于以下内容</w:t>
            </w:r>
            <w:r>
              <w:rPr>
                <w:rFonts w:ascii="宋体" w:eastAsia="宋体" w:hAnsi="宋体" w:cs="Times New Roman" w:hint="eastAsia"/>
                <w:color w:val="auto"/>
                <w:szCs w:val="21"/>
                <w:highlight w:val="none"/>
              </w:rPr>
              <w:t>：</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lang w:eastAsia="zh-CN"/>
              </w:rPr>
            </w:pPr>
            <w:r>
              <w:rPr>
                <w:rFonts w:ascii="宋体" w:eastAsia="宋体" w:hAnsi="宋体" w:cs="Times New Roman" w:hint="eastAsia"/>
                <w:color w:val="auto"/>
                <w:szCs w:val="21"/>
                <w:highlight w:val="none"/>
                <w:lang w:val="en-US" w:eastAsia="zh-CN"/>
              </w:rPr>
              <w:t>1.</w:t>
            </w:r>
            <w:r>
              <w:rPr>
                <w:rFonts w:ascii="宋体" w:eastAsia="宋体" w:hAnsi="宋体" w:cs="Times New Roman" w:hint="eastAsia"/>
                <w:color w:val="auto"/>
                <w:szCs w:val="21"/>
                <w:highlight w:val="none"/>
              </w:rPr>
              <w:t>工作措施</w:t>
            </w:r>
            <w:r>
              <w:rPr>
                <w:rFonts w:ascii="宋体" w:eastAsia="宋体" w:hAnsi="宋体" w:cs="Times New Roman" w:hint="eastAsia"/>
                <w:color w:val="auto"/>
                <w:szCs w:val="21"/>
                <w:highlight w:val="none"/>
                <w:lang w:eastAsia="zh-CN"/>
              </w:rPr>
              <w:t>；</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lang w:eastAsia="zh-CN"/>
              </w:rPr>
            </w:pPr>
            <w:r>
              <w:rPr>
                <w:rFonts w:ascii="宋体" w:eastAsia="宋体" w:hAnsi="宋体" w:cs="Times New Roman" w:hint="eastAsia"/>
                <w:color w:val="auto"/>
                <w:szCs w:val="21"/>
                <w:highlight w:val="none"/>
                <w:lang w:val="en-US" w:eastAsia="zh-CN"/>
              </w:rPr>
              <w:t>2.</w:t>
            </w:r>
            <w:r>
              <w:rPr>
                <w:rFonts w:ascii="宋体" w:eastAsia="宋体" w:hAnsi="宋体" w:cs="Times New Roman" w:hint="eastAsia"/>
                <w:color w:val="auto"/>
                <w:szCs w:val="21"/>
                <w:highlight w:val="none"/>
              </w:rPr>
              <w:t>工作方法</w:t>
            </w:r>
            <w:r>
              <w:rPr>
                <w:rFonts w:ascii="宋体" w:eastAsia="宋体" w:hAnsi="宋体" w:cs="Times New Roman" w:hint="eastAsia"/>
                <w:color w:val="auto"/>
                <w:szCs w:val="21"/>
                <w:highlight w:val="none"/>
                <w:lang w:eastAsia="zh-CN"/>
              </w:rPr>
              <w:t>；</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lang w:eastAsia="zh-CN"/>
              </w:rPr>
            </w:pPr>
            <w:r>
              <w:rPr>
                <w:rFonts w:ascii="宋体" w:eastAsia="宋体" w:hAnsi="宋体" w:cs="Times New Roman" w:hint="eastAsia"/>
                <w:color w:val="auto"/>
                <w:szCs w:val="21"/>
                <w:highlight w:val="none"/>
                <w:lang w:val="en-US" w:eastAsia="zh-CN"/>
              </w:rPr>
              <w:t>3.</w:t>
            </w:r>
            <w:r>
              <w:rPr>
                <w:rFonts w:ascii="宋体" w:eastAsia="宋体" w:hAnsi="宋体" w:cs="Times New Roman" w:hint="eastAsia"/>
                <w:color w:val="auto"/>
                <w:szCs w:val="21"/>
                <w:highlight w:val="none"/>
              </w:rPr>
              <w:t>工作手段</w:t>
            </w:r>
            <w:r>
              <w:rPr>
                <w:rFonts w:ascii="宋体" w:eastAsia="宋体" w:hAnsi="宋体" w:cs="Times New Roman" w:hint="eastAsia"/>
                <w:color w:val="auto"/>
                <w:szCs w:val="21"/>
                <w:highlight w:val="none"/>
                <w:lang w:eastAsia="zh-CN"/>
              </w:rPr>
              <w:t>；</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lang w:val="en-US" w:eastAsia="zh-CN"/>
              </w:rPr>
              <w:t>4.</w:t>
            </w:r>
            <w:r>
              <w:rPr>
                <w:rFonts w:ascii="宋体" w:eastAsia="宋体" w:hAnsi="宋体" w:cs="Times New Roman" w:hint="eastAsia"/>
                <w:color w:val="auto"/>
                <w:szCs w:val="21"/>
                <w:highlight w:val="none"/>
              </w:rPr>
              <w:t>工作流程。</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b/>
                <w:bCs/>
                <w:color w:val="auto"/>
                <w:szCs w:val="21"/>
                <w:highlight w:val="none"/>
              </w:rPr>
            </w:pPr>
            <w:r>
              <w:rPr>
                <w:rFonts w:ascii="宋体" w:eastAsia="宋体" w:hAnsi="宋体" w:cs="Times New Roman" w:hint="eastAsia"/>
                <w:b/>
                <w:bCs/>
                <w:color w:val="auto"/>
                <w:szCs w:val="21"/>
                <w:highlight w:val="none"/>
              </w:rPr>
              <w:t>（二）评分依据：</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lang w:eastAsia="zh-CN"/>
              </w:rPr>
            </w:pPr>
            <w:r>
              <w:rPr>
                <w:rFonts w:ascii="宋体" w:eastAsia="宋体" w:hAnsi="宋体" w:cs="Times New Roman" w:hint="eastAsia"/>
                <w:color w:val="auto"/>
                <w:szCs w:val="21"/>
                <w:highlight w:val="none"/>
              </w:rPr>
              <w:t>每提供上述任意一项内容得</w:t>
            </w:r>
            <w:r>
              <w:rPr>
                <w:rFonts w:ascii="宋体" w:hAnsi="宋体" w:cs="Times New Roman" w:hint="eastAsia"/>
                <w:color w:val="auto"/>
                <w:szCs w:val="21"/>
                <w:highlight w:val="none"/>
                <w:lang w:val="en-US" w:eastAsia="zh-CN"/>
              </w:rPr>
              <w:t>10</w:t>
            </w:r>
            <w:r>
              <w:rPr>
                <w:rFonts w:ascii="宋体" w:eastAsia="宋体" w:hAnsi="宋体" w:cs="Times New Roman" w:hint="eastAsia"/>
                <w:color w:val="auto"/>
                <w:szCs w:val="21"/>
                <w:highlight w:val="none"/>
              </w:rPr>
              <w:t>分，全部提供得</w:t>
            </w:r>
            <w:r>
              <w:rPr>
                <w:rFonts w:ascii="宋体" w:hAnsi="宋体" w:cs="Times New Roman" w:hint="eastAsia"/>
                <w:color w:val="auto"/>
                <w:szCs w:val="21"/>
                <w:highlight w:val="none"/>
                <w:lang w:val="en-US" w:eastAsia="zh-CN"/>
              </w:rPr>
              <w:t>40</w:t>
            </w:r>
            <w:r>
              <w:rPr>
                <w:rFonts w:ascii="宋体" w:eastAsia="宋体" w:hAnsi="宋体" w:cs="Times New Roman" w:hint="eastAsia"/>
                <w:color w:val="auto"/>
                <w:szCs w:val="21"/>
                <w:highlight w:val="none"/>
              </w:rPr>
              <w:t>分；在此基础上，专家根据各供应商的具体响应内容进一步评审</w:t>
            </w:r>
            <w:r>
              <w:rPr>
                <w:rFonts w:ascii="宋体" w:eastAsia="宋体" w:hAnsi="宋体" w:cs="Times New Roman" w:hint="eastAsia"/>
                <w:color w:val="auto"/>
                <w:szCs w:val="21"/>
                <w:highlight w:val="none"/>
                <w:lang w:eastAsia="zh-CN"/>
              </w:rPr>
              <w:t>：</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lang w:val="en-US" w:eastAsia="zh-CN"/>
              </w:rPr>
              <w:t>评审为优（</w:t>
            </w:r>
            <w:r>
              <w:rPr>
                <w:rFonts w:ascii="宋体" w:eastAsia="宋体" w:hAnsi="宋体" w:cs="Times New Roman" w:hint="eastAsia"/>
                <w:color w:val="auto"/>
                <w:szCs w:val="21"/>
                <w:highlight w:val="none"/>
              </w:rPr>
              <w:t>项目实施方案内容全面、针对性强、科学合理、可操作性强，评估办法专业、轮候机制合理</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lang w:val="en-US" w:eastAsia="zh-CN"/>
              </w:rPr>
              <w:t>加</w:t>
            </w:r>
            <w:r>
              <w:rPr>
                <w:rFonts w:ascii="宋体" w:hAnsi="宋体" w:cs="Times New Roman" w:hint="eastAsia"/>
                <w:color w:val="auto"/>
                <w:szCs w:val="21"/>
                <w:highlight w:val="none"/>
                <w:lang w:val="en-US" w:eastAsia="zh-CN"/>
              </w:rPr>
              <w:t>60</w:t>
            </w:r>
            <w:r>
              <w:rPr>
                <w:rFonts w:ascii="宋体" w:eastAsia="宋体" w:hAnsi="宋体" w:cs="Times New Roman" w:hint="eastAsia"/>
                <w:color w:val="auto"/>
                <w:szCs w:val="21"/>
                <w:highlight w:val="none"/>
              </w:rPr>
              <w:t>分；</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lang w:val="en-US" w:eastAsia="zh-CN"/>
              </w:rPr>
              <w:t>评审为</w:t>
            </w:r>
            <w:r>
              <w:rPr>
                <w:rFonts w:ascii="宋体" w:eastAsia="宋体" w:hAnsi="宋体" w:cs="Times New Roman" w:hint="eastAsia"/>
                <w:color w:val="auto"/>
                <w:szCs w:val="21"/>
                <w:highlight w:val="none"/>
              </w:rPr>
              <w:t>良</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rPr>
              <w:t>项目实施方案内容较为全面、针对性较强、较为科学合理、可操作性较强</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lang w:val="en-US" w:eastAsia="zh-CN"/>
              </w:rPr>
              <w:t>加</w:t>
            </w:r>
            <w:r>
              <w:rPr>
                <w:rFonts w:ascii="宋体" w:hAnsi="宋体" w:cs="Times New Roman" w:hint="eastAsia"/>
                <w:color w:val="auto"/>
                <w:szCs w:val="21"/>
                <w:highlight w:val="none"/>
                <w:lang w:val="en-US" w:eastAsia="zh-CN"/>
              </w:rPr>
              <w:t>40</w:t>
            </w:r>
            <w:r>
              <w:rPr>
                <w:rFonts w:ascii="宋体" w:eastAsia="宋体" w:hAnsi="宋体" w:cs="Times New Roman" w:hint="eastAsia"/>
                <w:color w:val="auto"/>
                <w:szCs w:val="21"/>
                <w:highlight w:val="none"/>
              </w:rPr>
              <w:t>分。</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lang w:val="en-US" w:eastAsia="zh-CN"/>
              </w:rPr>
              <w:t>评审为</w:t>
            </w:r>
            <w:r>
              <w:rPr>
                <w:rFonts w:ascii="宋体" w:eastAsia="宋体" w:hAnsi="宋体" w:cs="Times New Roman" w:hint="eastAsia"/>
                <w:color w:val="auto"/>
                <w:szCs w:val="21"/>
                <w:highlight w:val="none"/>
              </w:rPr>
              <w:t>中</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rPr>
              <w:t>项目实施方案内容不够全面、针对性一般、不够科学合理、可操作性一般</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lang w:val="en-US" w:eastAsia="zh-CN"/>
              </w:rPr>
              <w:t>加</w:t>
            </w:r>
            <w:r>
              <w:rPr>
                <w:rFonts w:ascii="宋体" w:hAnsi="宋体" w:cs="Times New Roman" w:hint="eastAsia"/>
                <w:color w:val="auto"/>
                <w:szCs w:val="21"/>
                <w:highlight w:val="none"/>
                <w:lang w:val="en-US" w:eastAsia="zh-CN"/>
              </w:rPr>
              <w:t>2</w:t>
            </w:r>
            <w:r>
              <w:rPr>
                <w:rFonts w:ascii="宋体" w:eastAsia="宋体" w:hAnsi="宋体" w:cs="Times New Roman" w:hint="eastAsia"/>
                <w:color w:val="auto"/>
                <w:szCs w:val="21"/>
                <w:highlight w:val="none"/>
              </w:rPr>
              <w:t>0分。</w:t>
            </w:r>
          </w:p>
          <w:p>
            <w:pPr>
              <w:keepNext w:val="0"/>
              <w:keepLines w:val="0"/>
              <w:suppressLineNumbers w:val="0"/>
              <w:adjustRightInd w:val="0"/>
              <w:snapToGrid w:val="0"/>
              <w:spacing w:before="0" w:beforeAutospacing="0" w:after="0" w:afterAutospacing="0"/>
              <w:ind w:left="0" w:right="0"/>
              <w:rPr>
                <w:rFonts w:ascii="宋体" w:eastAsia="宋体" w:hAnsi="宋体" w:cs="Times New Roman"/>
                <w:color w:val="auto"/>
                <w:szCs w:val="21"/>
                <w:highlight w:val="none"/>
              </w:rPr>
            </w:pPr>
            <w:r>
              <w:rPr>
                <w:rFonts w:ascii="宋体" w:eastAsia="宋体" w:hAnsi="宋体" w:cs="Times New Roman" w:hint="eastAsia"/>
                <w:color w:val="auto"/>
                <w:szCs w:val="21"/>
                <w:highlight w:val="none"/>
                <w:lang w:val="en-US" w:eastAsia="zh-CN"/>
              </w:rPr>
              <w:t>评审为</w:t>
            </w:r>
            <w:r>
              <w:rPr>
                <w:rFonts w:ascii="宋体" w:eastAsia="宋体" w:hAnsi="宋体" w:cs="Times New Roman" w:hint="eastAsia"/>
                <w:color w:val="auto"/>
                <w:szCs w:val="21"/>
                <w:highlight w:val="none"/>
              </w:rPr>
              <w:t>差</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rPr>
              <w:t>项目实施方案内容不全面、无针对性、不科学不合理、可操作性差</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rPr>
              <w:t>不</w:t>
            </w:r>
            <w:r>
              <w:rPr>
                <w:rFonts w:ascii="宋体" w:eastAsia="宋体" w:hAnsi="宋体" w:cs="Times New Roman" w:hint="eastAsia"/>
                <w:color w:val="auto"/>
                <w:szCs w:val="21"/>
                <w:highlight w:val="none"/>
                <w:lang w:val="en-US" w:eastAsia="zh-CN"/>
              </w:rPr>
              <w:t>加</w:t>
            </w:r>
            <w:r>
              <w:rPr>
                <w:rFonts w:ascii="宋体" w:eastAsia="宋体" w:hAnsi="宋体" w:cs="Times New Roman" w:hint="eastAsia"/>
                <w:color w:val="auto"/>
                <w:szCs w:val="21"/>
                <w:highlight w:val="none"/>
              </w:rPr>
              <w:t>分。如果评审为差，要求专家书面说明理由，并记录在档。</w:t>
            </w:r>
          </w:p>
        </w:tc>
      </w:tr>
      <w:tr>
        <w:tblPrEx>
          <w:tblW w:w="9256" w:type="dxa"/>
          <w:tblInd w:w="0" w:type="dxa"/>
          <w:tblCellMar>
            <w:top w:w="0" w:type="dxa"/>
            <w:left w:w="108" w:type="dxa"/>
            <w:bottom w:w="0" w:type="dxa"/>
            <w:right w:w="108" w:type="dxa"/>
          </w:tblCellMar>
        </w:tblPrEx>
        <w:trPr>
          <w:trHeight w:val="63"/>
        </w:trPr>
        <w:tc>
          <w:tcPr>
            <w:tcW w:w="522" w:type="dxa"/>
            <w:vMerge/>
            <w:tcBorders>
              <w:left w:val="single" w:sz="4" w:space="0" w:color="auto"/>
              <w:right w:val="single" w:sz="4" w:space="0" w:color="auto"/>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color w:val="auto"/>
                <w:szCs w:val="21"/>
                <w:highlight w:val="none"/>
              </w:rPr>
              <w:t>2</w:t>
            </w: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hint="eastAsia"/>
                <w:color w:val="auto"/>
                <w:szCs w:val="21"/>
                <w:highlight w:val="none"/>
              </w:rPr>
              <w:t>项目重点难点分析、应对措施及相关的合理化建议</w:t>
            </w: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default"/>
                <w:color w:val="auto"/>
                <w:szCs w:val="21"/>
                <w:highlight w:val="none"/>
                <w:lang w:val="en-US"/>
              </w:rPr>
            </w:pPr>
            <w:r>
              <w:rPr>
                <w:rFonts w:ascii="宋体" w:hAnsi="宋体" w:cs="Times New Roman" w:hint="eastAsia"/>
                <w:color w:val="auto"/>
                <w:szCs w:val="21"/>
                <w:highlight w:val="none"/>
                <w:lang w:val="en-US" w:eastAsia="zh-CN"/>
              </w:rPr>
              <w:t>15</w:t>
            </w:r>
          </w:p>
        </w:tc>
        <w:tc>
          <w:tcPr>
            <w:tcW w:w="5746"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b/>
                <w:bCs/>
                <w:color w:val="auto"/>
                <w:szCs w:val="21"/>
                <w:highlight w:val="none"/>
              </w:rPr>
            </w:pPr>
            <w:r>
              <w:rPr>
                <w:rFonts w:ascii="宋体" w:eastAsia="宋体" w:hAnsi="宋体" w:cs="Times New Roman" w:hint="eastAsia"/>
                <w:b/>
                <w:bCs/>
                <w:color w:val="auto"/>
                <w:szCs w:val="21"/>
                <w:highlight w:val="none"/>
              </w:rPr>
              <w:t>（一）评分内容：</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rPr>
              <w:t>投标单位提供</w:t>
            </w:r>
            <w:r>
              <w:rPr>
                <w:rFonts w:ascii="宋体" w:eastAsia="宋体" w:hAnsi="宋体" w:cs="Times New Roman" w:hint="eastAsia"/>
                <w:color w:val="auto"/>
                <w:szCs w:val="21"/>
                <w:highlight w:val="none"/>
                <w:lang w:val="en-US" w:eastAsia="zh-CN"/>
              </w:rPr>
              <w:t>项目</w:t>
            </w:r>
            <w:r>
              <w:rPr>
                <w:rFonts w:ascii="宋体" w:eastAsia="宋体" w:hAnsi="宋体" w:cs="Times New Roman" w:hint="eastAsia"/>
                <w:color w:val="auto"/>
                <w:szCs w:val="21"/>
                <w:highlight w:val="none"/>
              </w:rPr>
              <w:t>重点难点分析、应对措施及相关的合理化建议，包含</w:t>
            </w:r>
            <w:r>
              <w:rPr>
                <w:rFonts w:ascii="宋体" w:eastAsia="宋体" w:hAnsi="宋体" w:cs="Times New Roman" w:hint="eastAsia"/>
                <w:color w:val="auto"/>
                <w:szCs w:val="21"/>
                <w:highlight w:val="none"/>
                <w:lang w:val="en-US" w:eastAsia="zh-CN"/>
              </w:rPr>
              <w:t>但不限于以下内容</w:t>
            </w:r>
            <w:r>
              <w:rPr>
                <w:rFonts w:ascii="宋体" w:eastAsia="宋体" w:hAnsi="宋体" w:cs="Times New Roman" w:hint="eastAsia"/>
                <w:color w:val="auto"/>
                <w:szCs w:val="21"/>
                <w:highlight w:val="none"/>
              </w:rPr>
              <w:t>：</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rPr>
              <w:t>1.提供符合本项目服务特点的相关重点难点分析；</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rPr>
              <w:t>2.针对重难点分析提出应对措施，结合上述内容提出合理化建议。</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b/>
                <w:bCs/>
                <w:color w:val="auto"/>
                <w:szCs w:val="21"/>
                <w:highlight w:val="none"/>
              </w:rPr>
            </w:pPr>
            <w:r>
              <w:rPr>
                <w:rFonts w:ascii="宋体" w:eastAsia="宋体" w:hAnsi="宋体" w:cs="Times New Roman" w:hint="eastAsia"/>
                <w:b/>
                <w:bCs/>
                <w:color w:val="auto"/>
                <w:szCs w:val="21"/>
                <w:highlight w:val="none"/>
              </w:rPr>
              <w:t>（二）评分依据：</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rPr>
              <w:t>每提供上述任意一项内容得</w:t>
            </w:r>
            <w:r>
              <w:rPr>
                <w:rFonts w:ascii="宋体" w:hAnsi="宋体" w:cs="Times New Roman" w:hint="eastAsia"/>
                <w:color w:val="auto"/>
                <w:szCs w:val="21"/>
                <w:highlight w:val="none"/>
                <w:lang w:val="en-US" w:eastAsia="zh-CN"/>
              </w:rPr>
              <w:t>15</w:t>
            </w:r>
            <w:r>
              <w:rPr>
                <w:rFonts w:ascii="宋体" w:eastAsia="宋体" w:hAnsi="宋体" w:cs="Times New Roman" w:hint="eastAsia"/>
                <w:color w:val="auto"/>
                <w:szCs w:val="21"/>
                <w:highlight w:val="none"/>
              </w:rPr>
              <w:t>分，全部提供得</w:t>
            </w:r>
            <w:r>
              <w:rPr>
                <w:rFonts w:ascii="宋体" w:hAnsi="宋体" w:cs="Times New Roman" w:hint="eastAsia"/>
                <w:color w:val="auto"/>
                <w:szCs w:val="21"/>
                <w:highlight w:val="none"/>
                <w:lang w:val="en-US" w:eastAsia="zh-CN"/>
              </w:rPr>
              <w:t>30</w:t>
            </w:r>
            <w:r>
              <w:rPr>
                <w:rFonts w:ascii="宋体" w:eastAsia="宋体" w:hAnsi="宋体" w:cs="Times New Roman" w:hint="eastAsia"/>
                <w:color w:val="auto"/>
                <w:szCs w:val="21"/>
                <w:highlight w:val="none"/>
              </w:rPr>
              <w:t>分。</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lang w:eastAsia="zh-CN"/>
              </w:rPr>
            </w:pPr>
            <w:r>
              <w:rPr>
                <w:rFonts w:ascii="宋体" w:eastAsia="宋体" w:hAnsi="宋体" w:cs="Times New Roman" w:hint="eastAsia"/>
                <w:color w:val="auto"/>
                <w:szCs w:val="21"/>
                <w:highlight w:val="none"/>
              </w:rPr>
              <w:t>在此基础上</w:t>
            </w:r>
            <w:r>
              <w:rPr>
                <w:rFonts w:ascii="宋体" w:eastAsia="宋体" w:hAnsi="宋体" w:cs="Times New Roman" w:hint="eastAsia"/>
                <w:color w:val="auto"/>
                <w:szCs w:val="21"/>
                <w:highlight w:val="none"/>
                <w:lang w:eastAsia="zh-CN"/>
              </w:rPr>
              <w:t>：</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lang w:val="en-US" w:eastAsia="zh-CN"/>
              </w:rPr>
              <w:t>评审为</w:t>
            </w:r>
            <w:r>
              <w:rPr>
                <w:rFonts w:ascii="宋体" w:eastAsia="宋体" w:hAnsi="宋体" w:cs="Times New Roman" w:hint="eastAsia"/>
                <w:color w:val="auto"/>
                <w:szCs w:val="21"/>
                <w:highlight w:val="none"/>
              </w:rPr>
              <w:t>优</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rPr>
              <w:t>重点难点分析透彻、应对措施及相关的合理化建议完善</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lang w:val="en-US" w:eastAsia="zh-CN"/>
              </w:rPr>
              <w:t>加</w:t>
            </w:r>
            <w:r>
              <w:rPr>
                <w:rFonts w:ascii="宋体" w:hAnsi="宋体" w:cs="Times New Roman" w:hint="eastAsia"/>
                <w:color w:val="auto"/>
                <w:szCs w:val="21"/>
                <w:highlight w:val="none"/>
                <w:lang w:val="en-US" w:eastAsia="zh-CN"/>
              </w:rPr>
              <w:t>70</w:t>
            </w:r>
            <w:r>
              <w:rPr>
                <w:rFonts w:ascii="宋体" w:eastAsia="宋体" w:hAnsi="宋体" w:cs="Times New Roman" w:hint="eastAsia"/>
                <w:color w:val="auto"/>
                <w:szCs w:val="21"/>
                <w:highlight w:val="none"/>
              </w:rPr>
              <w:t>分。</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lang w:val="en-US" w:eastAsia="zh-CN"/>
              </w:rPr>
              <w:t>评审为</w:t>
            </w:r>
            <w:r>
              <w:rPr>
                <w:rFonts w:ascii="宋体" w:eastAsia="宋体" w:hAnsi="宋体" w:cs="Times New Roman" w:hint="eastAsia"/>
                <w:color w:val="auto"/>
                <w:szCs w:val="21"/>
                <w:highlight w:val="none"/>
              </w:rPr>
              <w:t>良</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rPr>
              <w:t>重点难点分析较为透彻、应对措施及相关的合理化建议较为完善</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lang w:val="en-US" w:eastAsia="zh-CN"/>
              </w:rPr>
              <w:t>加</w:t>
            </w:r>
            <w:r>
              <w:rPr>
                <w:rFonts w:ascii="宋体" w:hAnsi="宋体" w:cs="Times New Roman" w:hint="eastAsia"/>
                <w:color w:val="auto"/>
                <w:szCs w:val="21"/>
                <w:highlight w:val="none"/>
                <w:lang w:val="en-US" w:eastAsia="zh-CN"/>
              </w:rPr>
              <w:t>50</w:t>
            </w:r>
            <w:r>
              <w:rPr>
                <w:rFonts w:ascii="宋体" w:eastAsia="宋体" w:hAnsi="宋体" w:cs="Times New Roman" w:hint="eastAsia"/>
                <w:color w:val="auto"/>
                <w:szCs w:val="21"/>
                <w:highlight w:val="none"/>
              </w:rPr>
              <w:t>分。</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lang w:val="en-US" w:eastAsia="zh-CN"/>
              </w:rPr>
              <w:t>评审为</w:t>
            </w:r>
            <w:r>
              <w:rPr>
                <w:rFonts w:ascii="宋体" w:eastAsia="宋体" w:hAnsi="宋体" w:cs="Times New Roman" w:hint="eastAsia"/>
                <w:color w:val="auto"/>
                <w:szCs w:val="21"/>
                <w:highlight w:val="none"/>
              </w:rPr>
              <w:t>中</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rPr>
              <w:t>重点难点分析一般、应对措施及相关的合理化建议一般</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lang w:val="en-US" w:eastAsia="zh-CN"/>
              </w:rPr>
              <w:t>加</w:t>
            </w:r>
            <w:r>
              <w:rPr>
                <w:rFonts w:ascii="宋体" w:hAnsi="宋体" w:cs="Times New Roman" w:hint="eastAsia"/>
                <w:color w:val="auto"/>
                <w:szCs w:val="21"/>
                <w:highlight w:val="none"/>
                <w:lang w:val="en-US" w:eastAsia="zh-CN"/>
              </w:rPr>
              <w:t>30</w:t>
            </w:r>
            <w:r>
              <w:rPr>
                <w:rFonts w:ascii="宋体" w:eastAsia="宋体" w:hAnsi="宋体" w:cs="Times New Roman" w:hint="eastAsia"/>
                <w:color w:val="auto"/>
                <w:szCs w:val="21"/>
                <w:highlight w:val="none"/>
              </w:rPr>
              <w:t>分。</w:t>
            </w:r>
          </w:p>
          <w:p>
            <w:pPr>
              <w:keepNext w:val="0"/>
              <w:keepLines w:val="0"/>
              <w:suppressLineNumbers w:val="0"/>
              <w:adjustRightInd w:val="0"/>
              <w:snapToGrid w:val="0"/>
              <w:spacing w:before="0" w:beforeAutospacing="0" w:after="0" w:afterAutospacing="0"/>
              <w:ind w:left="0" w:right="0"/>
              <w:rPr>
                <w:rFonts w:ascii="宋体" w:eastAsia="宋体" w:hAnsi="宋体" w:cs="Times New Roman"/>
                <w:color w:val="auto"/>
                <w:szCs w:val="21"/>
                <w:highlight w:val="none"/>
              </w:rPr>
            </w:pPr>
            <w:r>
              <w:rPr>
                <w:rFonts w:ascii="宋体" w:eastAsia="宋体" w:hAnsi="宋体" w:cs="Times New Roman" w:hint="eastAsia"/>
                <w:color w:val="auto"/>
                <w:szCs w:val="21"/>
                <w:highlight w:val="none"/>
                <w:lang w:val="en-US" w:eastAsia="zh-CN"/>
              </w:rPr>
              <w:t>评审为</w:t>
            </w:r>
            <w:r>
              <w:rPr>
                <w:rFonts w:ascii="宋体" w:eastAsia="宋体" w:hAnsi="宋体" w:cs="Times New Roman" w:hint="eastAsia"/>
                <w:color w:val="auto"/>
                <w:szCs w:val="21"/>
                <w:highlight w:val="none"/>
              </w:rPr>
              <w:t>差</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rPr>
              <w:t>重点难点分析不透彻、应对措施及相关的合理化建议不完善</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rPr>
              <w:t>不</w:t>
            </w:r>
            <w:r>
              <w:rPr>
                <w:rFonts w:ascii="宋体" w:eastAsia="宋体" w:hAnsi="宋体" w:cs="Times New Roman" w:hint="eastAsia"/>
                <w:color w:val="auto"/>
                <w:szCs w:val="21"/>
                <w:highlight w:val="none"/>
                <w:lang w:val="en-US" w:eastAsia="zh-CN"/>
              </w:rPr>
              <w:t>加</w:t>
            </w:r>
            <w:r>
              <w:rPr>
                <w:rFonts w:ascii="宋体" w:eastAsia="宋体" w:hAnsi="宋体" w:cs="Times New Roman" w:hint="eastAsia"/>
                <w:color w:val="auto"/>
                <w:szCs w:val="21"/>
                <w:highlight w:val="none"/>
              </w:rPr>
              <w:t>分。如果评审为差，要求专家书面说明理由，并记录在档。</w:t>
            </w:r>
          </w:p>
        </w:tc>
      </w:tr>
      <w:tr>
        <w:tblPrEx>
          <w:tblW w:w="9256" w:type="dxa"/>
          <w:tblInd w:w="0" w:type="dxa"/>
          <w:tblCellMar>
            <w:top w:w="0" w:type="dxa"/>
            <w:left w:w="108" w:type="dxa"/>
            <w:bottom w:w="0" w:type="dxa"/>
            <w:right w:w="108" w:type="dxa"/>
          </w:tblCellMar>
        </w:tblPrEx>
        <w:trPr>
          <w:trHeight w:val="63"/>
        </w:trPr>
        <w:tc>
          <w:tcPr>
            <w:tcW w:w="522" w:type="dxa"/>
            <w:vMerge/>
            <w:tcBorders>
              <w:left w:val="single" w:sz="4" w:space="0" w:color="auto"/>
              <w:right w:val="single" w:sz="4" w:space="0" w:color="auto"/>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color w:val="auto"/>
                <w:szCs w:val="21"/>
                <w:highlight w:val="none"/>
              </w:rPr>
              <w:t>3</w:t>
            </w: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hint="eastAsia"/>
                <w:color w:val="auto"/>
                <w:szCs w:val="21"/>
                <w:highlight w:val="none"/>
              </w:rPr>
              <w:t>质量（完成时间、安全、环保）保障措施及方案</w:t>
            </w: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default"/>
                <w:color w:val="auto"/>
                <w:szCs w:val="21"/>
                <w:highlight w:val="none"/>
                <w:lang w:val="en-US"/>
              </w:rPr>
            </w:pPr>
            <w:r>
              <w:rPr>
                <w:rFonts w:ascii="宋体" w:hAnsi="宋体" w:cs="Times New Roman" w:hint="eastAsia"/>
                <w:color w:val="auto"/>
                <w:szCs w:val="21"/>
                <w:highlight w:val="none"/>
                <w:lang w:val="en-US" w:eastAsia="zh-CN"/>
              </w:rPr>
              <w:t>11</w:t>
            </w:r>
          </w:p>
        </w:tc>
        <w:tc>
          <w:tcPr>
            <w:tcW w:w="5746"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b/>
                <w:bCs/>
                <w:color w:val="auto"/>
                <w:szCs w:val="21"/>
                <w:highlight w:val="none"/>
              </w:rPr>
            </w:pPr>
            <w:r>
              <w:rPr>
                <w:rFonts w:ascii="宋体" w:eastAsia="宋体" w:hAnsi="宋体" w:cs="Times New Roman" w:hint="eastAsia"/>
                <w:b/>
                <w:bCs/>
                <w:color w:val="auto"/>
                <w:szCs w:val="21"/>
                <w:highlight w:val="none"/>
                <w:lang w:eastAsia="zh-CN"/>
              </w:rPr>
              <w:t>（</w:t>
            </w:r>
            <w:r>
              <w:rPr>
                <w:rFonts w:ascii="宋体" w:eastAsia="宋体" w:hAnsi="宋体" w:cs="Times New Roman" w:hint="eastAsia"/>
                <w:b/>
                <w:bCs/>
                <w:color w:val="auto"/>
                <w:szCs w:val="21"/>
                <w:highlight w:val="none"/>
                <w:lang w:val="en-US" w:eastAsia="zh-CN"/>
              </w:rPr>
              <w:t>一</w:t>
            </w:r>
            <w:r>
              <w:rPr>
                <w:rFonts w:ascii="宋体" w:eastAsia="宋体" w:hAnsi="宋体" w:cs="Times New Roman" w:hint="eastAsia"/>
                <w:b/>
                <w:bCs/>
                <w:color w:val="auto"/>
                <w:szCs w:val="21"/>
                <w:highlight w:val="none"/>
                <w:lang w:eastAsia="zh-CN"/>
              </w:rPr>
              <w:t>）</w:t>
            </w:r>
            <w:r>
              <w:rPr>
                <w:rFonts w:ascii="宋体" w:eastAsia="宋体" w:hAnsi="宋体" w:cs="Times New Roman" w:hint="eastAsia"/>
                <w:b/>
                <w:bCs/>
                <w:color w:val="auto"/>
                <w:szCs w:val="21"/>
                <w:highlight w:val="none"/>
              </w:rPr>
              <w:t>评分内容：</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rPr>
              <w:t>投标人</w:t>
            </w:r>
            <w:r>
              <w:rPr>
                <w:rFonts w:ascii="宋体" w:eastAsia="宋体" w:hAnsi="宋体" w:cs="Times New Roman" w:hint="eastAsia"/>
                <w:color w:val="auto"/>
                <w:szCs w:val="21"/>
                <w:highlight w:val="none"/>
                <w:lang w:val="en-US" w:eastAsia="zh-CN"/>
              </w:rPr>
              <w:t>根据招标文件需求制定</w:t>
            </w:r>
            <w:r>
              <w:rPr>
                <w:rFonts w:ascii="宋体" w:eastAsia="宋体" w:hAnsi="宋体" w:cs="Times New Roman" w:hint="eastAsia"/>
                <w:color w:val="auto"/>
                <w:szCs w:val="21"/>
                <w:highlight w:val="none"/>
              </w:rPr>
              <w:t>质量保障措施及方案</w:t>
            </w:r>
            <w:r>
              <w:rPr>
                <w:rFonts w:ascii="宋体" w:eastAsia="宋体" w:hAnsi="宋体" w:cs="Times New Roman" w:hint="eastAsia"/>
                <w:color w:val="auto"/>
                <w:szCs w:val="21"/>
                <w:highlight w:val="none"/>
                <w:lang w:eastAsia="zh-CN"/>
              </w:rPr>
              <w:t>，</w:t>
            </w:r>
            <w:r>
              <w:rPr>
                <w:rFonts w:ascii="宋体" w:eastAsia="宋体" w:hAnsi="宋体" w:cs="Times New Roman" w:hint="eastAsia"/>
                <w:color w:val="auto"/>
                <w:szCs w:val="21"/>
                <w:highlight w:val="none"/>
              </w:rPr>
              <w:t>包含</w:t>
            </w:r>
            <w:r>
              <w:rPr>
                <w:rFonts w:ascii="宋体" w:eastAsia="宋体" w:hAnsi="宋体" w:cs="Times New Roman" w:hint="eastAsia"/>
                <w:color w:val="auto"/>
                <w:szCs w:val="21"/>
                <w:highlight w:val="none"/>
                <w:lang w:val="en-US" w:eastAsia="zh-CN"/>
              </w:rPr>
              <w:t>但不限于以下内容：</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lang w:eastAsia="zh-CN"/>
              </w:rPr>
            </w:pPr>
            <w:r>
              <w:rPr>
                <w:rFonts w:ascii="宋体" w:eastAsia="宋体" w:hAnsi="宋体" w:cs="Times New Roman" w:hint="eastAsia"/>
                <w:color w:val="auto"/>
                <w:szCs w:val="21"/>
                <w:highlight w:val="none"/>
              </w:rPr>
              <w:t>1</w:t>
            </w:r>
            <w:r>
              <w:rPr>
                <w:rFonts w:ascii="宋体" w:eastAsia="宋体" w:hAnsi="宋体" w:cs="Times New Roman" w:hint="eastAsia"/>
                <w:color w:val="auto"/>
                <w:szCs w:val="21"/>
                <w:highlight w:val="none"/>
                <w:lang w:val="en-US" w:eastAsia="zh-CN"/>
              </w:rPr>
              <w:t>.</w:t>
            </w:r>
            <w:r>
              <w:rPr>
                <w:rFonts w:ascii="宋体" w:eastAsia="宋体" w:hAnsi="宋体" w:cs="Times New Roman" w:hint="eastAsia"/>
                <w:color w:val="auto"/>
                <w:szCs w:val="21"/>
                <w:highlight w:val="none"/>
              </w:rPr>
              <w:t>项目进度计划</w:t>
            </w:r>
            <w:r>
              <w:rPr>
                <w:rFonts w:ascii="宋体" w:eastAsia="宋体" w:hAnsi="宋体" w:cs="Times New Roman" w:hint="eastAsia"/>
                <w:color w:val="auto"/>
                <w:szCs w:val="21"/>
                <w:highlight w:val="none"/>
                <w:lang w:eastAsia="zh-CN"/>
              </w:rPr>
              <w:t>；</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lang w:eastAsia="zh-CN"/>
              </w:rPr>
            </w:pPr>
            <w:r>
              <w:rPr>
                <w:rFonts w:ascii="宋体" w:eastAsia="宋体" w:hAnsi="宋体" w:cs="Times New Roman" w:hint="eastAsia"/>
                <w:color w:val="auto"/>
                <w:szCs w:val="21"/>
                <w:highlight w:val="none"/>
                <w:lang w:val="en-US" w:eastAsia="zh-CN"/>
              </w:rPr>
              <w:t>2.项目</w:t>
            </w:r>
            <w:r>
              <w:rPr>
                <w:rFonts w:ascii="宋体" w:eastAsia="宋体" w:hAnsi="宋体" w:cs="Times New Roman" w:hint="eastAsia"/>
                <w:color w:val="auto"/>
                <w:szCs w:val="21"/>
                <w:highlight w:val="none"/>
              </w:rPr>
              <w:t>质量保障</w:t>
            </w:r>
            <w:r>
              <w:rPr>
                <w:rFonts w:ascii="宋体" w:eastAsia="宋体" w:hAnsi="宋体" w:cs="Times New Roman" w:hint="eastAsia"/>
                <w:color w:val="auto"/>
                <w:szCs w:val="21"/>
                <w:highlight w:val="none"/>
                <w:lang w:val="en-US" w:eastAsia="zh-CN"/>
              </w:rPr>
              <w:t>及</w:t>
            </w:r>
            <w:r>
              <w:rPr>
                <w:rFonts w:ascii="宋体" w:eastAsia="宋体" w:hAnsi="宋体" w:cs="Times New Roman" w:hint="eastAsia"/>
                <w:color w:val="auto"/>
                <w:szCs w:val="21"/>
                <w:highlight w:val="none"/>
              </w:rPr>
              <w:t>方案</w:t>
            </w:r>
            <w:r>
              <w:rPr>
                <w:rFonts w:ascii="宋体" w:eastAsia="宋体" w:hAnsi="宋体" w:cs="Times New Roman" w:hint="eastAsia"/>
                <w:color w:val="auto"/>
                <w:szCs w:val="21"/>
                <w:highlight w:val="none"/>
                <w:lang w:eastAsia="zh-CN"/>
              </w:rPr>
              <w:t>；</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lang w:val="en-US"/>
              </w:rPr>
            </w:pPr>
            <w:r>
              <w:rPr>
                <w:rFonts w:ascii="宋体" w:eastAsia="宋体" w:hAnsi="宋体" w:cs="Times New Roman" w:hint="eastAsia"/>
                <w:color w:val="auto"/>
                <w:szCs w:val="21"/>
                <w:highlight w:val="none"/>
                <w:lang w:val="en-US" w:eastAsia="zh-CN"/>
              </w:rPr>
              <w:t>3.项目安全保障措施及突发事件应急方案（包括但不限于残疾人入托期间安全保障及应急方案、残疾人转运安全保障及应急方案）；</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b/>
                <w:bCs/>
                <w:color w:val="auto"/>
                <w:szCs w:val="21"/>
                <w:highlight w:val="none"/>
              </w:rPr>
            </w:pPr>
            <w:r>
              <w:rPr>
                <w:rFonts w:ascii="宋体" w:eastAsia="宋体" w:hAnsi="宋体" w:cs="Times New Roman" w:hint="eastAsia"/>
                <w:b/>
                <w:bCs/>
                <w:color w:val="auto"/>
                <w:szCs w:val="21"/>
                <w:highlight w:val="none"/>
              </w:rPr>
              <w:t>（二）评分</w:t>
            </w:r>
            <w:r>
              <w:rPr>
                <w:rFonts w:ascii="宋体" w:eastAsia="宋体" w:hAnsi="宋体" w:cs="Times New Roman" w:hint="eastAsia"/>
                <w:b/>
                <w:bCs/>
                <w:color w:val="auto"/>
                <w:szCs w:val="21"/>
                <w:highlight w:val="none"/>
                <w:lang w:val="en-US" w:eastAsia="zh-CN"/>
              </w:rPr>
              <w:t>依据</w:t>
            </w:r>
            <w:r>
              <w:rPr>
                <w:rFonts w:ascii="宋体" w:eastAsia="宋体" w:hAnsi="宋体" w:cs="Times New Roman" w:hint="eastAsia"/>
                <w:b/>
                <w:bCs/>
                <w:color w:val="auto"/>
                <w:szCs w:val="21"/>
                <w:highlight w:val="none"/>
              </w:rPr>
              <w:t>：</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rPr>
              <w:t>每提供上述任意一项内容得</w:t>
            </w:r>
            <w:r>
              <w:rPr>
                <w:rFonts w:ascii="宋体" w:hAnsi="宋体" w:cs="Times New Roman" w:hint="eastAsia"/>
                <w:color w:val="auto"/>
                <w:szCs w:val="21"/>
                <w:highlight w:val="none"/>
                <w:lang w:val="en-US" w:eastAsia="zh-CN"/>
              </w:rPr>
              <w:t>10</w:t>
            </w:r>
            <w:r>
              <w:rPr>
                <w:rFonts w:ascii="宋体" w:eastAsia="宋体" w:hAnsi="宋体" w:cs="Times New Roman" w:hint="eastAsia"/>
                <w:color w:val="auto"/>
                <w:szCs w:val="21"/>
                <w:highlight w:val="none"/>
              </w:rPr>
              <w:t>分，全部提供得</w:t>
            </w:r>
            <w:r>
              <w:rPr>
                <w:rFonts w:ascii="宋体" w:hAnsi="宋体" w:cs="Times New Roman" w:hint="eastAsia"/>
                <w:color w:val="auto"/>
                <w:szCs w:val="21"/>
                <w:highlight w:val="none"/>
                <w:lang w:val="en-US" w:eastAsia="zh-CN"/>
              </w:rPr>
              <w:t>30</w:t>
            </w:r>
            <w:r>
              <w:rPr>
                <w:rFonts w:ascii="宋体" w:eastAsia="宋体" w:hAnsi="宋体" w:cs="Times New Roman" w:hint="eastAsia"/>
                <w:color w:val="auto"/>
                <w:szCs w:val="21"/>
                <w:highlight w:val="none"/>
              </w:rPr>
              <w:t>分。</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lang w:eastAsia="zh-CN"/>
              </w:rPr>
            </w:pPr>
            <w:r>
              <w:rPr>
                <w:rFonts w:ascii="宋体" w:eastAsia="宋体" w:hAnsi="宋体" w:cs="Times New Roman" w:hint="eastAsia"/>
                <w:color w:val="auto"/>
                <w:szCs w:val="21"/>
                <w:highlight w:val="none"/>
              </w:rPr>
              <w:t>在此基础上</w:t>
            </w:r>
            <w:r>
              <w:rPr>
                <w:rFonts w:ascii="宋体" w:eastAsia="宋体" w:hAnsi="宋体" w:cs="Times New Roman" w:hint="eastAsia"/>
                <w:color w:val="auto"/>
                <w:szCs w:val="21"/>
                <w:highlight w:val="none"/>
                <w:lang w:eastAsia="zh-CN"/>
              </w:rPr>
              <w:t>：</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lang w:eastAsia="zh-CN"/>
              </w:rPr>
            </w:pPr>
            <w:r>
              <w:rPr>
                <w:rFonts w:ascii="宋体" w:eastAsia="宋体" w:hAnsi="宋体" w:cs="Times New Roman" w:hint="eastAsia"/>
                <w:color w:val="auto"/>
                <w:szCs w:val="21"/>
                <w:highlight w:val="none"/>
              </w:rPr>
              <w:t>评审为优（方案符合实际、完整、规范、思路清晰，内容</w:t>
            </w:r>
            <w:r>
              <w:rPr>
                <w:rFonts w:ascii="宋体" w:eastAsia="宋体" w:hAnsi="宋体" w:cs="Times New Roman" w:hint="eastAsia"/>
                <w:color w:val="auto"/>
                <w:szCs w:val="21"/>
                <w:highlight w:val="none"/>
                <w:lang w:val="en-US" w:eastAsia="zh-CN"/>
              </w:rPr>
              <w:t>符合项目需要并承诺中标后将残疾人安置在1</w:t>
            </w:r>
            <w:r>
              <w:rPr>
                <w:rFonts w:ascii="宋体" w:hAnsi="宋体" w:cs="Times New Roman" w:hint="eastAsia"/>
                <w:color w:val="auto"/>
                <w:szCs w:val="21"/>
                <w:highlight w:val="none"/>
                <w:lang w:val="en-US" w:eastAsia="zh-CN"/>
              </w:rPr>
              <w:t>-2</w:t>
            </w:r>
            <w:r>
              <w:rPr>
                <w:rFonts w:ascii="宋体" w:eastAsia="宋体" w:hAnsi="宋体" w:cs="Times New Roman" w:hint="eastAsia"/>
                <w:color w:val="auto"/>
                <w:szCs w:val="21"/>
                <w:highlight w:val="none"/>
                <w:lang w:val="en-US" w:eastAsia="zh-CN"/>
              </w:rPr>
              <w:t>楼托养</w:t>
            </w:r>
            <w:r>
              <w:rPr>
                <w:rFonts w:ascii="宋体" w:eastAsia="宋体" w:hAnsi="宋体" w:cs="Times New Roman" w:hint="eastAsia"/>
                <w:color w:val="auto"/>
                <w:szCs w:val="21"/>
                <w:highlight w:val="none"/>
              </w:rPr>
              <w:t>）加</w:t>
            </w:r>
            <w:r>
              <w:rPr>
                <w:rFonts w:ascii="宋体" w:hAnsi="宋体" w:cs="Times New Roman" w:hint="eastAsia"/>
                <w:color w:val="auto"/>
                <w:szCs w:val="21"/>
                <w:highlight w:val="none"/>
                <w:lang w:val="en-US" w:eastAsia="zh-CN"/>
              </w:rPr>
              <w:t>70</w:t>
            </w:r>
            <w:r>
              <w:rPr>
                <w:rFonts w:ascii="宋体" w:eastAsia="宋体" w:hAnsi="宋体" w:cs="Times New Roman" w:hint="eastAsia"/>
                <w:color w:val="auto"/>
                <w:szCs w:val="21"/>
                <w:highlight w:val="none"/>
                <w:lang w:val="en-US" w:eastAsia="zh-CN"/>
              </w:rPr>
              <w:t>分</w:t>
            </w:r>
            <w:r>
              <w:rPr>
                <w:rFonts w:ascii="宋体" w:eastAsia="宋体" w:hAnsi="宋体" w:cs="Times New Roman" w:hint="eastAsia"/>
                <w:color w:val="auto"/>
                <w:szCs w:val="21"/>
                <w:highlight w:val="none"/>
                <w:lang w:eastAsia="zh-CN"/>
              </w:rPr>
              <w:t>；</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lang w:eastAsia="zh-CN"/>
              </w:rPr>
            </w:pPr>
            <w:r>
              <w:rPr>
                <w:rFonts w:ascii="宋体" w:eastAsia="宋体" w:hAnsi="宋体" w:cs="Times New Roman" w:hint="eastAsia"/>
                <w:color w:val="auto"/>
                <w:szCs w:val="21"/>
                <w:highlight w:val="none"/>
              </w:rPr>
              <w:t>评审为良（方案较符合实际、较完整规范、思路较清晰，内容</w:t>
            </w:r>
            <w:r>
              <w:rPr>
                <w:rFonts w:ascii="宋体" w:eastAsia="宋体" w:hAnsi="宋体" w:cs="Times New Roman" w:hint="eastAsia"/>
                <w:color w:val="auto"/>
                <w:szCs w:val="21"/>
                <w:highlight w:val="none"/>
                <w:lang w:val="en-US" w:eastAsia="zh-CN"/>
              </w:rPr>
              <w:t>较符合项目需要并承诺中标后将残疾人安置在</w:t>
            </w:r>
            <w:r>
              <w:rPr>
                <w:rFonts w:ascii="宋体" w:hAnsi="宋体" w:cs="Times New Roman" w:hint="eastAsia"/>
                <w:color w:val="auto"/>
                <w:szCs w:val="21"/>
                <w:highlight w:val="none"/>
                <w:lang w:val="en-US" w:eastAsia="zh-CN"/>
              </w:rPr>
              <w:t>3-4</w:t>
            </w:r>
            <w:r>
              <w:rPr>
                <w:rFonts w:ascii="宋体" w:eastAsia="宋体" w:hAnsi="宋体" w:cs="Times New Roman" w:hint="eastAsia"/>
                <w:color w:val="auto"/>
                <w:szCs w:val="21"/>
                <w:highlight w:val="none"/>
                <w:lang w:val="en-US" w:eastAsia="zh-CN"/>
              </w:rPr>
              <w:t>楼托养</w:t>
            </w:r>
            <w:r>
              <w:rPr>
                <w:rFonts w:ascii="宋体" w:eastAsia="宋体" w:hAnsi="宋体" w:cs="Times New Roman" w:hint="eastAsia"/>
                <w:color w:val="auto"/>
                <w:szCs w:val="21"/>
                <w:highlight w:val="none"/>
              </w:rPr>
              <w:t>）加</w:t>
            </w:r>
            <w:r>
              <w:rPr>
                <w:rFonts w:ascii="宋体" w:hAnsi="宋体" w:cs="Times New Roman" w:hint="eastAsia"/>
                <w:color w:val="auto"/>
                <w:szCs w:val="21"/>
                <w:highlight w:val="none"/>
                <w:lang w:val="en-US" w:eastAsia="zh-CN"/>
              </w:rPr>
              <w:t>50</w:t>
            </w:r>
            <w:r>
              <w:rPr>
                <w:rFonts w:ascii="宋体" w:eastAsia="宋体" w:hAnsi="宋体" w:cs="Times New Roman" w:hint="eastAsia"/>
                <w:color w:val="auto"/>
                <w:szCs w:val="21"/>
                <w:highlight w:val="none"/>
              </w:rPr>
              <w:t>分</w:t>
            </w:r>
            <w:r>
              <w:rPr>
                <w:rFonts w:ascii="宋体" w:eastAsia="宋体" w:hAnsi="宋体" w:cs="Times New Roman" w:hint="eastAsia"/>
                <w:color w:val="auto"/>
                <w:szCs w:val="21"/>
                <w:highlight w:val="none"/>
                <w:lang w:eastAsia="zh-CN"/>
              </w:rPr>
              <w:t>；</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rPr>
              <w:t>评审为中（方案较普通、完整性、规范性一般，思路不够清晰，内容</w:t>
            </w:r>
            <w:r>
              <w:rPr>
                <w:rFonts w:ascii="宋体" w:eastAsia="宋体" w:hAnsi="宋体" w:cs="Times New Roman" w:hint="eastAsia"/>
                <w:color w:val="auto"/>
                <w:szCs w:val="21"/>
                <w:highlight w:val="none"/>
                <w:lang w:val="en-US" w:eastAsia="zh-CN"/>
              </w:rPr>
              <w:t>基本符合项目需要并承诺中标后将残疾人安置在</w:t>
            </w:r>
            <w:r>
              <w:rPr>
                <w:rFonts w:ascii="宋体" w:hAnsi="宋体" w:cs="Times New Roman" w:hint="eastAsia"/>
                <w:color w:val="auto"/>
                <w:szCs w:val="21"/>
                <w:highlight w:val="none"/>
                <w:lang w:val="en-US" w:eastAsia="zh-CN"/>
              </w:rPr>
              <w:t>4</w:t>
            </w:r>
            <w:r>
              <w:rPr>
                <w:rFonts w:ascii="宋体" w:eastAsia="宋体" w:hAnsi="宋体" w:cs="Times New Roman" w:hint="eastAsia"/>
                <w:color w:val="auto"/>
                <w:szCs w:val="21"/>
                <w:highlight w:val="none"/>
                <w:lang w:val="en-US" w:eastAsia="zh-CN"/>
              </w:rPr>
              <w:t>楼以上托养</w:t>
            </w:r>
            <w:r>
              <w:rPr>
                <w:rFonts w:ascii="宋体" w:eastAsia="宋体" w:hAnsi="宋体" w:cs="Times New Roman" w:hint="eastAsia"/>
                <w:color w:val="auto"/>
                <w:szCs w:val="21"/>
                <w:highlight w:val="none"/>
              </w:rPr>
              <w:t>）加</w:t>
            </w:r>
            <w:r>
              <w:rPr>
                <w:rFonts w:ascii="宋体" w:hAnsi="宋体" w:cs="Times New Roman" w:hint="eastAsia"/>
                <w:color w:val="auto"/>
                <w:szCs w:val="21"/>
                <w:highlight w:val="none"/>
                <w:lang w:val="en-US" w:eastAsia="zh-CN"/>
              </w:rPr>
              <w:t>30</w:t>
            </w:r>
            <w:r>
              <w:rPr>
                <w:rFonts w:ascii="宋体" w:eastAsia="宋体" w:hAnsi="宋体" w:cs="Times New Roman" w:hint="eastAsia"/>
                <w:color w:val="auto"/>
                <w:szCs w:val="21"/>
                <w:highlight w:val="none"/>
              </w:rPr>
              <w:t>分，</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rPr>
              <w:t>评审为差（方案不完整、不规范，思路不清晰，内容</w:t>
            </w:r>
            <w:r>
              <w:rPr>
                <w:rFonts w:ascii="宋体" w:eastAsia="宋体" w:hAnsi="宋体" w:cs="Times New Roman" w:hint="eastAsia"/>
                <w:color w:val="auto"/>
                <w:szCs w:val="21"/>
                <w:highlight w:val="none"/>
                <w:lang w:val="en-US" w:eastAsia="zh-CN"/>
              </w:rPr>
              <w:t>不符合项目需要</w:t>
            </w:r>
            <w:r>
              <w:rPr>
                <w:rFonts w:ascii="宋体" w:eastAsia="宋体" w:hAnsi="宋体" w:cs="Times New Roman" w:hint="eastAsia"/>
                <w:color w:val="auto"/>
                <w:szCs w:val="21"/>
                <w:highlight w:val="none"/>
              </w:rPr>
              <w:t>）</w:t>
            </w:r>
            <w:r>
              <w:rPr>
                <w:rFonts w:ascii="宋体" w:eastAsia="宋体" w:hAnsi="宋体" w:cs="Times New Roman" w:hint="eastAsia"/>
                <w:color w:val="auto"/>
                <w:szCs w:val="21"/>
                <w:highlight w:val="none"/>
                <w:lang w:val="en-US" w:eastAsia="zh-CN"/>
              </w:rPr>
              <w:t>不加</w:t>
            </w:r>
            <w:r>
              <w:rPr>
                <w:rFonts w:ascii="宋体" w:eastAsia="宋体" w:hAnsi="宋体" w:cs="Times New Roman" w:hint="eastAsia"/>
                <w:color w:val="auto"/>
                <w:szCs w:val="21"/>
                <w:highlight w:val="none"/>
              </w:rPr>
              <w:t>分。</w:t>
            </w:r>
          </w:p>
          <w:p>
            <w:pPr>
              <w:keepNext w:val="0"/>
              <w:keepLines w:val="0"/>
              <w:suppressLineNumbers w:val="0"/>
              <w:adjustRightInd w:val="0"/>
              <w:snapToGrid w:val="0"/>
              <w:spacing w:before="0" w:beforeAutospacing="0" w:after="0" w:afterAutospacing="0"/>
              <w:ind w:left="0" w:right="0"/>
              <w:rPr>
                <w:rFonts w:ascii="宋体" w:eastAsia="宋体" w:hAnsi="宋体" w:cs="Times New Roman"/>
                <w:color w:val="auto"/>
                <w:szCs w:val="21"/>
                <w:highlight w:val="none"/>
              </w:rPr>
            </w:pPr>
            <w:r>
              <w:rPr>
                <w:rFonts w:ascii="宋体" w:eastAsia="宋体" w:hAnsi="宋体" w:cs="Times New Roman" w:hint="eastAsia"/>
                <w:color w:val="auto"/>
                <w:szCs w:val="21"/>
                <w:highlight w:val="none"/>
              </w:rPr>
              <w:t>如果评审为差，要求专家书面说明理由，并记录在档。</w:t>
            </w:r>
          </w:p>
        </w:tc>
      </w:tr>
      <w:tr>
        <w:tblPrEx>
          <w:tblW w:w="9256" w:type="dxa"/>
          <w:tblInd w:w="0" w:type="dxa"/>
          <w:tblCellMar>
            <w:top w:w="0" w:type="dxa"/>
            <w:left w:w="108" w:type="dxa"/>
            <w:bottom w:w="0" w:type="dxa"/>
            <w:right w:w="108" w:type="dxa"/>
          </w:tblCellMar>
        </w:tblPrEx>
        <w:trPr>
          <w:trHeight w:val="63"/>
        </w:trPr>
        <w:tc>
          <w:tcPr>
            <w:tcW w:w="522" w:type="dxa"/>
            <w:vMerge/>
            <w:tcBorders>
              <w:left w:val="single" w:sz="4" w:space="0" w:color="auto"/>
              <w:right w:val="single" w:sz="4" w:space="0" w:color="auto"/>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hint="eastAsia"/>
                <w:color w:val="auto"/>
                <w:szCs w:val="21"/>
                <w:highlight w:val="none"/>
              </w:rPr>
              <w:t>4</w:t>
            </w: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hint="eastAsia"/>
                <w:color w:val="auto"/>
                <w:szCs w:val="21"/>
                <w:highlight w:val="none"/>
              </w:rPr>
              <w:t>项目完成（服务期满）后的服务承诺</w:t>
            </w: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ascii="宋体" w:eastAsia="宋体" w:hAnsi="宋体" w:cs="宋体" w:hint="eastAsia"/>
                <w:color w:val="auto"/>
                <w:szCs w:val="21"/>
                <w:highlight w:val="none"/>
              </w:rPr>
            </w:pPr>
          </w:p>
          <w:p>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ascii="宋体" w:eastAsia="宋体" w:hAnsi="宋体" w:cs="Times New Roman" w:hint="eastAsia"/>
                <w:color w:val="auto"/>
                <w:szCs w:val="21"/>
                <w:highlight w:val="none"/>
                <w:lang w:eastAsia="zh-CN"/>
              </w:rPr>
            </w:pPr>
            <w:r>
              <w:rPr>
                <w:rFonts w:ascii="宋体" w:hAnsi="宋体" w:cs="宋体" w:hint="eastAsia"/>
                <w:color w:val="auto"/>
                <w:szCs w:val="21"/>
                <w:highlight w:val="none"/>
                <w:lang w:val="en-US" w:eastAsia="zh-CN"/>
              </w:rPr>
              <w:t>1</w:t>
            </w:r>
          </w:p>
        </w:tc>
        <w:tc>
          <w:tcPr>
            <w:tcW w:w="5746" w:type="dxa"/>
            <w:tcBorders>
              <w:top w:val="single" w:sz="4" w:space="0" w:color="auto"/>
              <w:left w:val="single" w:sz="4" w:space="0" w:color="auto"/>
              <w:bottom w:val="single" w:sz="4" w:space="0" w:color="auto"/>
              <w:right w:val="single" w:sz="4" w:space="0" w:color="auto"/>
            </w:tcBorders>
            <w:noWrap w:val="0"/>
            <w:vAlign w:val="top"/>
          </w:tcPr>
          <w:p>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jc w:val="left"/>
              <w:rPr>
                <w:rFonts w:ascii="宋体" w:eastAsia="宋体" w:hAnsi="宋体" w:cs="宋体" w:hint="eastAsia"/>
                <w:b/>
                <w:bCs/>
                <w:color w:val="auto"/>
                <w:szCs w:val="21"/>
                <w:highlight w:val="none"/>
              </w:rPr>
            </w:pPr>
            <w:r>
              <w:rPr>
                <w:rFonts w:ascii="宋体" w:eastAsia="宋体" w:hAnsi="宋体" w:cs="宋体" w:hint="eastAsia"/>
                <w:b/>
                <w:bCs/>
                <w:color w:val="auto"/>
                <w:szCs w:val="21"/>
                <w:highlight w:val="none"/>
              </w:rPr>
              <w:t>（一）评分内容：</w:t>
            </w:r>
          </w:p>
          <w:p>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jc w:val="left"/>
              <w:rPr>
                <w:rFonts w:ascii="宋体" w:eastAsia="宋体" w:hAnsi="宋体" w:cs="宋体" w:hint="eastAsia"/>
                <w:color w:val="auto"/>
                <w:szCs w:val="21"/>
                <w:highlight w:val="none"/>
              </w:rPr>
            </w:pPr>
            <w:r>
              <w:rPr>
                <w:rFonts w:ascii="宋体" w:eastAsia="宋体" w:hAnsi="宋体" w:cs="宋体" w:hint="eastAsia"/>
                <w:color w:val="auto"/>
                <w:szCs w:val="21"/>
                <w:highlight w:val="none"/>
              </w:rPr>
              <w:t>投标人承诺以下全部三项的得100分，否则不得分。</w:t>
            </w:r>
          </w:p>
          <w:p>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jc w:val="left"/>
              <w:rPr>
                <w:rFonts w:ascii="宋体" w:eastAsia="宋体" w:hAnsi="宋体" w:cs="宋体" w:hint="eastAsia"/>
                <w:color w:val="auto"/>
                <w:szCs w:val="21"/>
                <w:highlight w:val="none"/>
                <w:lang w:val="en-US" w:eastAsia="zh-CN"/>
              </w:rPr>
            </w:pPr>
            <w:r>
              <w:rPr>
                <w:rFonts w:ascii="宋体" w:eastAsia="宋体" w:hAnsi="宋体" w:cs="宋体" w:hint="eastAsia"/>
                <w:color w:val="auto"/>
                <w:szCs w:val="21"/>
                <w:highlight w:val="none"/>
                <w:lang w:val="en-US" w:eastAsia="zh-CN"/>
              </w:rPr>
              <w:t>1.将托养服务地点设置在投标人营业场所内</w:t>
            </w:r>
            <w:r>
              <w:rPr>
                <w:rFonts w:ascii="宋体" w:hAnsi="宋体" w:cs="宋体" w:hint="eastAsia"/>
                <w:b w:val="0"/>
                <w:bCs w:val="0"/>
                <w:color w:val="auto"/>
                <w:szCs w:val="21"/>
                <w:highlight w:val="none"/>
                <w:lang w:val="en-US" w:eastAsia="zh-CN"/>
              </w:rPr>
              <w:t>（若投标人为医疗机构，服务场地应设置于医院院区内；若投标人为养老机构，服务场地应设置于养老机构内）</w:t>
            </w:r>
            <w:r>
              <w:rPr>
                <w:rFonts w:ascii="宋体" w:eastAsia="宋体" w:hAnsi="宋体" w:cs="宋体" w:hint="eastAsia"/>
                <w:color w:val="auto"/>
                <w:szCs w:val="21"/>
                <w:highlight w:val="none"/>
                <w:lang w:val="en-US" w:eastAsia="zh-CN"/>
              </w:rPr>
              <w:t>；</w:t>
            </w:r>
          </w:p>
          <w:p>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jc w:val="left"/>
              <w:rPr>
                <w:rFonts w:ascii="宋体" w:eastAsia="宋体" w:hAnsi="宋体" w:cs="宋体" w:hint="eastAsia"/>
                <w:color w:val="auto"/>
                <w:szCs w:val="21"/>
                <w:highlight w:val="none"/>
              </w:rPr>
            </w:pPr>
            <w:r>
              <w:rPr>
                <w:rFonts w:ascii="宋体" w:eastAsia="宋体" w:hAnsi="宋体" w:cs="宋体" w:hint="eastAsia"/>
                <w:color w:val="auto"/>
                <w:szCs w:val="21"/>
                <w:highlight w:val="none"/>
                <w:lang w:val="en-US" w:eastAsia="zh-CN"/>
              </w:rPr>
              <w:t>2</w:t>
            </w:r>
            <w:r>
              <w:rPr>
                <w:rFonts w:ascii="宋体" w:eastAsia="宋体" w:hAnsi="宋体" w:cs="宋体" w:hint="eastAsia"/>
                <w:color w:val="auto"/>
                <w:szCs w:val="21"/>
                <w:highlight w:val="none"/>
              </w:rPr>
              <w:t>.与后续</w:t>
            </w:r>
            <w:r>
              <w:rPr>
                <w:rFonts w:ascii="宋体" w:eastAsia="宋体" w:hAnsi="宋体" w:cs="宋体" w:hint="eastAsia"/>
                <w:color w:val="auto"/>
                <w:szCs w:val="21"/>
                <w:highlight w:val="none"/>
                <w:lang w:eastAsia="zh-CN"/>
              </w:rPr>
              <w:t>服务机构</w:t>
            </w:r>
            <w:r>
              <w:rPr>
                <w:rFonts w:ascii="宋体" w:eastAsia="宋体" w:hAnsi="宋体" w:cs="宋体" w:hint="eastAsia"/>
                <w:color w:val="auto"/>
                <w:szCs w:val="21"/>
                <w:highlight w:val="none"/>
              </w:rPr>
              <w:t xml:space="preserve">进行交接； </w:t>
            </w:r>
          </w:p>
          <w:p>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jc w:val="left"/>
              <w:rPr>
                <w:rFonts w:ascii="宋体" w:eastAsia="宋体" w:hAnsi="宋体" w:cs="宋体" w:hint="eastAsia"/>
                <w:color w:val="auto"/>
                <w:szCs w:val="21"/>
                <w:highlight w:val="none"/>
              </w:rPr>
            </w:pPr>
            <w:r>
              <w:rPr>
                <w:rFonts w:ascii="宋体" w:eastAsia="宋体" w:hAnsi="宋体" w:cs="宋体" w:hint="eastAsia"/>
                <w:color w:val="auto"/>
                <w:szCs w:val="21"/>
                <w:highlight w:val="none"/>
                <w:lang w:val="en-US" w:eastAsia="zh-CN"/>
              </w:rPr>
              <w:t>3</w:t>
            </w:r>
            <w:r>
              <w:rPr>
                <w:rFonts w:ascii="宋体" w:eastAsia="宋体" w:hAnsi="宋体" w:cs="宋体" w:hint="eastAsia"/>
                <w:color w:val="auto"/>
                <w:szCs w:val="21"/>
                <w:highlight w:val="none"/>
              </w:rPr>
              <w:t>.服务期满，后续服务</w:t>
            </w:r>
            <w:r>
              <w:rPr>
                <w:rFonts w:ascii="宋体" w:eastAsia="宋体" w:hAnsi="宋体" w:cs="宋体" w:hint="eastAsia"/>
                <w:color w:val="auto"/>
                <w:szCs w:val="21"/>
                <w:highlight w:val="none"/>
                <w:lang w:eastAsia="zh-CN"/>
              </w:rPr>
              <w:t>机构</w:t>
            </w:r>
            <w:r>
              <w:rPr>
                <w:rFonts w:ascii="宋体" w:eastAsia="宋体" w:hAnsi="宋体" w:cs="宋体" w:hint="eastAsia"/>
                <w:color w:val="auto"/>
                <w:szCs w:val="21"/>
                <w:highlight w:val="none"/>
              </w:rPr>
              <w:t>未到位前仍按原合同服务承诺提供服务。</w:t>
            </w:r>
          </w:p>
          <w:p>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jc w:val="left"/>
              <w:rPr>
                <w:rFonts w:ascii="宋体" w:eastAsia="宋体" w:hAnsi="宋体" w:cs="宋体" w:hint="eastAsia"/>
                <w:b/>
                <w:bCs/>
                <w:color w:val="auto"/>
                <w:szCs w:val="21"/>
                <w:highlight w:val="none"/>
              </w:rPr>
            </w:pPr>
            <w:r>
              <w:rPr>
                <w:rFonts w:ascii="宋体" w:eastAsia="宋体" w:hAnsi="宋体" w:cs="宋体" w:hint="eastAsia"/>
                <w:b/>
                <w:bCs/>
                <w:color w:val="auto"/>
                <w:szCs w:val="21"/>
                <w:highlight w:val="none"/>
              </w:rPr>
              <w:t>（二）评分依据：</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Times New Roman"/>
                <w:color w:val="auto"/>
                <w:szCs w:val="21"/>
                <w:highlight w:val="none"/>
              </w:rPr>
            </w:pPr>
            <w:r>
              <w:rPr>
                <w:rFonts w:ascii="宋体" w:eastAsia="宋体" w:hAnsi="宋体" w:cs="宋体" w:hint="eastAsia"/>
                <w:color w:val="auto"/>
                <w:szCs w:val="21"/>
                <w:highlight w:val="none"/>
              </w:rPr>
              <w:t>要求提供承诺（格式自定）作为得分依据，未提供承诺或承诺内容不满足要求不得分。</w:t>
            </w:r>
          </w:p>
        </w:tc>
      </w:tr>
      <w:tr>
        <w:tblPrEx>
          <w:tblW w:w="9256" w:type="dxa"/>
          <w:tblInd w:w="0" w:type="dxa"/>
          <w:tblCellMar>
            <w:top w:w="0" w:type="dxa"/>
            <w:left w:w="108" w:type="dxa"/>
            <w:bottom w:w="0" w:type="dxa"/>
            <w:right w:w="108" w:type="dxa"/>
          </w:tblCellMar>
        </w:tblPrEx>
        <w:trPr>
          <w:trHeight w:val="63"/>
        </w:trPr>
        <w:tc>
          <w:tcPr>
            <w:tcW w:w="522" w:type="dxa"/>
            <w:vMerge/>
            <w:tcBorders>
              <w:left w:val="single" w:sz="4" w:space="0" w:color="auto"/>
              <w:right w:val="single" w:sz="4" w:space="0" w:color="auto"/>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hint="eastAsia"/>
                <w:color w:val="auto"/>
                <w:szCs w:val="21"/>
                <w:highlight w:val="none"/>
              </w:rPr>
              <w:t>5</w:t>
            </w: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hint="eastAsia"/>
                <w:color w:val="auto"/>
                <w:szCs w:val="21"/>
                <w:highlight w:val="none"/>
              </w:rPr>
              <w:t>违约承诺</w:t>
            </w: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ascii="宋体" w:eastAsia="宋体" w:hAnsi="宋体" w:cs="Times New Roman" w:hint="eastAsia"/>
                <w:color w:val="auto"/>
                <w:szCs w:val="21"/>
                <w:highlight w:val="none"/>
                <w:lang w:eastAsia="zh-CN"/>
              </w:rPr>
            </w:pPr>
            <w:r>
              <w:rPr>
                <w:rFonts w:ascii="宋体" w:hAnsi="宋体" w:cs="宋体" w:hint="eastAsia"/>
                <w:color w:val="auto"/>
                <w:szCs w:val="21"/>
                <w:highlight w:val="none"/>
                <w:lang w:val="en-US" w:eastAsia="zh-CN"/>
              </w:rPr>
              <w:t>1</w:t>
            </w:r>
          </w:p>
        </w:tc>
        <w:tc>
          <w:tcPr>
            <w:tcW w:w="5746" w:type="dxa"/>
            <w:tcBorders>
              <w:top w:val="single" w:sz="4" w:space="0" w:color="auto"/>
              <w:left w:val="single" w:sz="4" w:space="0" w:color="auto"/>
              <w:bottom w:val="single" w:sz="4" w:space="0" w:color="auto"/>
              <w:right w:val="single" w:sz="4" w:space="0" w:color="auto"/>
            </w:tcBorders>
            <w:noWrap w:val="0"/>
            <w:vAlign w:val="top"/>
          </w:tcPr>
          <w:p>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jc w:val="left"/>
              <w:rPr>
                <w:rFonts w:ascii="宋体" w:eastAsia="宋体" w:hAnsi="宋体" w:cs="宋体" w:hint="eastAsia"/>
                <w:b/>
                <w:bCs/>
                <w:color w:val="auto"/>
                <w:szCs w:val="21"/>
                <w:highlight w:val="none"/>
              </w:rPr>
            </w:pPr>
            <w:r>
              <w:rPr>
                <w:rFonts w:ascii="宋体" w:eastAsia="宋体" w:hAnsi="宋体" w:cs="宋体" w:hint="eastAsia"/>
                <w:b/>
                <w:bCs/>
                <w:color w:val="auto"/>
                <w:szCs w:val="21"/>
                <w:highlight w:val="none"/>
              </w:rPr>
              <w:t>（一）评分内容：</w:t>
            </w:r>
          </w:p>
          <w:p>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jc w:val="left"/>
              <w:rPr>
                <w:rFonts w:ascii="宋体" w:eastAsia="宋体" w:hAnsi="宋体" w:cs="宋体" w:hint="eastAsia"/>
                <w:color w:val="auto"/>
                <w:szCs w:val="21"/>
                <w:highlight w:val="none"/>
              </w:rPr>
            </w:pPr>
            <w:r>
              <w:rPr>
                <w:rFonts w:ascii="宋体" w:eastAsia="宋体" w:hAnsi="宋体" w:cs="宋体" w:hint="eastAsia"/>
                <w:color w:val="auto"/>
                <w:szCs w:val="21"/>
                <w:highlight w:val="none"/>
              </w:rPr>
              <w:t>投标人承诺以下全部三项的得100分，否则不得分。</w:t>
            </w:r>
          </w:p>
          <w:p>
            <w:pPr>
              <w:keepNext w:val="0"/>
              <w:keepLines w:val="0"/>
              <w:pageBreakBefore w:val="0"/>
              <w:suppressLineNumbers w:val="0"/>
              <w:kinsoku/>
              <w:overflowPunct/>
              <w:topLinePunct w:val="0"/>
              <w:bidi w:val="0"/>
              <w:spacing w:before="0" w:beforeAutospacing="0" w:after="0" w:afterAutospacing="0" w:line="240" w:lineRule="auto"/>
              <w:ind w:left="0" w:right="0"/>
              <w:rPr>
                <w:rFonts w:ascii="宋体" w:eastAsia="宋体" w:hAnsi="宋体" w:cs="宋体" w:hint="eastAsia"/>
                <w:color w:val="auto"/>
                <w:highlight w:val="none"/>
              </w:rPr>
            </w:pPr>
            <w:r>
              <w:rPr>
                <w:rFonts w:ascii="宋体" w:eastAsia="宋体" w:hAnsi="宋体" w:cs="宋体" w:hint="eastAsia"/>
                <w:color w:val="auto"/>
                <w:highlight w:val="none"/>
              </w:rPr>
              <w:t xml:space="preserve">1.提供违约承诺书，严格按照招标文件及投标承诺配置； </w:t>
            </w:r>
          </w:p>
          <w:p>
            <w:pPr>
              <w:keepNext w:val="0"/>
              <w:keepLines w:val="0"/>
              <w:pageBreakBefore w:val="0"/>
              <w:suppressLineNumbers w:val="0"/>
              <w:kinsoku/>
              <w:overflowPunct/>
              <w:topLinePunct w:val="0"/>
              <w:bidi w:val="0"/>
              <w:spacing w:before="0" w:beforeAutospacing="0" w:after="0" w:afterAutospacing="0" w:line="240" w:lineRule="auto"/>
              <w:ind w:left="0" w:right="0"/>
              <w:rPr>
                <w:rFonts w:ascii="宋体" w:eastAsia="宋体" w:hAnsi="宋体" w:cs="宋体" w:hint="eastAsia"/>
                <w:color w:val="auto"/>
                <w:highlight w:val="none"/>
              </w:rPr>
            </w:pPr>
            <w:r>
              <w:rPr>
                <w:rFonts w:ascii="宋体" w:eastAsia="宋体" w:hAnsi="宋体" w:cs="宋体" w:hint="eastAsia"/>
                <w:color w:val="auto"/>
                <w:highlight w:val="none"/>
              </w:rPr>
              <w:t xml:space="preserve">2.提供项目违约后承诺做到的具体条款； </w:t>
            </w:r>
          </w:p>
          <w:p>
            <w:pPr>
              <w:keepNext w:val="0"/>
              <w:keepLines w:val="0"/>
              <w:pageBreakBefore w:val="0"/>
              <w:suppressLineNumbers w:val="0"/>
              <w:kinsoku/>
              <w:overflowPunct/>
              <w:topLinePunct w:val="0"/>
              <w:bidi w:val="0"/>
              <w:spacing w:before="0" w:beforeAutospacing="0" w:after="0" w:afterAutospacing="0" w:line="240" w:lineRule="auto"/>
              <w:ind w:left="0" w:right="0"/>
              <w:rPr>
                <w:rFonts w:ascii="宋体" w:eastAsia="宋体" w:hAnsi="宋体" w:cs="宋体" w:hint="eastAsia"/>
                <w:color w:val="auto"/>
                <w:highlight w:val="none"/>
              </w:rPr>
            </w:pPr>
            <w:r>
              <w:rPr>
                <w:rFonts w:ascii="宋体" w:eastAsia="宋体" w:hAnsi="宋体" w:cs="宋体" w:hint="eastAsia"/>
                <w:color w:val="auto"/>
                <w:highlight w:val="none"/>
              </w:rPr>
              <w:t>3.有明确的惩罚措施。</w:t>
            </w:r>
          </w:p>
          <w:p>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jc w:val="left"/>
              <w:rPr>
                <w:rFonts w:ascii="宋体" w:eastAsia="宋体" w:hAnsi="宋体" w:cs="宋体" w:hint="eastAsia"/>
                <w:b/>
                <w:bCs/>
                <w:color w:val="auto"/>
                <w:szCs w:val="21"/>
                <w:highlight w:val="none"/>
              </w:rPr>
            </w:pPr>
            <w:r>
              <w:rPr>
                <w:rFonts w:ascii="宋体" w:eastAsia="宋体" w:hAnsi="宋体" w:cs="宋体" w:hint="eastAsia"/>
                <w:b/>
                <w:bCs/>
                <w:color w:val="auto"/>
                <w:szCs w:val="21"/>
                <w:highlight w:val="none"/>
              </w:rPr>
              <w:t>（二）评分依据：</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Times New Roman"/>
                <w:color w:val="auto"/>
                <w:szCs w:val="21"/>
                <w:highlight w:val="none"/>
              </w:rPr>
            </w:pPr>
            <w:r>
              <w:rPr>
                <w:rFonts w:ascii="宋体" w:eastAsia="宋体" w:hAnsi="宋体" w:cs="宋体" w:hint="eastAsia"/>
                <w:color w:val="auto"/>
                <w:szCs w:val="24"/>
                <w:highlight w:val="none"/>
              </w:rPr>
              <w:t>要求提供承诺（格式自定）作为得分依据，未提供承诺或承诺内容不满足</w:t>
            </w:r>
            <w:r>
              <w:rPr>
                <w:rFonts w:ascii="宋体" w:eastAsia="宋体" w:hAnsi="宋体" w:cs="宋体" w:hint="eastAsia"/>
                <w:color w:val="auto"/>
                <w:szCs w:val="21"/>
                <w:highlight w:val="none"/>
              </w:rPr>
              <w:t>要求不得分。</w:t>
            </w:r>
          </w:p>
        </w:tc>
      </w:tr>
      <w:tr>
        <w:tblPrEx>
          <w:tblW w:w="9256" w:type="dxa"/>
          <w:tblInd w:w="0" w:type="dxa"/>
          <w:tblCellMar>
            <w:top w:w="0" w:type="dxa"/>
            <w:left w:w="108" w:type="dxa"/>
            <w:bottom w:w="0" w:type="dxa"/>
            <w:right w:w="108" w:type="dxa"/>
          </w:tblCellMar>
        </w:tblPrEx>
        <w:tc>
          <w:tcPr>
            <w:tcW w:w="522"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eastAsia"/>
                <w:color w:val="auto"/>
                <w:szCs w:val="21"/>
                <w:lang w:eastAsia="zh-CN"/>
              </w:rPr>
            </w:pPr>
            <w:r>
              <w:rPr>
                <w:rFonts w:ascii="宋体" w:hAnsi="宋体" w:cs="Times New Roman" w:hint="eastAsia"/>
                <w:color w:val="auto"/>
                <w:szCs w:val="21"/>
                <w:lang w:val="en-US" w:eastAsia="zh-CN"/>
              </w:rPr>
              <w:t>三</w:t>
            </w:r>
          </w:p>
        </w:tc>
        <w:tc>
          <w:tcPr>
            <w:tcW w:w="2988" w:type="dxa"/>
            <w:gridSpan w:val="3"/>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综合实力</w:t>
            </w:r>
          </w:p>
        </w:tc>
        <w:tc>
          <w:tcPr>
            <w:tcW w:w="5746"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default"/>
                <w:color w:val="auto"/>
                <w:szCs w:val="21"/>
                <w:lang w:val="en-US" w:eastAsia="zh-CN"/>
              </w:rPr>
            </w:pPr>
            <w:r>
              <w:rPr>
                <w:rFonts w:ascii="宋体" w:eastAsia="宋体" w:hAnsi="宋体" w:cs="Times New Roman" w:hint="eastAsia"/>
                <w:color w:val="auto"/>
                <w:szCs w:val="21"/>
                <w:lang w:val="en-US" w:eastAsia="zh-CN"/>
              </w:rPr>
              <w:t>42</w:t>
            </w:r>
          </w:p>
        </w:tc>
      </w:tr>
      <w:tr>
        <w:tblPrEx>
          <w:tblW w:w="9256" w:type="dxa"/>
          <w:tblInd w:w="0" w:type="dxa"/>
          <w:tblCellMar>
            <w:top w:w="0" w:type="dxa"/>
            <w:left w:w="108" w:type="dxa"/>
            <w:bottom w:w="0" w:type="dxa"/>
            <w:right w:w="108" w:type="dxa"/>
          </w:tblCellMar>
        </w:tblPrEx>
        <w:trPr>
          <w:trHeight w:val="81"/>
        </w:trPr>
        <w:tc>
          <w:tcPr>
            <w:tcW w:w="522" w:type="dxa"/>
            <w:vMerge w:val="restart"/>
            <w:tcBorders>
              <w:top w:val="single" w:sz="4" w:space="0" w:color="auto"/>
              <w:left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行号</w:t>
            </w: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内容</w:t>
            </w: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权重</w:t>
            </w:r>
          </w:p>
        </w:tc>
        <w:tc>
          <w:tcPr>
            <w:tcW w:w="5746"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评分准则</w:t>
            </w:r>
          </w:p>
        </w:tc>
      </w:tr>
      <w:tr>
        <w:tblPrEx>
          <w:tblW w:w="9256" w:type="dxa"/>
          <w:tblInd w:w="0" w:type="dxa"/>
          <w:tblCellMar>
            <w:top w:w="0" w:type="dxa"/>
            <w:left w:w="108" w:type="dxa"/>
            <w:bottom w:w="0" w:type="dxa"/>
            <w:right w:w="108" w:type="dxa"/>
          </w:tblCellMar>
        </w:tblPrEx>
        <w:trPr>
          <w:trHeight w:val="78"/>
        </w:trPr>
        <w:tc>
          <w:tcPr>
            <w:tcW w:w="522" w:type="dxa"/>
            <w:vMerge/>
            <w:tcBorders>
              <w:left w:val="single" w:sz="4" w:space="0" w:color="auto"/>
              <w:right w:val="single" w:sz="4" w:space="0" w:color="auto"/>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eastAsia"/>
                <w:color w:val="auto"/>
                <w:szCs w:val="21"/>
                <w:highlight w:val="none"/>
                <w:lang w:eastAsia="zh-CN"/>
              </w:rPr>
            </w:pPr>
            <w:r>
              <w:rPr>
                <w:rFonts w:ascii="宋体" w:hAnsi="宋体" w:cs="Times New Roman" w:hint="eastAsia"/>
                <w:color w:val="auto"/>
                <w:szCs w:val="21"/>
                <w:highlight w:val="none"/>
                <w:lang w:val="en-US" w:eastAsia="zh-CN"/>
              </w:rPr>
              <w:t>1</w:t>
            </w: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hint="eastAsia"/>
                <w:color w:val="auto"/>
                <w:szCs w:val="21"/>
                <w:highlight w:val="none"/>
                <w:lang w:eastAsia="zh-CN"/>
              </w:rPr>
              <w:t>应急医疗服务点</w:t>
            </w: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ascii="宋体" w:eastAsia="宋体" w:hAnsi="宋体" w:cs="Times New Roman" w:hint="default"/>
                <w:color w:val="auto"/>
                <w:szCs w:val="21"/>
                <w:highlight w:val="none"/>
                <w:lang w:val="en-US"/>
              </w:rPr>
            </w:pPr>
            <w:r>
              <w:rPr>
                <w:rFonts w:ascii="宋体" w:hAnsi="宋体" w:cs="宋体" w:hint="eastAsia"/>
                <w:color w:val="auto"/>
                <w:szCs w:val="21"/>
                <w:highlight w:val="none"/>
                <w:lang w:val="en-US" w:eastAsia="zh-CN"/>
              </w:rPr>
              <w:t>6</w:t>
            </w:r>
          </w:p>
        </w:tc>
        <w:tc>
          <w:tcPr>
            <w:tcW w:w="5746" w:type="dxa"/>
            <w:tcBorders>
              <w:top w:val="single" w:sz="4" w:space="0" w:color="auto"/>
              <w:left w:val="single" w:sz="4" w:space="0" w:color="auto"/>
              <w:bottom w:val="single" w:sz="4" w:space="0" w:color="auto"/>
              <w:right w:val="single" w:sz="4" w:space="0" w:color="auto"/>
            </w:tcBorders>
            <w:noWrap w:val="0"/>
            <w:vAlign w:val="top"/>
          </w:tcPr>
          <w:p>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jc w:val="left"/>
              <w:rPr>
                <w:rFonts w:ascii="宋体" w:eastAsia="宋体" w:hAnsi="宋体" w:cs="宋体" w:hint="eastAsia"/>
                <w:b/>
                <w:bCs/>
                <w:color w:val="auto"/>
                <w:szCs w:val="21"/>
                <w:highlight w:val="none"/>
              </w:rPr>
            </w:pPr>
            <w:r>
              <w:rPr>
                <w:rFonts w:ascii="宋体" w:eastAsia="宋体" w:hAnsi="宋体" w:cs="宋体" w:hint="eastAsia"/>
                <w:b/>
                <w:bCs/>
                <w:color w:val="auto"/>
                <w:szCs w:val="21"/>
                <w:highlight w:val="none"/>
              </w:rPr>
              <w:t>（一）评分内容：</w:t>
            </w:r>
          </w:p>
          <w:p>
            <w:pPr>
              <w:keepNext/>
              <w:keepLines/>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ascii="宋体" w:eastAsia="宋体" w:hAnsi="宋体" w:cs="Times New Roman" w:hint="eastAsia"/>
                <w:b w:val="0"/>
                <w:bCs w:val="0"/>
                <w:color w:val="auto"/>
                <w:kern w:val="2"/>
                <w:sz w:val="21"/>
                <w:szCs w:val="21"/>
                <w:highlight w:val="none"/>
                <w:lang w:val="en-US" w:eastAsia="zh-CN" w:bidi="ar-SA"/>
              </w:rPr>
            </w:pPr>
            <w:r>
              <w:rPr>
                <w:rFonts w:ascii="宋体" w:eastAsia="宋体" w:hAnsi="宋体" w:cs="Times New Roman" w:hint="eastAsia"/>
                <w:b w:val="0"/>
                <w:bCs w:val="0"/>
                <w:color w:val="auto"/>
                <w:kern w:val="2"/>
                <w:sz w:val="21"/>
                <w:szCs w:val="21"/>
                <w:highlight w:val="none"/>
                <w:lang w:val="en-US" w:eastAsia="zh-CN" w:bidi="ar-SA"/>
              </w:rPr>
              <w:t>紧急需求响应（60分）</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Times New Roman" w:hint="eastAsia"/>
                <w:b w:val="0"/>
                <w:bCs w:val="0"/>
                <w:color w:val="auto"/>
                <w:kern w:val="2"/>
                <w:sz w:val="21"/>
                <w:szCs w:val="21"/>
                <w:highlight w:val="none"/>
                <w:lang w:val="en-US" w:eastAsia="zh-CN" w:bidi="ar-SA"/>
              </w:rPr>
            </w:pPr>
            <w:r>
              <w:rPr>
                <w:rFonts w:ascii="宋体" w:hAnsi="宋体" w:cs="Times New Roman" w:hint="eastAsia"/>
                <w:b w:val="0"/>
                <w:bCs w:val="0"/>
                <w:color w:val="auto"/>
                <w:kern w:val="2"/>
                <w:sz w:val="21"/>
                <w:szCs w:val="21"/>
                <w:highlight w:val="none"/>
                <w:lang w:val="en-US" w:eastAsia="zh-CN" w:bidi="ar-SA"/>
              </w:rPr>
              <w:t>投标人承诺能够针对托养人病情，按照亚危症、危症、急重、急危进行分级，按级别响应并进行救治，在此基础上，</w:t>
            </w:r>
            <w:r>
              <w:rPr>
                <w:rFonts w:ascii="宋体" w:eastAsia="宋体" w:hAnsi="宋体" w:cs="Times New Roman" w:hint="eastAsia"/>
                <w:b w:val="0"/>
                <w:bCs w:val="0"/>
                <w:color w:val="auto"/>
                <w:kern w:val="2"/>
                <w:sz w:val="21"/>
                <w:szCs w:val="21"/>
                <w:highlight w:val="none"/>
                <w:lang w:val="en-US" w:eastAsia="zh-CN" w:bidi="ar-SA"/>
              </w:rPr>
              <w:t>医务人员接到紧急需求（如急救）通知后，能立即响应</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Times New Roman" w:hint="eastAsia"/>
                <w:b w:val="0"/>
                <w:bCs w:val="0"/>
                <w:color w:val="auto"/>
                <w:kern w:val="2"/>
                <w:sz w:val="21"/>
                <w:szCs w:val="21"/>
                <w:highlight w:val="none"/>
                <w:lang w:val="en-US" w:eastAsia="zh-CN" w:bidi="ar-SA"/>
              </w:rPr>
            </w:pPr>
            <w:r>
              <w:rPr>
                <w:rFonts w:ascii="宋体" w:eastAsia="宋体" w:hAnsi="宋体" w:cs="Times New Roman" w:hint="eastAsia"/>
                <w:b w:val="0"/>
                <w:bCs w:val="0"/>
                <w:color w:val="auto"/>
                <w:kern w:val="2"/>
                <w:sz w:val="21"/>
                <w:szCs w:val="21"/>
                <w:highlight w:val="none"/>
                <w:lang w:val="en-US" w:eastAsia="zh-CN" w:bidi="ar-SA"/>
              </w:rPr>
              <w:t>到达现场时间≦10分钟</w:t>
            </w:r>
            <w:r>
              <w:rPr>
                <w:rFonts w:ascii="宋体" w:hAnsi="宋体" w:cs="Times New Roman" w:hint="eastAsia"/>
                <w:b w:val="0"/>
                <w:bCs w:val="0"/>
                <w:color w:val="auto"/>
                <w:kern w:val="2"/>
                <w:sz w:val="21"/>
                <w:szCs w:val="21"/>
                <w:highlight w:val="none"/>
                <w:lang w:val="en-US" w:eastAsia="zh-CN" w:bidi="ar-SA"/>
              </w:rPr>
              <w:t>，</w:t>
            </w:r>
            <w:r>
              <w:rPr>
                <w:rFonts w:ascii="宋体" w:eastAsia="宋体" w:hAnsi="宋体" w:cs="Times New Roman" w:hint="eastAsia"/>
                <w:b w:val="0"/>
                <w:bCs w:val="0"/>
                <w:color w:val="auto"/>
                <w:kern w:val="2"/>
                <w:sz w:val="21"/>
                <w:szCs w:val="21"/>
                <w:highlight w:val="none"/>
                <w:lang w:val="en-US" w:eastAsia="zh-CN" w:bidi="ar-SA"/>
              </w:rPr>
              <w:t>得</w:t>
            </w:r>
            <w:bookmarkStart w:id="324" w:name="_GoBack"/>
            <w:bookmarkEnd w:id="324"/>
            <w:r>
              <w:rPr>
                <w:rFonts w:ascii="宋体" w:eastAsia="宋体" w:hAnsi="宋体" w:cs="Times New Roman" w:hint="eastAsia"/>
                <w:b w:val="0"/>
                <w:bCs w:val="0"/>
                <w:color w:val="auto"/>
                <w:kern w:val="2"/>
                <w:sz w:val="21"/>
                <w:szCs w:val="21"/>
                <w:highlight w:val="none"/>
                <w:lang w:val="en-US" w:eastAsia="zh-CN" w:bidi="ar-SA"/>
              </w:rPr>
              <w:t>60分。</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Times New Roman" w:hint="eastAsia"/>
                <w:b w:val="0"/>
                <w:bCs w:val="0"/>
                <w:color w:val="auto"/>
                <w:kern w:val="2"/>
                <w:sz w:val="21"/>
                <w:szCs w:val="21"/>
                <w:highlight w:val="none"/>
                <w:lang w:val="en-US" w:eastAsia="zh-CN" w:bidi="ar-SA"/>
              </w:rPr>
            </w:pPr>
            <w:r>
              <w:rPr>
                <w:rFonts w:ascii="宋体" w:eastAsia="宋体" w:hAnsi="宋体" w:cs="Times New Roman" w:hint="eastAsia"/>
                <w:b w:val="0"/>
                <w:bCs w:val="0"/>
                <w:color w:val="auto"/>
                <w:kern w:val="2"/>
                <w:sz w:val="21"/>
                <w:szCs w:val="21"/>
                <w:highlight w:val="none"/>
                <w:lang w:val="en-US" w:eastAsia="zh-CN" w:bidi="ar-SA"/>
              </w:rPr>
              <w:t>10分钟&lt;到达现场时间≦30分钟，得30分。</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Times New Roman" w:hint="eastAsia"/>
                <w:b w:val="0"/>
                <w:bCs w:val="0"/>
                <w:color w:val="auto"/>
                <w:kern w:val="2"/>
                <w:sz w:val="21"/>
                <w:szCs w:val="21"/>
                <w:highlight w:val="none"/>
                <w:lang w:val="en-US" w:eastAsia="zh-CN" w:bidi="ar-SA"/>
              </w:rPr>
            </w:pPr>
            <w:r>
              <w:rPr>
                <w:rFonts w:ascii="宋体" w:eastAsia="宋体" w:hAnsi="宋体" w:cs="Times New Roman" w:hint="eastAsia"/>
                <w:b w:val="0"/>
                <w:bCs w:val="0"/>
                <w:color w:val="auto"/>
                <w:kern w:val="2"/>
                <w:sz w:val="21"/>
                <w:szCs w:val="21"/>
                <w:highlight w:val="none"/>
                <w:lang w:val="en-US" w:eastAsia="zh-CN" w:bidi="ar-SA"/>
              </w:rPr>
              <w:t>30分钟&lt;到达现场时间，本小项不得分。</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Times New Roman" w:hint="eastAsia"/>
                <w:b w:val="0"/>
                <w:bCs w:val="0"/>
                <w:color w:val="auto"/>
                <w:kern w:val="2"/>
                <w:sz w:val="21"/>
                <w:szCs w:val="21"/>
                <w:highlight w:val="none"/>
                <w:lang w:val="en-US" w:eastAsia="zh-CN" w:bidi="ar-SA"/>
              </w:rPr>
            </w:pPr>
            <w:r>
              <w:rPr>
                <w:rFonts w:ascii="宋体" w:eastAsia="宋体" w:hAnsi="宋体" w:cs="Times New Roman" w:hint="eastAsia"/>
                <w:b w:val="0"/>
                <w:bCs w:val="0"/>
                <w:color w:val="auto"/>
                <w:kern w:val="2"/>
                <w:sz w:val="21"/>
                <w:szCs w:val="21"/>
                <w:highlight w:val="none"/>
                <w:lang w:val="en-US" w:eastAsia="zh-CN" w:bidi="ar-SA"/>
              </w:rPr>
              <w:t>2.一般需求响应（40分）</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Times New Roman" w:hint="eastAsia"/>
                <w:b w:val="0"/>
                <w:bCs w:val="0"/>
                <w:color w:val="auto"/>
                <w:kern w:val="2"/>
                <w:sz w:val="21"/>
                <w:szCs w:val="21"/>
                <w:highlight w:val="none"/>
                <w:lang w:val="en-US" w:eastAsia="zh-CN" w:bidi="ar-SA"/>
              </w:rPr>
            </w:pPr>
            <w:r>
              <w:rPr>
                <w:rFonts w:ascii="宋体" w:eastAsia="宋体" w:hAnsi="宋体" w:cs="Times New Roman" w:hint="eastAsia"/>
                <w:b w:val="0"/>
                <w:bCs w:val="0"/>
                <w:color w:val="auto"/>
                <w:kern w:val="2"/>
                <w:sz w:val="21"/>
                <w:szCs w:val="21"/>
                <w:highlight w:val="none"/>
                <w:lang w:val="en-US" w:eastAsia="zh-CN" w:bidi="ar-SA"/>
              </w:rPr>
              <w:t>医务人员接到一般需求通知后：能立即响应</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Times New Roman" w:hint="eastAsia"/>
                <w:b w:val="0"/>
                <w:bCs w:val="0"/>
                <w:color w:val="auto"/>
                <w:kern w:val="2"/>
                <w:sz w:val="21"/>
                <w:szCs w:val="21"/>
                <w:highlight w:val="none"/>
                <w:lang w:val="en-US" w:eastAsia="zh-CN" w:bidi="ar-SA"/>
              </w:rPr>
            </w:pPr>
            <w:r>
              <w:rPr>
                <w:rFonts w:ascii="宋体" w:eastAsia="宋体" w:hAnsi="宋体" w:cs="Times New Roman" w:hint="eastAsia"/>
                <w:b w:val="0"/>
                <w:bCs w:val="0"/>
                <w:color w:val="auto"/>
                <w:kern w:val="2"/>
                <w:sz w:val="21"/>
                <w:szCs w:val="21"/>
                <w:highlight w:val="none"/>
                <w:lang w:val="en-US" w:eastAsia="zh-CN" w:bidi="ar-SA"/>
              </w:rPr>
              <w:t>到达现场时间≦30分钟，得40分。</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Times New Roman" w:hint="eastAsia"/>
                <w:b w:val="0"/>
                <w:bCs w:val="0"/>
                <w:color w:val="auto"/>
                <w:kern w:val="2"/>
                <w:sz w:val="21"/>
                <w:szCs w:val="21"/>
                <w:highlight w:val="none"/>
                <w:lang w:val="en-US" w:eastAsia="zh-CN" w:bidi="ar-SA"/>
              </w:rPr>
            </w:pPr>
            <w:r>
              <w:rPr>
                <w:rFonts w:ascii="宋体" w:eastAsia="宋体" w:hAnsi="宋体" w:cs="Times New Roman" w:hint="eastAsia"/>
                <w:b w:val="0"/>
                <w:bCs w:val="0"/>
                <w:color w:val="auto"/>
                <w:kern w:val="2"/>
                <w:sz w:val="21"/>
                <w:szCs w:val="21"/>
                <w:highlight w:val="none"/>
                <w:lang w:val="en-US" w:eastAsia="zh-CN" w:bidi="ar-SA"/>
              </w:rPr>
              <w:t>30分钟&lt;到达现场时间≦1小时，得20分。</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Times New Roman" w:hint="eastAsia"/>
                <w:b w:val="0"/>
                <w:bCs w:val="0"/>
                <w:color w:val="auto"/>
                <w:kern w:val="2"/>
                <w:sz w:val="21"/>
                <w:szCs w:val="21"/>
                <w:highlight w:val="none"/>
                <w:lang w:val="en-US" w:eastAsia="zh-CN" w:bidi="ar-SA"/>
              </w:rPr>
            </w:pPr>
            <w:r>
              <w:rPr>
                <w:rFonts w:ascii="宋体" w:eastAsia="宋体" w:hAnsi="宋体" w:cs="Times New Roman" w:hint="eastAsia"/>
                <w:b w:val="0"/>
                <w:bCs w:val="0"/>
                <w:color w:val="auto"/>
                <w:kern w:val="2"/>
                <w:sz w:val="21"/>
                <w:szCs w:val="21"/>
                <w:highlight w:val="none"/>
                <w:lang w:val="en-US" w:eastAsia="zh-CN" w:bidi="ar-SA"/>
              </w:rPr>
              <w:t>1小时&lt;到达现场时间不得分。</w:t>
            </w:r>
          </w:p>
          <w:p>
            <w:pPr>
              <w:keepNext w:val="0"/>
              <w:keepLines w:val="0"/>
              <w:pageBreakBefore w:val="0"/>
              <w:suppressLineNumbers w:val="0"/>
              <w:kinsoku/>
              <w:wordWrap w:val="0"/>
              <w:overflowPunct/>
              <w:topLinePunct w:val="0"/>
              <w:bidi w:val="0"/>
              <w:adjustRightInd w:val="0"/>
              <w:snapToGrid w:val="0"/>
              <w:spacing w:before="0" w:beforeAutospacing="0" w:after="0" w:afterAutospacing="0" w:line="240" w:lineRule="auto"/>
              <w:ind w:left="0" w:right="0"/>
              <w:jc w:val="left"/>
              <w:rPr>
                <w:rFonts w:ascii="Calibri" w:eastAsia="宋体" w:hAnsi="Calibri" w:cs="Times New Roman" w:hint="eastAsia"/>
                <w:highlight w:val="none"/>
                <w:lang w:val="en-US" w:eastAsia="zh-CN"/>
              </w:rPr>
            </w:pPr>
            <w:r>
              <w:rPr>
                <w:rFonts w:ascii="宋体" w:eastAsia="宋体" w:hAnsi="宋体" w:cs="宋体" w:hint="eastAsia"/>
                <w:b/>
                <w:bCs/>
                <w:color w:val="auto"/>
                <w:szCs w:val="21"/>
                <w:highlight w:val="none"/>
              </w:rPr>
              <w:t>（二）评分依据：</w:t>
            </w:r>
          </w:p>
          <w:p>
            <w:pPr>
              <w:keepNext w:val="0"/>
              <w:keepLines w:val="0"/>
              <w:suppressLineNumbers w:val="0"/>
              <w:spacing w:before="0" w:beforeAutospacing="0" w:after="0" w:afterAutospacing="0"/>
              <w:ind w:left="0" w:right="0"/>
              <w:rPr>
                <w:rFonts w:ascii="宋体" w:eastAsia="宋体" w:hAnsi="宋体" w:cs="Times New Roman" w:hint="default"/>
                <w:color w:val="auto"/>
                <w:szCs w:val="21"/>
                <w:highlight w:val="none"/>
                <w:lang w:val="en-US" w:eastAsia="zh-CN"/>
              </w:rPr>
            </w:pPr>
            <w:r>
              <w:rPr>
                <w:rFonts w:ascii="宋体" w:eastAsia="宋体" w:hAnsi="宋体" w:cs="Times New Roman" w:hint="eastAsia"/>
                <w:color w:val="auto"/>
                <w:szCs w:val="21"/>
                <w:highlight w:val="none"/>
              </w:rPr>
              <w:t>提供</w:t>
            </w:r>
            <w:r>
              <w:rPr>
                <w:rFonts w:ascii="宋体" w:hAnsi="宋体" w:cs="Times New Roman" w:hint="eastAsia"/>
                <w:color w:val="auto"/>
                <w:szCs w:val="21"/>
                <w:highlight w:val="none"/>
                <w:lang w:val="en-US" w:eastAsia="zh-CN"/>
              </w:rPr>
              <w:t>满足以上要求的承诺</w:t>
            </w:r>
            <w:r>
              <w:rPr>
                <w:rFonts w:ascii="宋体" w:eastAsia="宋体" w:hAnsi="宋体" w:cs="Times New Roman" w:hint="eastAsia"/>
                <w:color w:val="auto"/>
                <w:szCs w:val="21"/>
                <w:highlight w:val="none"/>
              </w:rPr>
              <w:t>（格式自拟）及到场时间的保障方案作为证明材料，专家应对到场时间的保障方案作的合理性进行判断，若判断为不合理，此项不得分</w:t>
            </w:r>
            <w:r>
              <w:rPr>
                <w:rFonts w:ascii="宋体" w:hAnsi="宋体" w:cs="Times New Roman" w:hint="eastAsia"/>
                <w:color w:val="auto"/>
                <w:szCs w:val="21"/>
                <w:highlight w:val="none"/>
                <w:lang w:eastAsia="zh-CN"/>
              </w:rPr>
              <w:t>。</w:t>
            </w:r>
            <w:r>
              <w:rPr>
                <w:rFonts w:ascii="宋体" w:hAnsi="宋体" w:cs="Times New Roman" w:hint="eastAsia"/>
                <w:color w:val="auto"/>
                <w:szCs w:val="21"/>
                <w:highlight w:val="none"/>
                <w:lang w:val="en-US" w:eastAsia="zh-CN"/>
              </w:rPr>
              <w:t>如投标人为中标提供虚假承诺，采购方将报监管单位并经保留处理的权利。</w:t>
            </w:r>
          </w:p>
        </w:tc>
      </w:tr>
      <w:tr>
        <w:tblPrEx>
          <w:tblW w:w="9256" w:type="dxa"/>
          <w:tblInd w:w="0" w:type="dxa"/>
          <w:tblCellMar>
            <w:top w:w="0" w:type="dxa"/>
            <w:left w:w="108" w:type="dxa"/>
            <w:bottom w:w="0" w:type="dxa"/>
            <w:right w:w="108" w:type="dxa"/>
          </w:tblCellMar>
        </w:tblPrEx>
        <w:trPr>
          <w:trHeight w:val="78"/>
        </w:trPr>
        <w:tc>
          <w:tcPr>
            <w:tcW w:w="522" w:type="dxa"/>
            <w:vMerge/>
            <w:tcBorders>
              <w:left w:val="single" w:sz="4" w:space="0" w:color="auto"/>
              <w:right w:val="single" w:sz="4" w:space="0" w:color="auto"/>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eastAsia"/>
                <w:color w:val="auto"/>
                <w:szCs w:val="21"/>
                <w:highlight w:val="none"/>
                <w:lang w:eastAsia="zh-CN"/>
              </w:rPr>
            </w:pPr>
            <w:r>
              <w:rPr>
                <w:rFonts w:ascii="宋体" w:hAnsi="宋体" w:cs="Times New Roman" w:hint="eastAsia"/>
                <w:color w:val="auto"/>
                <w:szCs w:val="21"/>
                <w:highlight w:val="none"/>
                <w:lang w:val="en-US" w:eastAsia="zh-CN"/>
              </w:rPr>
              <w:t>2</w:t>
            </w: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hint="eastAsia"/>
                <w:color w:val="auto"/>
                <w:szCs w:val="21"/>
                <w:highlight w:val="none"/>
              </w:rPr>
              <w:t>拟安排的项目负责人情况（仅限一人）</w:t>
            </w: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ascii="宋体" w:eastAsia="宋体" w:hAnsi="宋体" w:cs="Times New Roman" w:hint="default"/>
                <w:color w:val="auto"/>
                <w:szCs w:val="21"/>
                <w:highlight w:val="none"/>
                <w:lang w:val="en-US"/>
              </w:rPr>
            </w:pPr>
            <w:r>
              <w:rPr>
                <w:rFonts w:ascii="宋体" w:hAnsi="宋体" w:cs="宋体" w:hint="eastAsia"/>
                <w:color w:val="auto"/>
                <w:szCs w:val="21"/>
                <w:highlight w:val="none"/>
                <w:lang w:val="en-US" w:eastAsia="zh-CN"/>
              </w:rPr>
              <w:t>12</w:t>
            </w:r>
          </w:p>
        </w:tc>
        <w:tc>
          <w:tcPr>
            <w:tcW w:w="5746" w:type="dxa"/>
            <w:tcBorders>
              <w:top w:val="single" w:sz="4" w:space="0" w:color="auto"/>
              <w:left w:val="single" w:sz="4" w:space="0" w:color="auto"/>
              <w:bottom w:val="single" w:sz="4" w:space="0" w:color="auto"/>
              <w:right w:val="single" w:sz="4" w:space="0" w:color="auto"/>
            </w:tcBorders>
            <w:noWrap w:val="0"/>
            <w:vAlign w:val="top"/>
          </w:tcPr>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b/>
                <w:bCs/>
                <w:color w:val="auto"/>
                <w:szCs w:val="21"/>
                <w:highlight w:val="none"/>
              </w:rPr>
            </w:pPr>
            <w:r>
              <w:rPr>
                <w:rFonts w:ascii="宋体" w:eastAsia="宋体" w:hAnsi="宋体" w:cs="宋体" w:hint="eastAsia"/>
                <w:b/>
                <w:bCs/>
                <w:color w:val="auto"/>
                <w:szCs w:val="21"/>
                <w:highlight w:val="none"/>
              </w:rPr>
              <w:t>（一）评分内容：</w:t>
            </w:r>
          </w:p>
          <w:p>
            <w:pPr>
              <w:keepNext w:val="0"/>
              <w:keepLines w:val="0"/>
              <w:pageBreakBefore w:val="0"/>
              <w:suppressLineNumbers w:val="0"/>
              <w:kinsoku/>
              <w:overflowPunct/>
              <w:topLinePunct w:val="0"/>
              <w:bidi w:val="0"/>
              <w:spacing w:before="0" w:beforeAutospacing="0" w:after="0" w:afterAutospacing="0" w:line="240" w:lineRule="auto"/>
              <w:ind w:left="0" w:right="0"/>
              <w:rPr>
                <w:rFonts w:ascii="宋体" w:eastAsia="宋体" w:hAnsi="宋体" w:cs="宋体" w:hint="eastAsia"/>
                <w:color w:val="auto"/>
                <w:highlight w:val="none"/>
              </w:rPr>
            </w:pPr>
            <w:r>
              <w:rPr>
                <w:rFonts w:ascii="宋体" w:eastAsia="宋体" w:hAnsi="宋体" w:cs="宋体" w:hint="eastAsia"/>
                <w:color w:val="auto"/>
                <w:szCs w:val="21"/>
                <w:highlight w:val="none"/>
              </w:rPr>
              <w:t>项目负责人</w:t>
            </w:r>
            <w:r>
              <w:rPr>
                <w:rFonts w:ascii="宋体" w:eastAsia="宋体" w:hAnsi="宋体" w:cs="宋体" w:hint="eastAsia"/>
                <w:color w:val="auto"/>
                <w:szCs w:val="21"/>
                <w:highlight w:val="none"/>
                <w:lang w:val="en-US" w:eastAsia="zh-CN"/>
              </w:rPr>
              <w:t>具有康复医学专业</w:t>
            </w:r>
            <w:r>
              <w:rPr>
                <w:rFonts w:ascii="宋体" w:eastAsia="宋体" w:hAnsi="宋体" w:cs="宋体" w:hint="default"/>
                <w:color w:val="auto"/>
                <w:szCs w:val="21"/>
                <w:highlight w:val="none"/>
                <w:lang w:eastAsia="zh-CN"/>
              </w:rPr>
              <w:t>且取得执业医师资格证书，</w:t>
            </w:r>
            <w:r>
              <w:rPr>
                <w:rFonts w:ascii="宋体" w:eastAsia="宋体" w:hAnsi="宋体" w:cs="宋体" w:hint="eastAsia"/>
                <w:color w:val="auto"/>
                <w:szCs w:val="21"/>
                <w:highlight w:val="none"/>
                <w:lang w:val="en-US" w:eastAsia="zh-CN"/>
              </w:rPr>
              <w:t>在此基础上：具有</w:t>
            </w:r>
            <w:r>
              <w:rPr>
                <w:rFonts w:ascii="宋体" w:hAnsi="宋体" w:cs="宋体" w:hint="eastAsia"/>
                <w:color w:val="auto"/>
                <w:szCs w:val="21"/>
                <w:highlight w:val="none"/>
                <w:lang w:val="en-US" w:eastAsia="zh-CN"/>
              </w:rPr>
              <w:t>正</w:t>
            </w:r>
            <w:r>
              <w:rPr>
                <w:rFonts w:ascii="宋体" w:eastAsia="宋体" w:hAnsi="宋体" w:cs="宋体" w:hint="eastAsia"/>
                <w:color w:val="auto"/>
                <w:szCs w:val="21"/>
                <w:highlight w:val="none"/>
                <w:lang w:val="en-US" w:eastAsia="zh-CN"/>
              </w:rPr>
              <w:t>高级职称</w:t>
            </w:r>
            <w:r>
              <w:rPr>
                <w:rFonts w:ascii="宋体" w:eastAsia="宋体" w:hAnsi="宋体" w:cs="宋体" w:hint="eastAsia"/>
                <w:color w:val="auto"/>
                <w:szCs w:val="21"/>
                <w:highlight w:val="none"/>
              </w:rPr>
              <w:t>得</w:t>
            </w:r>
            <w:r>
              <w:rPr>
                <w:rFonts w:ascii="宋体" w:eastAsia="宋体" w:hAnsi="宋体" w:cs="宋体" w:hint="eastAsia"/>
                <w:color w:val="auto"/>
                <w:szCs w:val="21"/>
                <w:highlight w:val="none"/>
                <w:lang w:val="en-US" w:eastAsia="zh-CN"/>
              </w:rPr>
              <w:t>10</w:t>
            </w:r>
            <w:r>
              <w:rPr>
                <w:rFonts w:ascii="宋体" w:eastAsia="宋体" w:hAnsi="宋体" w:cs="宋体" w:hint="eastAsia"/>
                <w:color w:val="auto"/>
                <w:szCs w:val="21"/>
                <w:highlight w:val="none"/>
              </w:rPr>
              <w:t>0分，</w:t>
            </w:r>
            <w:r>
              <w:rPr>
                <w:rFonts w:ascii="宋体" w:hAnsi="宋体" w:cs="宋体" w:hint="eastAsia"/>
                <w:color w:val="auto"/>
                <w:szCs w:val="21"/>
                <w:highlight w:val="none"/>
                <w:lang w:val="en-US" w:eastAsia="zh-CN"/>
              </w:rPr>
              <w:t>副高级职称得60分，</w:t>
            </w:r>
            <w:r>
              <w:rPr>
                <w:rFonts w:ascii="宋体" w:eastAsia="宋体" w:hAnsi="宋体" w:cs="宋体" w:hint="eastAsia"/>
                <w:color w:val="auto"/>
                <w:szCs w:val="21"/>
                <w:highlight w:val="none"/>
                <w:lang w:val="en-US" w:eastAsia="zh-CN"/>
              </w:rPr>
              <w:t>中级职称</w:t>
            </w:r>
            <w:r>
              <w:rPr>
                <w:rFonts w:ascii="宋体" w:eastAsia="宋体" w:hAnsi="宋体" w:cs="宋体" w:hint="eastAsia"/>
                <w:color w:val="auto"/>
                <w:szCs w:val="21"/>
                <w:highlight w:val="none"/>
              </w:rPr>
              <w:t>得</w:t>
            </w:r>
            <w:r>
              <w:rPr>
                <w:rFonts w:ascii="宋体" w:hAnsi="宋体" w:cs="宋体" w:hint="eastAsia"/>
                <w:color w:val="auto"/>
                <w:szCs w:val="21"/>
                <w:highlight w:val="none"/>
                <w:lang w:val="en-US" w:eastAsia="zh-CN"/>
              </w:rPr>
              <w:t>30</w:t>
            </w:r>
            <w:r>
              <w:rPr>
                <w:rFonts w:ascii="宋体" w:eastAsia="宋体" w:hAnsi="宋体" w:cs="宋体" w:hint="eastAsia"/>
                <w:color w:val="auto"/>
                <w:szCs w:val="21"/>
                <w:highlight w:val="none"/>
              </w:rPr>
              <w:t>分，其他情况不得分；</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b/>
                <w:bCs/>
                <w:color w:val="auto"/>
                <w:szCs w:val="21"/>
                <w:highlight w:val="none"/>
              </w:rPr>
            </w:pPr>
            <w:r>
              <w:rPr>
                <w:rFonts w:ascii="宋体" w:eastAsia="宋体" w:hAnsi="宋体" w:cs="宋体" w:hint="eastAsia"/>
                <w:b/>
                <w:bCs/>
                <w:color w:val="auto"/>
                <w:szCs w:val="21"/>
                <w:highlight w:val="none"/>
              </w:rPr>
              <w:t>（二）评分依据：</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color w:val="auto"/>
                <w:szCs w:val="21"/>
                <w:highlight w:val="none"/>
              </w:rPr>
            </w:pPr>
            <w:r>
              <w:rPr>
                <w:rFonts w:ascii="宋体" w:eastAsia="宋体" w:hAnsi="宋体" w:cs="宋体" w:hint="eastAsia"/>
                <w:color w:val="auto"/>
                <w:szCs w:val="21"/>
                <w:highlight w:val="none"/>
              </w:rPr>
              <w:t>1.要求提供</w:t>
            </w:r>
            <w:r>
              <w:rPr>
                <w:rFonts w:ascii="宋体" w:eastAsia="宋体" w:hAnsi="宋体" w:cs="宋体" w:hint="default"/>
                <w:color w:val="auto"/>
                <w:szCs w:val="21"/>
                <w:highlight w:val="none"/>
              </w:rPr>
              <w:t>执业医师资格证书、</w:t>
            </w:r>
            <w:r>
              <w:rPr>
                <w:rFonts w:ascii="宋体" w:eastAsia="宋体" w:hAnsi="宋体" w:cs="宋体" w:hint="eastAsia"/>
                <w:color w:val="auto"/>
                <w:szCs w:val="21"/>
                <w:highlight w:val="none"/>
              </w:rPr>
              <w:t>职称证书及通过投标人购买的项目负责人近</w:t>
            </w:r>
            <w:r>
              <w:rPr>
                <w:rFonts w:ascii="宋体" w:eastAsia="宋体" w:hAnsi="宋体" w:cs="宋体" w:hint="eastAsia"/>
                <w:color w:val="auto"/>
                <w:szCs w:val="21"/>
                <w:highlight w:val="none"/>
                <w:lang w:val="en-US" w:eastAsia="zh-CN"/>
              </w:rPr>
              <w:t>1</w:t>
            </w:r>
            <w:r>
              <w:rPr>
                <w:rFonts w:ascii="宋体" w:eastAsia="宋体" w:hAnsi="宋体" w:cs="宋体" w:hint="eastAsia"/>
                <w:color w:val="auto"/>
                <w:szCs w:val="21"/>
                <w:highlight w:val="none"/>
              </w:rPr>
              <w:t>个月社保（如因社保部门原因暂时无法取得，则可以往前顺延一个月，但须提供社保部门出具的相关有效证明材料，若投标人成立不足</w:t>
            </w:r>
            <w:r>
              <w:rPr>
                <w:rFonts w:ascii="宋体" w:eastAsia="宋体" w:hAnsi="宋体" w:cs="宋体" w:hint="eastAsia"/>
                <w:color w:val="auto"/>
                <w:szCs w:val="21"/>
                <w:highlight w:val="none"/>
                <w:lang w:val="en-US" w:eastAsia="zh-CN"/>
              </w:rPr>
              <w:t>1</w:t>
            </w:r>
            <w:r>
              <w:rPr>
                <w:rFonts w:ascii="宋体" w:eastAsia="宋体" w:hAnsi="宋体" w:cs="宋体" w:hint="eastAsia"/>
                <w:color w:val="auto"/>
                <w:szCs w:val="21"/>
                <w:highlight w:val="none"/>
              </w:rPr>
              <w:t>个月的，需提供成立情况说明函（格式自拟），无需提供相关人员社保，亦可得分；若为退休返聘人员，需提供说明函（格式自拟），无需提供相关人员社保，亦可得分</w:t>
            </w:r>
            <w:r>
              <w:rPr>
                <w:rFonts w:ascii="宋体" w:eastAsia="宋体" w:hAnsi="宋体" w:cs="宋体" w:hint="eastAsia"/>
                <w:color w:val="auto"/>
                <w:highlight w:val="none"/>
                <w:lang w:eastAsia="zh-CN"/>
              </w:rPr>
              <w:t>）</w:t>
            </w:r>
            <w:r>
              <w:rPr>
                <w:rFonts w:ascii="宋体" w:eastAsia="宋体" w:hAnsi="宋体" w:cs="宋体" w:hint="eastAsia"/>
                <w:color w:val="auto"/>
                <w:szCs w:val="21"/>
                <w:highlight w:val="none"/>
              </w:rPr>
              <w:t>作为得分依据。</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color w:val="auto"/>
                <w:szCs w:val="21"/>
                <w:highlight w:val="none"/>
              </w:rPr>
            </w:pPr>
            <w:r>
              <w:rPr>
                <w:rFonts w:ascii="宋体" w:eastAsia="宋体" w:hAnsi="宋体" w:cs="宋体" w:hint="eastAsia"/>
                <w:color w:val="auto"/>
                <w:szCs w:val="21"/>
                <w:highlight w:val="none"/>
              </w:rPr>
              <w:t>2.以上资料均要求提供扫描件（或官方网站截图），原件备查。评分中出现无证明资料或专家无法凭所提供资料判断是否得分的情况，一律作不得分处理。</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Calibri" w:eastAsia="宋体" w:hAnsi="Calibri" w:cs="Times New Roman" w:hint="default"/>
                <w:color w:val="auto"/>
                <w:highlight w:val="none"/>
                <w:lang w:val="en-US" w:eastAsia="zh-CN"/>
              </w:rPr>
            </w:pPr>
            <w:r>
              <w:rPr>
                <w:rFonts w:ascii="宋体" w:eastAsia="宋体" w:hAnsi="宋体" w:cs="宋体" w:hint="eastAsia"/>
                <w:color w:val="auto"/>
                <w:szCs w:val="21"/>
                <w:highlight w:val="none"/>
              </w:rPr>
              <w:t>3.社保证明资料应当至少包含医疗保险，证明资料可为社保收缴部门盖章证明资料、社保窗口打印资料或社保官网截图。</w:t>
            </w:r>
          </w:p>
        </w:tc>
      </w:tr>
      <w:tr>
        <w:tblPrEx>
          <w:tblW w:w="9256" w:type="dxa"/>
          <w:tblInd w:w="0" w:type="dxa"/>
          <w:tblCellMar>
            <w:top w:w="0" w:type="dxa"/>
            <w:left w:w="108" w:type="dxa"/>
            <w:bottom w:w="0" w:type="dxa"/>
            <w:right w:w="108" w:type="dxa"/>
          </w:tblCellMar>
        </w:tblPrEx>
        <w:trPr>
          <w:trHeight w:val="78"/>
        </w:trPr>
        <w:tc>
          <w:tcPr>
            <w:tcW w:w="522" w:type="dxa"/>
            <w:vMerge/>
            <w:tcBorders>
              <w:left w:val="single" w:sz="4" w:space="0" w:color="auto"/>
              <w:right w:val="single" w:sz="4" w:space="0" w:color="auto"/>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eastAsia"/>
                <w:color w:val="auto"/>
                <w:szCs w:val="21"/>
                <w:highlight w:val="none"/>
                <w:lang w:eastAsia="zh-CN"/>
              </w:rPr>
            </w:pPr>
            <w:r>
              <w:rPr>
                <w:rFonts w:ascii="宋体" w:hAnsi="宋体" w:cs="Times New Roman" w:hint="eastAsia"/>
                <w:color w:val="auto"/>
                <w:szCs w:val="21"/>
                <w:highlight w:val="none"/>
                <w:lang w:val="en-US" w:eastAsia="zh-CN"/>
              </w:rPr>
              <w:t>3</w:t>
            </w: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hint="eastAsia"/>
                <w:color w:val="auto"/>
                <w:szCs w:val="21"/>
                <w:highlight w:val="none"/>
              </w:rPr>
              <w:t>拟安排的项目主要团队成员（主要技术人员）情况（项目负责人除外）</w:t>
            </w: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ascii="宋体" w:eastAsia="宋体" w:hAnsi="宋体" w:cs="Times New Roman" w:hint="default"/>
                <w:color w:val="auto"/>
                <w:szCs w:val="21"/>
                <w:highlight w:val="none"/>
                <w:lang w:val="en-US"/>
              </w:rPr>
            </w:pPr>
            <w:r>
              <w:rPr>
                <w:rFonts w:ascii="宋体" w:eastAsia="宋体" w:hAnsi="宋体" w:cs="宋体" w:hint="eastAsia"/>
                <w:color w:val="auto"/>
                <w:szCs w:val="21"/>
                <w:highlight w:val="none"/>
                <w:lang w:val="en-US" w:eastAsia="zh-CN"/>
              </w:rPr>
              <w:t>15</w:t>
            </w:r>
          </w:p>
        </w:tc>
        <w:tc>
          <w:tcPr>
            <w:tcW w:w="5746" w:type="dxa"/>
            <w:tcBorders>
              <w:top w:val="single" w:sz="4" w:space="0" w:color="auto"/>
              <w:left w:val="single" w:sz="4" w:space="0" w:color="auto"/>
              <w:bottom w:val="single" w:sz="4" w:space="0" w:color="auto"/>
              <w:right w:val="single" w:sz="4" w:space="0" w:color="auto"/>
            </w:tcBorders>
            <w:noWrap w:val="0"/>
            <w:vAlign w:val="top"/>
          </w:tcPr>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b/>
                <w:bCs/>
                <w:color w:val="auto"/>
                <w:szCs w:val="21"/>
                <w:highlight w:val="none"/>
              </w:rPr>
            </w:pPr>
            <w:r>
              <w:rPr>
                <w:rFonts w:ascii="宋体" w:eastAsia="宋体" w:hAnsi="宋体" w:cs="宋体" w:hint="eastAsia"/>
                <w:b/>
                <w:bCs/>
                <w:color w:val="auto"/>
                <w:szCs w:val="21"/>
                <w:highlight w:val="none"/>
              </w:rPr>
              <w:t>（一）评分内容：</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color w:val="auto"/>
                <w:szCs w:val="21"/>
                <w:highlight w:val="none"/>
              </w:rPr>
            </w:pPr>
            <w:r>
              <w:rPr>
                <w:rFonts w:ascii="宋体" w:eastAsia="宋体" w:hAnsi="宋体" w:cs="宋体" w:hint="eastAsia"/>
                <w:color w:val="auto"/>
                <w:szCs w:val="21"/>
                <w:highlight w:val="none"/>
              </w:rPr>
              <w:t>投标人主要团队成员不少于</w:t>
            </w:r>
            <w:r>
              <w:rPr>
                <w:rFonts w:ascii="宋体" w:eastAsia="宋体" w:hAnsi="宋体" w:cs="宋体" w:hint="eastAsia"/>
                <w:color w:val="auto"/>
                <w:szCs w:val="21"/>
                <w:highlight w:val="none"/>
                <w:lang w:val="en-US" w:eastAsia="zh-CN"/>
              </w:rPr>
              <w:t>1</w:t>
            </w:r>
            <w:r>
              <w:rPr>
                <w:rFonts w:ascii="宋体" w:eastAsia="宋体" w:hAnsi="宋体" w:cs="宋体" w:hint="eastAsia"/>
                <w:color w:val="auto"/>
                <w:szCs w:val="21"/>
                <w:highlight w:val="none"/>
              </w:rPr>
              <w:t>0人</w:t>
            </w:r>
            <w:r>
              <w:rPr>
                <w:rFonts w:ascii="宋体" w:eastAsia="宋体" w:hAnsi="宋体" w:cs="宋体" w:hint="eastAsia"/>
                <w:color w:val="auto"/>
                <w:szCs w:val="21"/>
                <w:highlight w:val="none"/>
                <w:lang w:eastAsia="zh-CN"/>
              </w:rPr>
              <w:t>，</w:t>
            </w:r>
            <w:r>
              <w:rPr>
                <w:rFonts w:ascii="宋体" w:eastAsia="宋体" w:hAnsi="宋体" w:cs="宋体" w:hint="eastAsia"/>
                <w:color w:val="auto"/>
                <w:szCs w:val="21"/>
                <w:highlight w:val="none"/>
              </w:rPr>
              <w:t>在此基础上：</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宋体" w:hint="default"/>
                <w:color w:val="auto"/>
                <w:szCs w:val="21"/>
                <w:highlight w:val="none"/>
                <w:lang w:val="en-US" w:eastAsia="zh-CN"/>
              </w:rPr>
            </w:pPr>
            <w:r>
              <w:rPr>
                <w:rFonts w:ascii="宋体" w:eastAsia="宋体" w:hAnsi="宋体" w:cs="宋体" w:hint="eastAsia"/>
                <w:color w:val="auto"/>
                <w:szCs w:val="21"/>
                <w:highlight w:val="none"/>
              </w:rPr>
              <w:t>1.团队成员中</w:t>
            </w:r>
            <w:r>
              <w:rPr>
                <w:rFonts w:ascii="宋体" w:eastAsia="宋体" w:hAnsi="宋体" w:cs="宋体" w:hint="eastAsia"/>
                <w:color w:val="auto"/>
                <w:szCs w:val="21"/>
                <w:highlight w:val="none"/>
                <w:lang w:val="en-US" w:eastAsia="zh-CN"/>
              </w:rPr>
              <w:t>每有1人</w:t>
            </w:r>
            <w:r>
              <w:rPr>
                <w:rFonts w:ascii="宋体" w:eastAsia="宋体" w:hAnsi="宋体" w:cs="宋体" w:hint="eastAsia"/>
                <w:color w:val="auto"/>
                <w:szCs w:val="21"/>
                <w:highlight w:val="none"/>
              </w:rPr>
              <w:t>具有康复医学专业且取得执业医师资格证书</w:t>
            </w:r>
            <w:r>
              <w:rPr>
                <w:rFonts w:ascii="宋体" w:eastAsia="宋体" w:hAnsi="宋体" w:cs="宋体" w:hint="eastAsia"/>
                <w:color w:val="auto"/>
                <w:szCs w:val="21"/>
                <w:highlight w:val="none"/>
                <w:lang w:val="en-US" w:eastAsia="zh-CN"/>
              </w:rPr>
              <w:t>且具有</w:t>
            </w:r>
            <w:r>
              <w:rPr>
                <w:rFonts w:ascii="宋体" w:eastAsia="宋体" w:hAnsi="宋体" w:cs="宋体" w:hint="eastAsia"/>
                <w:color w:val="auto"/>
                <w:szCs w:val="21"/>
                <w:highlight w:val="none"/>
              </w:rPr>
              <w:t>副高级及以上职称</w:t>
            </w:r>
            <w:r>
              <w:rPr>
                <w:rFonts w:ascii="宋体" w:eastAsia="宋体" w:hAnsi="宋体" w:cs="宋体" w:hint="eastAsia"/>
                <w:color w:val="auto"/>
                <w:szCs w:val="21"/>
                <w:highlight w:val="none"/>
                <w:lang w:val="en-US" w:eastAsia="zh-CN"/>
              </w:rPr>
              <w:t>或每有2人</w:t>
            </w:r>
            <w:r>
              <w:rPr>
                <w:rFonts w:ascii="宋体" w:eastAsia="宋体" w:hAnsi="宋体" w:cs="宋体" w:hint="eastAsia"/>
                <w:color w:val="auto"/>
                <w:szCs w:val="21"/>
                <w:highlight w:val="none"/>
              </w:rPr>
              <w:t>具有康复医学专业且取得执业医师资格证书</w:t>
            </w:r>
            <w:r>
              <w:rPr>
                <w:rFonts w:ascii="宋体" w:eastAsia="宋体" w:hAnsi="宋体" w:cs="宋体" w:hint="eastAsia"/>
                <w:color w:val="auto"/>
                <w:szCs w:val="21"/>
                <w:highlight w:val="none"/>
                <w:lang w:val="en-US" w:eastAsia="zh-CN"/>
              </w:rPr>
              <w:t>且具有</w:t>
            </w:r>
            <w:r>
              <w:rPr>
                <w:rFonts w:ascii="宋体" w:eastAsia="宋体" w:hAnsi="宋体" w:cs="宋体" w:hint="eastAsia"/>
                <w:color w:val="auto"/>
                <w:szCs w:val="21"/>
                <w:highlight w:val="none"/>
              </w:rPr>
              <w:t>中级</w:t>
            </w:r>
            <w:r>
              <w:rPr>
                <w:rFonts w:ascii="宋体" w:eastAsia="宋体" w:hAnsi="宋体" w:cs="宋体" w:hint="eastAsia"/>
                <w:color w:val="auto"/>
                <w:szCs w:val="21"/>
                <w:highlight w:val="none"/>
                <w:lang w:val="en-US" w:eastAsia="zh-CN"/>
              </w:rPr>
              <w:t>职称</w:t>
            </w:r>
            <w:r>
              <w:rPr>
                <w:rFonts w:ascii="宋体" w:eastAsia="宋体" w:hAnsi="宋体" w:cs="宋体" w:hint="eastAsia"/>
                <w:color w:val="auto"/>
                <w:szCs w:val="21"/>
                <w:highlight w:val="none"/>
              </w:rPr>
              <w:t>的，得15分</w:t>
            </w:r>
            <w:r>
              <w:rPr>
                <w:rFonts w:ascii="宋体" w:eastAsia="宋体" w:hAnsi="宋体" w:cs="宋体" w:hint="eastAsia"/>
                <w:color w:val="auto"/>
                <w:szCs w:val="21"/>
                <w:highlight w:val="none"/>
                <w:lang w:eastAsia="zh-CN"/>
              </w:rPr>
              <w:t>，</w:t>
            </w:r>
            <w:r>
              <w:rPr>
                <w:rFonts w:ascii="宋体" w:eastAsia="宋体" w:hAnsi="宋体" w:cs="宋体" w:hint="eastAsia"/>
                <w:color w:val="auto"/>
                <w:szCs w:val="21"/>
                <w:highlight w:val="none"/>
                <w:lang w:val="en-US" w:eastAsia="zh-CN"/>
              </w:rPr>
              <w:t>本小项最高得30分；</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宋体" w:hint="default"/>
                <w:color w:val="auto"/>
                <w:szCs w:val="21"/>
                <w:highlight w:val="none"/>
                <w:lang w:val="en-US" w:eastAsia="zh-CN"/>
              </w:rPr>
            </w:pPr>
            <w:r>
              <w:rPr>
                <w:rFonts w:ascii="宋体" w:eastAsia="宋体" w:hAnsi="宋体" w:cs="宋体" w:hint="eastAsia"/>
                <w:color w:val="auto"/>
                <w:szCs w:val="21"/>
                <w:highlight w:val="none"/>
              </w:rPr>
              <w:t>2.团队成员中</w:t>
            </w:r>
            <w:r>
              <w:rPr>
                <w:rFonts w:ascii="宋体" w:eastAsia="宋体" w:hAnsi="宋体" w:cs="宋体" w:hint="eastAsia"/>
                <w:color w:val="auto"/>
                <w:szCs w:val="21"/>
                <w:highlight w:val="none"/>
                <w:lang w:val="en-US" w:eastAsia="zh-CN"/>
              </w:rPr>
              <w:t>每有1人</w:t>
            </w:r>
            <w:r>
              <w:rPr>
                <w:rFonts w:ascii="宋体" w:eastAsia="宋体" w:hAnsi="宋体" w:cs="宋体" w:hint="eastAsia"/>
                <w:color w:val="auto"/>
                <w:szCs w:val="21"/>
                <w:highlight w:val="none"/>
              </w:rPr>
              <w:t>具有护理学相关专业副高级及以上职称的，得15分</w:t>
            </w:r>
            <w:r>
              <w:rPr>
                <w:rFonts w:ascii="宋体" w:eastAsia="宋体" w:hAnsi="宋体" w:cs="宋体" w:hint="eastAsia"/>
                <w:color w:val="auto"/>
                <w:szCs w:val="21"/>
                <w:highlight w:val="none"/>
                <w:lang w:eastAsia="zh-CN"/>
              </w:rPr>
              <w:t>，</w:t>
            </w:r>
            <w:r>
              <w:rPr>
                <w:rFonts w:ascii="宋体" w:eastAsia="宋体" w:hAnsi="宋体" w:cs="宋体" w:hint="eastAsia"/>
                <w:color w:val="auto"/>
                <w:szCs w:val="21"/>
                <w:highlight w:val="none"/>
                <w:lang w:val="en-US" w:eastAsia="zh-CN"/>
              </w:rPr>
              <w:t>本小项最高得30分；</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color w:val="auto"/>
                <w:szCs w:val="21"/>
                <w:highlight w:val="none"/>
              </w:rPr>
            </w:pPr>
            <w:r>
              <w:rPr>
                <w:rFonts w:ascii="宋体" w:eastAsia="宋体" w:hAnsi="宋体" w:cs="宋体" w:hint="eastAsia"/>
                <w:color w:val="auto"/>
                <w:szCs w:val="21"/>
                <w:highlight w:val="none"/>
                <w:lang w:val="en-US" w:eastAsia="zh-CN"/>
              </w:rPr>
              <w:t>3.</w:t>
            </w:r>
            <w:r>
              <w:rPr>
                <w:rFonts w:ascii="宋体" w:eastAsia="宋体" w:hAnsi="宋体" w:cs="宋体" w:hint="eastAsia"/>
                <w:color w:val="auto"/>
                <w:szCs w:val="21"/>
                <w:highlight w:val="none"/>
              </w:rPr>
              <w:t>投标人具备</w:t>
            </w:r>
            <w:r>
              <w:rPr>
                <w:rFonts w:ascii="宋体" w:eastAsia="宋体" w:hAnsi="宋体" w:cs="宋体" w:hint="eastAsia"/>
                <w:color w:val="auto"/>
                <w:szCs w:val="21"/>
                <w:highlight w:val="none"/>
                <w:lang w:val="en-US" w:eastAsia="zh-CN"/>
              </w:rPr>
              <w:t>精神科（心理卫生科）科室，或投标人自有员工（或其主业在投标人机构的精神科（心理卫生科）的医师）至少</w:t>
            </w:r>
            <w:r>
              <w:rPr>
                <w:rFonts w:ascii="宋体" w:eastAsia="宋体" w:hAnsi="宋体" w:cs="宋体" w:hint="eastAsia"/>
                <w:color w:val="auto"/>
                <w:szCs w:val="21"/>
                <w:highlight w:val="none"/>
              </w:rPr>
              <w:t>1名有资质从事</w:t>
            </w:r>
            <w:r>
              <w:rPr>
                <w:rFonts w:ascii="宋体" w:eastAsia="宋体" w:hAnsi="宋体" w:cs="宋体" w:hint="eastAsia"/>
                <w:color w:val="auto"/>
                <w:szCs w:val="21"/>
                <w:highlight w:val="none"/>
                <w:lang w:eastAsia="zh-CN"/>
              </w:rPr>
              <w:t>精神卫生</w:t>
            </w:r>
            <w:r>
              <w:rPr>
                <w:rFonts w:ascii="宋体" w:eastAsia="宋体" w:hAnsi="宋体" w:cs="宋体" w:hint="default"/>
                <w:color w:val="auto"/>
                <w:szCs w:val="21"/>
                <w:highlight w:val="none"/>
                <w:lang w:eastAsia="zh-CN"/>
              </w:rPr>
              <w:t>且具有执业医师资格证书</w:t>
            </w:r>
            <w:r>
              <w:rPr>
                <w:rFonts w:ascii="宋体" w:eastAsia="宋体" w:hAnsi="宋体" w:cs="宋体" w:hint="eastAsia"/>
                <w:color w:val="auto"/>
                <w:szCs w:val="21"/>
                <w:highlight w:val="none"/>
              </w:rPr>
              <w:t>的专业人员得</w:t>
            </w:r>
            <w:r>
              <w:rPr>
                <w:rFonts w:ascii="宋体" w:eastAsia="宋体" w:hAnsi="宋体" w:cs="宋体" w:hint="eastAsia"/>
                <w:color w:val="auto"/>
                <w:szCs w:val="21"/>
                <w:highlight w:val="none"/>
                <w:lang w:val="en-US" w:eastAsia="zh-CN"/>
              </w:rPr>
              <w:t>40</w:t>
            </w:r>
            <w:r>
              <w:rPr>
                <w:rFonts w:ascii="宋体" w:eastAsia="宋体" w:hAnsi="宋体" w:cs="宋体" w:hint="eastAsia"/>
                <w:color w:val="auto"/>
                <w:szCs w:val="21"/>
                <w:highlight w:val="none"/>
              </w:rPr>
              <w:t>分。</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b/>
                <w:bCs/>
                <w:color w:val="auto"/>
                <w:szCs w:val="21"/>
                <w:highlight w:val="none"/>
              </w:rPr>
            </w:pPr>
            <w:r>
              <w:rPr>
                <w:rFonts w:ascii="宋体" w:eastAsia="宋体" w:hAnsi="宋体" w:cs="宋体" w:hint="eastAsia"/>
                <w:b/>
                <w:bCs/>
                <w:color w:val="auto"/>
                <w:szCs w:val="21"/>
                <w:highlight w:val="none"/>
              </w:rPr>
              <w:t>（二）评分依据：</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color w:val="auto"/>
                <w:szCs w:val="21"/>
                <w:highlight w:val="none"/>
              </w:rPr>
            </w:pPr>
            <w:r>
              <w:rPr>
                <w:rFonts w:ascii="宋体" w:eastAsia="宋体" w:hAnsi="宋体" w:cs="宋体" w:hint="eastAsia"/>
                <w:color w:val="auto"/>
                <w:szCs w:val="21"/>
                <w:highlight w:val="none"/>
              </w:rPr>
              <w:t>1.</w:t>
            </w:r>
            <w:r>
              <w:rPr>
                <w:rFonts w:ascii="宋体" w:eastAsia="宋体" w:hAnsi="宋体" w:cs="宋体" w:hint="eastAsia"/>
                <w:color w:val="auto"/>
                <w:szCs w:val="21"/>
                <w:highlight w:val="none"/>
                <w:lang w:val="en-US" w:eastAsia="zh-CN"/>
              </w:rPr>
              <w:t>第1</w:t>
            </w:r>
            <w:r>
              <w:rPr>
                <w:rFonts w:ascii="宋体" w:eastAsia="宋体" w:hAnsi="宋体" w:cs="宋体" w:hint="default"/>
                <w:color w:val="auto"/>
                <w:szCs w:val="21"/>
                <w:highlight w:val="none"/>
                <w:lang w:eastAsia="zh-CN"/>
              </w:rPr>
              <w:t>项</w:t>
            </w:r>
            <w:r>
              <w:rPr>
                <w:rFonts w:ascii="宋体" w:eastAsia="宋体" w:hAnsi="宋体" w:cs="宋体" w:hint="eastAsia"/>
                <w:color w:val="auto"/>
                <w:szCs w:val="21"/>
                <w:highlight w:val="none"/>
              </w:rPr>
              <w:t>要求提供职称证书</w:t>
            </w:r>
            <w:r>
              <w:rPr>
                <w:rFonts w:ascii="宋体" w:eastAsia="宋体" w:hAnsi="宋体" w:cs="宋体" w:hint="default"/>
                <w:color w:val="auto"/>
                <w:szCs w:val="21"/>
                <w:highlight w:val="none"/>
              </w:rPr>
              <w:t>与执业医师资格证书</w:t>
            </w:r>
            <w:r>
              <w:rPr>
                <w:rFonts w:ascii="宋体" w:eastAsia="宋体" w:hAnsi="宋体" w:cs="宋体" w:hint="eastAsia"/>
                <w:color w:val="auto"/>
                <w:szCs w:val="21"/>
                <w:highlight w:val="none"/>
                <w:lang w:eastAsia="zh-CN"/>
              </w:rPr>
              <w:t>，</w:t>
            </w:r>
            <w:r>
              <w:rPr>
                <w:rFonts w:ascii="宋体" w:eastAsia="宋体" w:hAnsi="宋体" w:cs="宋体" w:hint="default"/>
                <w:color w:val="auto"/>
                <w:szCs w:val="21"/>
                <w:highlight w:val="none"/>
                <w:lang w:eastAsia="zh-CN"/>
              </w:rPr>
              <w:t>第2项要求提供职称证书，</w:t>
            </w:r>
            <w:r>
              <w:rPr>
                <w:rFonts w:ascii="宋体" w:eastAsia="宋体" w:hAnsi="宋体" w:cs="宋体" w:hint="eastAsia"/>
                <w:color w:val="auto"/>
                <w:szCs w:val="21"/>
                <w:highlight w:val="none"/>
                <w:lang w:val="en-US" w:eastAsia="zh-CN"/>
              </w:rPr>
              <w:t>第3项</w:t>
            </w:r>
            <w:r>
              <w:rPr>
                <w:rFonts w:ascii="宋体" w:eastAsia="宋体" w:hAnsi="宋体" w:cs="宋体" w:hint="eastAsia"/>
                <w:color w:val="auto"/>
                <w:szCs w:val="21"/>
                <w:highlight w:val="none"/>
              </w:rPr>
              <w:t>要求提供</w:t>
            </w:r>
            <w:r>
              <w:rPr>
                <w:rFonts w:ascii="宋体" w:eastAsia="宋体" w:hAnsi="宋体" w:cs="宋体" w:hint="eastAsia"/>
                <w:color w:val="auto"/>
                <w:szCs w:val="21"/>
                <w:highlight w:val="none"/>
                <w:lang w:eastAsia="zh-CN"/>
              </w:rPr>
              <w:t>卫生健康部门批复成立</w:t>
            </w:r>
            <w:r>
              <w:rPr>
                <w:rFonts w:ascii="宋体" w:eastAsia="宋体" w:hAnsi="宋体" w:cs="宋体" w:hint="eastAsia"/>
                <w:color w:val="auto"/>
                <w:szCs w:val="21"/>
                <w:highlight w:val="none"/>
                <w:lang w:val="en-US" w:eastAsia="zh-CN"/>
              </w:rPr>
              <w:t>精神科（心理卫生科）的文件或者医务人员名单</w:t>
            </w:r>
            <w:r>
              <w:rPr>
                <w:rFonts w:ascii="宋体" w:eastAsia="宋体" w:hAnsi="宋体" w:cs="宋体" w:hint="default"/>
                <w:color w:val="auto"/>
                <w:szCs w:val="21"/>
                <w:highlight w:val="none"/>
                <w:lang w:eastAsia="zh-CN"/>
              </w:rPr>
              <w:t>及其执业医师资格证书</w:t>
            </w:r>
            <w:r>
              <w:rPr>
                <w:rFonts w:ascii="宋体" w:eastAsia="宋体" w:hAnsi="宋体" w:cs="宋体" w:hint="eastAsia"/>
                <w:b/>
                <w:bCs/>
                <w:color w:val="auto"/>
                <w:szCs w:val="21"/>
                <w:highlight w:val="none"/>
                <w:lang w:eastAsia="zh-CN"/>
              </w:rPr>
              <w:t>，</w:t>
            </w:r>
            <w:r>
              <w:rPr>
                <w:rFonts w:ascii="宋体" w:eastAsia="宋体" w:hAnsi="宋体" w:cs="宋体" w:hint="eastAsia"/>
                <w:b/>
                <w:bCs/>
                <w:color w:val="auto"/>
                <w:szCs w:val="21"/>
                <w:highlight w:val="none"/>
                <w:lang w:val="en-US" w:eastAsia="zh-CN"/>
              </w:rPr>
              <w:t>同一人满足以上三项要求不可累计计分</w:t>
            </w:r>
            <w:r>
              <w:rPr>
                <w:rFonts w:ascii="宋体" w:eastAsia="宋体" w:hAnsi="宋体" w:cs="宋体" w:hint="eastAsia"/>
                <w:color w:val="auto"/>
                <w:szCs w:val="21"/>
                <w:highlight w:val="none"/>
                <w:lang w:eastAsia="zh-CN"/>
              </w:rPr>
              <w:t>。</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color w:val="auto"/>
                <w:szCs w:val="21"/>
                <w:highlight w:val="none"/>
                <w:lang w:eastAsia="zh-CN"/>
              </w:rPr>
            </w:pPr>
            <w:r>
              <w:rPr>
                <w:rFonts w:ascii="宋体" w:eastAsia="宋体" w:hAnsi="宋体" w:cs="宋体" w:hint="eastAsia"/>
                <w:color w:val="auto"/>
                <w:szCs w:val="21"/>
                <w:highlight w:val="none"/>
              </w:rPr>
              <w:t>2.</w:t>
            </w:r>
            <w:r>
              <w:rPr>
                <w:rFonts w:ascii="宋体" w:eastAsia="宋体" w:hAnsi="宋体" w:cs="宋体" w:hint="eastAsia"/>
                <w:color w:val="auto"/>
                <w:szCs w:val="21"/>
                <w:highlight w:val="none"/>
                <w:lang w:val="en-US" w:eastAsia="zh-CN"/>
              </w:rPr>
              <w:t>满足第1/2项要求的项目团队成员须为投标人自有员工，提供</w:t>
            </w:r>
            <w:r>
              <w:rPr>
                <w:rFonts w:ascii="宋体" w:eastAsia="宋体" w:hAnsi="宋体" w:cs="宋体" w:hint="eastAsia"/>
                <w:color w:val="auto"/>
                <w:szCs w:val="21"/>
                <w:highlight w:val="none"/>
              </w:rPr>
              <w:t>通过投标人购买的项目主要团队成员近</w:t>
            </w:r>
            <w:r>
              <w:rPr>
                <w:rFonts w:ascii="宋体" w:eastAsia="宋体" w:hAnsi="宋体" w:cs="宋体" w:hint="eastAsia"/>
                <w:color w:val="auto"/>
                <w:szCs w:val="21"/>
                <w:highlight w:val="none"/>
                <w:lang w:val="en-US" w:eastAsia="zh-CN"/>
              </w:rPr>
              <w:t>1</w:t>
            </w:r>
            <w:r>
              <w:rPr>
                <w:rFonts w:ascii="宋体" w:eastAsia="宋体" w:hAnsi="宋体" w:cs="宋体" w:hint="eastAsia"/>
                <w:color w:val="auto"/>
                <w:szCs w:val="21"/>
                <w:highlight w:val="none"/>
              </w:rPr>
              <w:t>个月社保（如因社保部门原因暂时无法取得，则可以往前顺延一个月，但须提供社保部门出具的相关有效证明材料，若投标人成立不足</w:t>
            </w:r>
            <w:r>
              <w:rPr>
                <w:rFonts w:ascii="宋体" w:eastAsia="宋体" w:hAnsi="宋体" w:cs="宋体" w:hint="eastAsia"/>
                <w:color w:val="auto"/>
                <w:szCs w:val="21"/>
                <w:highlight w:val="none"/>
                <w:lang w:val="en-US" w:eastAsia="zh-CN"/>
              </w:rPr>
              <w:t>1</w:t>
            </w:r>
            <w:r>
              <w:rPr>
                <w:rFonts w:ascii="宋体" w:eastAsia="宋体" w:hAnsi="宋体" w:cs="宋体" w:hint="eastAsia"/>
                <w:color w:val="auto"/>
                <w:szCs w:val="21"/>
                <w:highlight w:val="none"/>
              </w:rPr>
              <w:t>个月的，需提供成立情况说明函（格式自拟），无需提供相关人员社保，亦可得分；若为退休返聘人员，需提供说明函（格式自拟），无需提供相关人员社保，亦可得分</w:t>
            </w:r>
            <w:r>
              <w:rPr>
                <w:rFonts w:ascii="宋体" w:eastAsia="宋体" w:hAnsi="宋体" w:cs="宋体" w:hint="eastAsia"/>
                <w:color w:val="auto"/>
                <w:highlight w:val="none"/>
                <w:lang w:eastAsia="zh-CN"/>
              </w:rPr>
              <w:t>）</w:t>
            </w:r>
            <w:r>
              <w:rPr>
                <w:rFonts w:ascii="宋体" w:eastAsia="宋体" w:hAnsi="宋体" w:cs="宋体" w:hint="eastAsia"/>
                <w:color w:val="auto"/>
                <w:szCs w:val="21"/>
                <w:highlight w:val="none"/>
              </w:rPr>
              <w:t>作为得分依据</w:t>
            </w:r>
            <w:r>
              <w:rPr>
                <w:rFonts w:ascii="宋体" w:eastAsia="宋体" w:hAnsi="宋体" w:cs="宋体" w:hint="eastAsia"/>
                <w:color w:val="auto"/>
                <w:szCs w:val="21"/>
                <w:highlight w:val="none"/>
                <w:lang w:eastAsia="zh-CN"/>
              </w:rPr>
              <w:t>）；</w:t>
            </w:r>
            <w:r>
              <w:rPr>
                <w:rFonts w:ascii="宋体" w:eastAsia="宋体" w:hAnsi="宋体" w:cs="宋体" w:hint="eastAsia"/>
                <w:color w:val="auto"/>
                <w:szCs w:val="21"/>
                <w:highlight w:val="none"/>
                <w:lang w:val="en-US" w:eastAsia="zh-CN"/>
              </w:rPr>
              <w:t>满足第3项要求的项目团队成员</w:t>
            </w:r>
            <w:r>
              <w:rPr>
                <w:rFonts w:ascii="宋体" w:eastAsia="宋体" w:hAnsi="宋体" w:cs="宋体" w:hint="eastAsia"/>
                <w:color w:val="auto"/>
                <w:szCs w:val="21"/>
                <w:highlight w:val="none"/>
                <w:lang w:eastAsia="zh-CN"/>
              </w:rPr>
              <w:t>可</w:t>
            </w:r>
            <w:r>
              <w:rPr>
                <w:rFonts w:ascii="宋体" w:eastAsia="宋体" w:hAnsi="宋体" w:cs="宋体" w:hint="eastAsia"/>
                <w:color w:val="auto"/>
                <w:szCs w:val="21"/>
                <w:highlight w:val="none"/>
                <w:lang w:val="en-US" w:eastAsia="zh-CN"/>
              </w:rPr>
              <w:t>为投标人自有员工或</w:t>
            </w:r>
            <w:r>
              <w:rPr>
                <w:rFonts w:ascii="宋体" w:eastAsia="宋体" w:hAnsi="宋体" w:cs="宋体" w:hint="eastAsia"/>
                <w:color w:val="auto"/>
                <w:szCs w:val="21"/>
                <w:highlight w:val="none"/>
                <w:lang w:eastAsia="zh-CN"/>
              </w:rPr>
              <w:t>其主业在投标人机构的精神科（心理卫生科）的医师）。</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color w:val="auto"/>
                <w:szCs w:val="21"/>
                <w:highlight w:val="none"/>
              </w:rPr>
            </w:pPr>
            <w:r>
              <w:rPr>
                <w:rFonts w:ascii="宋体" w:eastAsia="宋体" w:hAnsi="宋体" w:cs="宋体" w:hint="eastAsia"/>
                <w:color w:val="auto"/>
                <w:szCs w:val="21"/>
                <w:highlight w:val="none"/>
                <w:lang w:val="en-US" w:eastAsia="zh-CN"/>
              </w:rPr>
              <w:t>3.</w:t>
            </w:r>
            <w:r>
              <w:rPr>
                <w:rFonts w:ascii="宋体" w:eastAsia="宋体" w:hAnsi="宋体" w:cs="宋体" w:hint="eastAsia"/>
                <w:color w:val="auto"/>
                <w:szCs w:val="21"/>
                <w:highlight w:val="none"/>
              </w:rPr>
              <w:t>以上资料均要求提供扫描件（或官方网站截图），原件备查。评分中出现无证明资料或专家无法凭所提供资料判断是否得分的情况，一律作不得分处理。</w:t>
            </w:r>
          </w:p>
          <w:p>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ascii="Calibri" w:eastAsia="宋体" w:hAnsi="Calibri" w:cs="Times New Roman" w:hint="default"/>
                <w:color w:val="auto"/>
                <w:highlight w:val="none"/>
                <w:lang w:val="en-US" w:eastAsia="zh-CN"/>
              </w:rPr>
            </w:pPr>
            <w:r>
              <w:rPr>
                <w:rFonts w:ascii="宋体" w:eastAsia="宋体" w:hAnsi="宋体" w:cs="宋体" w:hint="eastAsia"/>
                <w:color w:val="auto"/>
                <w:szCs w:val="21"/>
                <w:highlight w:val="none"/>
                <w:lang w:val="en-US" w:eastAsia="zh-CN"/>
              </w:rPr>
              <w:t>4</w:t>
            </w:r>
            <w:r>
              <w:rPr>
                <w:rFonts w:ascii="宋体" w:eastAsia="宋体" w:hAnsi="宋体" w:cs="宋体" w:hint="eastAsia"/>
                <w:color w:val="auto"/>
                <w:szCs w:val="21"/>
                <w:highlight w:val="none"/>
              </w:rPr>
              <w:t>.社保证明资料应当至少包含医疗保险，证明资料可为社保收缴部门盖章证明资料、社保窗口打印资料或社保官网截图。</w:t>
            </w:r>
          </w:p>
        </w:tc>
      </w:tr>
      <w:tr>
        <w:tblPrEx>
          <w:tblW w:w="9256" w:type="dxa"/>
          <w:tblInd w:w="0" w:type="dxa"/>
          <w:tblCellMar>
            <w:top w:w="0" w:type="dxa"/>
            <w:left w:w="108" w:type="dxa"/>
            <w:bottom w:w="0" w:type="dxa"/>
            <w:right w:w="108" w:type="dxa"/>
          </w:tblCellMar>
        </w:tblPrEx>
        <w:trPr>
          <w:trHeight w:val="78"/>
        </w:trPr>
        <w:tc>
          <w:tcPr>
            <w:tcW w:w="522" w:type="dxa"/>
            <w:vMerge/>
            <w:tcBorders>
              <w:left w:val="single" w:sz="4" w:space="0" w:color="auto"/>
              <w:right w:val="single" w:sz="4" w:space="0" w:color="auto"/>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eastAsia"/>
                <w:color w:val="auto"/>
                <w:szCs w:val="21"/>
                <w:highlight w:val="none"/>
                <w:lang w:eastAsia="zh-CN"/>
              </w:rPr>
            </w:pPr>
            <w:r>
              <w:rPr>
                <w:rFonts w:ascii="宋体" w:hAnsi="宋体" w:cs="Times New Roman" w:hint="eastAsia"/>
                <w:color w:val="auto"/>
                <w:szCs w:val="21"/>
                <w:highlight w:val="none"/>
                <w:lang w:val="en-US" w:eastAsia="zh-CN"/>
              </w:rPr>
              <w:t>4</w:t>
            </w: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hint="eastAsia"/>
                <w:color w:val="auto"/>
                <w:szCs w:val="21"/>
                <w:highlight w:val="none"/>
              </w:rPr>
              <w:t>项目拟使用的车辆、场地、工具、机器等情况</w:t>
            </w: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default"/>
                <w:color w:val="auto"/>
                <w:szCs w:val="21"/>
                <w:highlight w:val="none"/>
                <w:lang w:val="en-US"/>
              </w:rPr>
            </w:pPr>
            <w:r>
              <w:rPr>
                <w:rFonts w:ascii="宋体" w:eastAsia="宋体" w:hAnsi="宋体" w:cs="Times New Roman" w:hint="eastAsia"/>
                <w:color w:val="auto"/>
                <w:szCs w:val="21"/>
                <w:highlight w:val="none"/>
                <w:lang w:val="en-US" w:eastAsia="zh-CN"/>
              </w:rPr>
              <w:t>9</w:t>
            </w:r>
          </w:p>
        </w:tc>
        <w:tc>
          <w:tcPr>
            <w:tcW w:w="5746" w:type="dxa"/>
            <w:tcBorders>
              <w:top w:val="single" w:sz="4" w:space="0" w:color="auto"/>
              <w:left w:val="single" w:sz="4" w:space="0" w:color="auto"/>
              <w:bottom w:val="single" w:sz="4" w:space="0" w:color="auto"/>
              <w:right w:val="single" w:sz="4" w:space="0" w:color="auto"/>
            </w:tcBorders>
            <w:noWrap w:val="0"/>
            <w:vAlign w:val="center"/>
          </w:tcPr>
          <w:p>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b/>
                <w:bCs/>
                <w:color w:val="auto"/>
                <w:szCs w:val="21"/>
                <w:highlight w:val="none"/>
              </w:rPr>
            </w:pPr>
            <w:r>
              <w:rPr>
                <w:rFonts w:ascii="宋体" w:eastAsia="宋体" w:hAnsi="宋体" w:cs="宋体" w:hint="eastAsia"/>
                <w:b/>
                <w:bCs/>
                <w:color w:val="auto"/>
                <w:szCs w:val="21"/>
                <w:highlight w:val="none"/>
              </w:rPr>
              <w:t>（一）评分内容：</w:t>
            </w:r>
          </w:p>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439" w:firstLineChars="209"/>
              <w:jc w:val="left"/>
              <w:textAlignment w:val="auto"/>
              <w:outlineLvl w:val="9"/>
              <w:rPr>
                <w:rFonts w:asciiTheme="minorEastAsia" w:eastAsiaTheme="minorEastAsia" w:hAnsiTheme="minorEastAsia" w:cstheme="minorEastAsia" w:hint="eastAsia"/>
                <w:color w:val="auto"/>
                <w:sz w:val="21"/>
                <w:szCs w:val="21"/>
                <w:highlight w:val="none"/>
              </w:rPr>
            </w:pPr>
            <w:r>
              <w:rPr>
                <w:rFonts w:asciiTheme="minorEastAsia" w:eastAsiaTheme="minorEastAsia" w:hAnsiTheme="minorEastAsia" w:cstheme="minorEastAsia" w:hint="eastAsia"/>
                <w:color w:val="auto"/>
                <w:sz w:val="21"/>
                <w:szCs w:val="21"/>
                <w:highlight w:val="none"/>
              </w:rPr>
              <w:t>投标</w:t>
            </w:r>
            <w:r>
              <w:rPr>
                <w:rFonts w:asciiTheme="minorEastAsia" w:eastAsiaTheme="minorEastAsia" w:hAnsiTheme="minorEastAsia" w:cstheme="minorEastAsia" w:hint="eastAsia"/>
                <w:color w:val="auto"/>
                <w:sz w:val="21"/>
                <w:szCs w:val="21"/>
                <w:highlight w:val="none"/>
                <w:lang w:eastAsia="zh-CN"/>
              </w:rPr>
              <w:t>人</w:t>
            </w:r>
            <w:r>
              <w:rPr>
                <w:rFonts w:asciiTheme="minorEastAsia" w:eastAsiaTheme="minorEastAsia" w:hAnsiTheme="minorEastAsia" w:cstheme="minorEastAsia" w:hint="eastAsia"/>
                <w:color w:val="auto"/>
                <w:sz w:val="21"/>
                <w:szCs w:val="21"/>
                <w:highlight w:val="none"/>
              </w:rPr>
              <w:t>设有</w:t>
            </w:r>
            <w:r>
              <w:rPr>
                <w:rFonts w:asciiTheme="minorEastAsia" w:eastAsiaTheme="minorEastAsia" w:hAnsiTheme="minorEastAsia" w:cstheme="minorEastAsia" w:hint="eastAsia"/>
                <w:color w:val="auto"/>
                <w:sz w:val="21"/>
                <w:szCs w:val="21"/>
                <w:highlight w:val="none"/>
                <w:lang w:val="en-US" w:eastAsia="zh-CN"/>
              </w:rPr>
              <w:t>或承诺中标后设立</w:t>
            </w:r>
            <w:r>
              <w:rPr>
                <w:rFonts w:asciiTheme="minorEastAsia" w:eastAsiaTheme="minorEastAsia" w:hAnsiTheme="minorEastAsia" w:cstheme="minorEastAsia" w:hint="eastAsia"/>
                <w:color w:val="auto"/>
                <w:sz w:val="21"/>
                <w:szCs w:val="21"/>
                <w:highlight w:val="none"/>
              </w:rPr>
              <w:t>独立运营的托养机构</w:t>
            </w:r>
            <w:r>
              <w:rPr>
                <w:rFonts w:asciiTheme="minorEastAsia" w:eastAsiaTheme="minorEastAsia" w:hAnsiTheme="minorEastAsia" w:cstheme="minorEastAsia" w:hint="eastAsia"/>
                <w:color w:val="auto"/>
                <w:sz w:val="21"/>
                <w:szCs w:val="21"/>
                <w:highlight w:val="none"/>
                <w:lang w:val="en-US" w:eastAsia="zh-CN"/>
              </w:rPr>
              <w:t>且托养服务点设置在投标人营业场所内（若投标人为医疗机构，服务场地应设置于医院院区内；若投标人为养老机构，服务场地应设置于养老机构内）</w:t>
            </w:r>
            <w:r>
              <w:rPr>
                <w:rFonts w:asciiTheme="minorEastAsia" w:eastAsiaTheme="minorEastAsia" w:hAnsiTheme="minorEastAsia" w:cstheme="minorEastAsia" w:hint="eastAsia"/>
                <w:color w:val="auto"/>
                <w:sz w:val="21"/>
                <w:szCs w:val="21"/>
                <w:highlight w:val="none"/>
              </w:rPr>
              <w:t>，</w:t>
            </w:r>
            <w:r>
              <w:rPr>
                <w:rFonts w:asciiTheme="minorEastAsia" w:eastAsiaTheme="minorEastAsia" w:hAnsiTheme="minorEastAsia" w:cstheme="minorEastAsia" w:hint="eastAsia"/>
                <w:color w:val="auto"/>
                <w:sz w:val="21"/>
                <w:szCs w:val="21"/>
                <w:highlight w:val="none"/>
                <w:lang w:val="en-US" w:eastAsia="zh-CN"/>
              </w:rPr>
              <w:t>能够提供场地产权证书或租赁合同，同时提供</w:t>
            </w:r>
            <w:r>
              <w:rPr>
                <w:rFonts w:asciiTheme="minorEastAsia" w:eastAsiaTheme="minorEastAsia" w:hAnsiTheme="minorEastAsia" w:cstheme="minorEastAsia" w:hint="eastAsia"/>
                <w:color w:val="auto"/>
                <w:sz w:val="21"/>
                <w:szCs w:val="21"/>
                <w:highlight w:val="none"/>
              </w:rPr>
              <w:t>基本生活照料、护理、心理康复、体能训练、生活自理能力训练、社会适应能力训练、娱乐休闲训练等综合服务</w:t>
            </w:r>
            <w:r>
              <w:rPr>
                <w:rFonts w:asciiTheme="minorEastAsia" w:eastAsiaTheme="minorEastAsia" w:hAnsiTheme="minorEastAsia" w:cstheme="minorEastAsia" w:hint="eastAsia"/>
                <w:color w:val="auto"/>
                <w:sz w:val="21"/>
                <w:szCs w:val="21"/>
                <w:highlight w:val="none"/>
                <w:lang w:eastAsia="zh-CN"/>
              </w:rPr>
              <w:t>，</w:t>
            </w:r>
            <w:r>
              <w:rPr>
                <w:rFonts w:asciiTheme="minorEastAsia" w:eastAsiaTheme="minorEastAsia" w:hAnsiTheme="minorEastAsia" w:cstheme="minorEastAsia" w:hint="eastAsia"/>
                <w:color w:val="auto"/>
                <w:sz w:val="21"/>
                <w:szCs w:val="21"/>
                <w:highlight w:val="none"/>
              </w:rPr>
              <w:t>有负责运输服务对象的救护车</w:t>
            </w:r>
            <w:r>
              <w:rPr>
                <w:rFonts w:asciiTheme="minorEastAsia" w:eastAsiaTheme="minorEastAsia" w:hAnsiTheme="minorEastAsia" w:cstheme="minorEastAsia" w:hint="eastAsia"/>
                <w:color w:val="auto"/>
                <w:sz w:val="21"/>
                <w:szCs w:val="21"/>
                <w:highlight w:val="none"/>
                <w:lang w:eastAsia="zh-CN"/>
              </w:rPr>
              <w:t>，</w:t>
            </w:r>
            <w:r>
              <w:rPr>
                <w:rFonts w:asciiTheme="minorEastAsia" w:eastAsiaTheme="minorEastAsia" w:hAnsiTheme="minorEastAsia" w:cstheme="minorEastAsia" w:hint="eastAsia"/>
                <w:color w:val="auto"/>
                <w:sz w:val="21"/>
                <w:szCs w:val="21"/>
                <w:highlight w:val="none"/>
                <w:lang w:val="en-US" w:eastAsia="zh-CN"/>
              </w:rPr>
              <w:t>并有相关的设备：</w:t>
            </w:r>
            <w:r>
              <w:rPr>
                <w:rFonts w:asciiTheme="minorEastAsia" w:eastAsiaTheme="minorEastAsia" w:hAnsiTheme="minorEastAsia" w:cstheme="minorEastAsia" w:hint="eastAsia"/>
                <w:color w:val="auto"/>
                <w:sz w:val="21"/>
                <w:szCs w:val="21"/>
                <w:highlight w:val="none"/>
              </w:rPr>
              <w:t>显微镜、自动生化分析仪、血球计数器、DR、彩超、灌肠器、供氧装置、紫外线灯、洗衣机、电冰箱、高压灭菌器具</w:t>
            </w:r>
            <w:r>
              <w:rPr>
                <w:rFonts w:asciiTheme="minorEastAsia" w:eastAsiaTheme="minorEastAsia" w:hAnsiTheme="minorEastAsia" w:cstheme="minorEastAsia" w:hint="eastAsia"/>
                <w:color w:val="auto"/>
                <w:sz w:val="21"/>
                <w:szCs w:val="21"/>
                <w:highlight w:val="none"/>
                <w:lang w:eastAsia="zh-CN"/>
              </w:rPr>
              <w:t>、</w:t>
            </w:r>
            <w:r>
              <w:rPr>
                <w:rFonts w:asciiTheme="minorEastAsia" w:eastAsiaTheme="minorEastAsia" w:hAnsiTheme="minorEastAsia" w:cstheme="minorEastAsia" w:hint="eastAsia"/>
                <w:color w:val="auto"/>
                <w:sz w:val="21"/>
                <w:szCs w:val="21"/>
                <w:highlight w:val="none"/>
              </w:rPr>
              <w:t>功能测评用关节角度测量仪、心电图机、脑电图机、血压计</w:t>
            </w:r>
            <w:r>
              <w:rPr>
                <w:rFonts w:asciiTheme="minorEastAsia" w:eastAsiaTheme="minorEastAsia" w:hAnsiTheme="minorEastAsia" w:cstheme="minorEastAsia" w:hint="eastAsia"/>
                <w:color w:val="auto"/>
                <w:sz w:val="21"/>
                <w:szCs w:val="21"/>
                <w:highlight w:val="none"/>
                <w:lang w:eastAsia="zh-CN"/>
              </w:rPr>
              <w:t>，</w:t>
            </w:r>
            <w:r>
              <w:rPr>
                <w:rFonts w:asciiTheme="minorEastAsia" w:eastAsiaTheme="minorEastAsia" w:hAnsiTheme="minorEastAsia" w:cstheme="minorEastAsia" w:hint="eastAsia"/>
                <w:color w:val="auto"/>
                <w:sz w:val="21"/>
                <w:szCs w:val="21"/>
                <w:highlight w:val="none"/>
              </w:rPr>
              <w:t>在此基础上：</w:t>
            </w:r>
          </w:p>
          <w:p>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color w:val="auto"/>
                <w:szCs w:val="21"/>
                <w:highlight w:val="none"/>
              </w:rPr>
            </w:pPr>
            <w:r>
              <w:rPr>
                <w:rFonts w:ascii="宋体" w:eastAsia="宋体" w:hAnsi="宋体" w:cs="宋体" w:hint="eastAsia"/>
                <w:color w:val="auto"/>
                <w:szCs w:val="21"/>
                <w:highlight w:val="none"/>
              </w:rPr>
              <w:t>1.同时设有包括但不限于运动治疗、心理咨询、社会适应能力训练</w:t>
            </w:r>
            <w:r>
              <w:rPr>
                <w:rFonts w:ascii="宋体" w:eastAsia="宋体" w:hAnsi="宋体" w:cs="宋体" w:hint="eastAsia"/>
                <w:color w:val="auto"/>
                <w:szCs w:val="21"/>
                <w:highlight w:val="none"/>
                <w:lang w:eastAsia="zh-CN"/>
              </w:rPr>
              <w:t>、户外活动场所和无障碍设施设备</w:t>
            </w:r>
            <w:r>
              <w:rPr>
                <w:rFonts w:ascii="宋体" w:eastAsia="宋体" w:hAnsi="宋体" w:cs="宋体" w:hint="eastAsia"/>
                <w:color w:val="auto"/>
                <w:szCs w:val="21"/>
                <w:highlight w:val="none"/>
              </w:rPr>
              <w:t>的得100分；</w:t>
            </w:r>
          </w:p>
          <w:p>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color w:val="auto"/>
                <w:szCs w:val="21"/>
                <w:highlight w:val="none"/>
              </w:rPr>
            </w:pPr>
            <w:r>
              <w:rPr>
                <w:rFonts w:ascii="宋体" w:eastAsia="宋体" w:hAnsi="宋体" w:cs="宋体" w:hint="eastAsia"/>
                <w:color w:val="auto"/>
                <w:szCs w:val="21"/>
                <w:highlight w:val="none"/>
              </w:rPr>
              <w:t>2.同时设有包括运动治疗、心理咨询、社会适应能力训练</w:t>
            </w:r>
            <w:r>
              <w:rPr>
                <w:rFonts w:ascii="宋体" w:eastAsia="宋体" w:hAnsi="宋体" w:cs="宋体" w:hint="eastAsia"/>
                <w:color w:val="auto"/>
                <w:szCs w:val="21"/>
                <w:highlight w:val="none"/>
                <w:lang w:eastAsia="zh-CN"/>
              </w:rPr>
              <w:t>、户外活动场所和无障碍设施设备</w:t>
            </w:r>
            <w:r>
              <w:rPr>
                <w:rFonts w:ascii="宋体" w:eastAsia="宋体" w:hAnsi="宋体" w:cs="宋体" w:hint="eastAsia"/>
                <w:color w:val="auto"/>
                <w:szCs w:val="21"/>
                <w:highlight w:val="none"/>
              </w:rPr>
              <w:t>中的</w:t>
            </w:r>
            <w:r>
              <w:rPr>
                <w:rFonts w:ascii="宋体" w:eastAsia="宋体" w:hAnsi="宋体" w:cs="宋体" w:hint="eastAsia"/>
                <w:color w:val="auto"/>
                <w:szCs w:val="21"/>
                <w:highlight w:val="none"/>
                <w:lang w:val="en-US" w:eastAsia="zh-CN"/>
              </w:rPr>
              <w:t>4</w:t>
            </w:r>
            <w:r>
              <w:rPr>
                <w:rFonts w:ascii="宋体" w:eastAsia="宋体" w:hAnsi="宋体" w:cs="宋体" w:hint="eastAsia"/>
                <w:color w:val="auto"/>
                <w:szCs w:val="21"/>
                <w:highlight w:val="none"/>
              </w:rPr>
              <w:t>个得80分；</w:t>
            </w:r>
          </w:p>
          <w:p>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color w:val="auto"/>
                <w:sz w:val="21"/>
                <w:szCs w:val="21"/>
                <w:highlight w:val="none"/>
              </w:rPr>
            </w:pPr>
            <w:r>
              <w:rPr>
                <w:rFonts w:ascii="宋体" w:eastAsia="宋体" w:hAnsi="宋体" w:cs="宋体" w:hint="eastAsia"/>
                <w:color w:val="auto"/>
                <w:sz w:val="21"/>
                <w:szCs w:val="21"/>
                <w:highlight w:val="none"/>
              </w:rPr>
              <w:t>3.同时设有包括运动治疗、心理咨询、社会适应能力训练</w:t>
            </w:r>
            <w:r>
              <w:rPr>
                <w:rFonts w:ascii="宋体" w:eastAsia="宋体" w:hAnsi="宋体" w:cs="宋体" w:hint="eastAsia"/>
                <w:color w:val="auto"/>
                <w:sz w:val="21"/>
                <w:szCs w:val="21"/>
                <w:highlight w:val="none"/>
                <w:lang w:eastAsia="zh-CN"/>
              </w:rPr>
              <w:t>、户外活动场所和无障碍设施设备</w:t>
            </w:r>
            <w:r>
              <w:rPr>
                <w:rFonts w:ascii="宋体" w:eastAsia="宋体" w:hAnsi="宋体" w:cs="宋体" w:hint="eastAsia"/>
                <w:color w:val="auto"/>
                <w:sz w:val="21"/>
                <w:szCs w:val="21"/>
                <w:highlight w:val="none"/>
              </w:rPr>
              <w:t>中的</w:t>
            </w:r>
            <w:r>
              <w:rPr>
                <w:rFonts w:ascii="宋体" w:eastAsia="宋体" w:hAnsi="宋体" w:cs="宋体" w:hint="eastAsia"/>
                <w:color w:val="auto"/>
                <w:sz w:val="21"/>
                <w:szCs w:val="21"/>
                <w:highlight w:val="none"/>
                <w:lang w:val="en-US" w:eastAsia="zh-CN"/>
              </w:rPr>
              <w:t>3</w:t>
            </w:r>
            <w:r>
              <w:rPr>
                <w:rFonts w:ascii="宋体" w:eastAsia="宋体" w:hAnsi="宋体" w:cs="宋体" w:hint="eastAsia"/>
                <w:color w:val="auto"/>
                <w:sz w:val="21"/>
                <w:szCs w:val="21"/>
                <w:highlight w:val="none"/>
              </w:rPr>
              <w:t>个得60分；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0" w:leftChars="0" w:firstLineChars="0"/>
              <w:jc w:val="left"/>
              <w:textAlignment w:val="auto"/>
              <w:outlineLvl w:val="9"/>
              <w:rPr>
                <w:rFonts w:ascii="Times New Roman" w:hAnsi="Times New Roman" w:cs="Times New Roman" w:hint="default"/>
                <w:color w:val="auto"/>
                <w:sz w:val="21"/>
                <w:szCs w:val="21"/>
                <w:highlight w:val="none"/>
              </w:rPr>
            </w:pPr>
            <w:r>
              <w:rPr>
                <w:rFonts w:ascii="宋体" w:eastAsia="宋体" w:hAnsi="宋体" w:cs="宋体" w:hint="eastAsia"/>
                <w:color w:val="auto"/>
                <w:sz w:val="21"/>
                <w:szCs w:val="21"/>
                <w:highlight w:val="none"/>
              </w:rPr>
              <w:t>4.其他情况不得分。</w:t>
            </w:r>
          </w:p>
          <w:p>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ascii="宋体" w:eastAsia="宋体" w:hAnsi="宋体" w:cs="宋体" w:hint="eastAsia"/>
                <w:b/>
                <w:bCs/>
                <w:color w:val="auto"/>
                <w:szCs w:val="21"/>
                <w:highlight w:val="none"/>
                <w:lang w:eastAsia="zh-CN"/>
              </w:rPr>
            </w:pPr>
            <w:r>
              <w:rPr>
                <w:rFonts w:ascii="宋体" w:eastAsia="宋体" w:hAnsi="宋体" w:cs="宋体" w:hint="eastAsia"/>
                <w:b/>
                <w:bCs/>
                <w:color w:val="auto"/>
                <w:szCs w:val="21"/>
                <w:highlight w:val="none"/>
              </w:rPr>
              <w:t>（二）评分依据</w:t>
            </w:r>
            <w:r>
              <w:rPr>
                <w:rFonts w:ascii="宋体" w:eastAsia="宋体" w:hAnsi="宋体" w:cs="宋体" w:hint="eastAsia"/>
                <w:b/>
                <w:bCs/>
                <w:color w:val="auto"/>
                <w:szCs w:val="21"/>
                <w:highlight w:val="none"/>
                <w:lang w:eastAsia="zh-CN"/>
              </w:rPr>
              <w:t>：</w:t>
            </w:r>
          </w:p>
          <w:p>
            <w:pPr>
              <w:keepNext w:val="0"/>
              <w:keepLines w:val="0"/>
              <w:widowControl/>
              <w:suppressLineNumbers w:val="0"/>
              <w:adjustRightInd/>
              <w:snapToGrid/>
              <w:spacing w:before="0" w:beforeAutospacing="0" w:after="0" w:afterAutospacing="0"/>
              <w:ind w:left="0" w:right="0"/>
              <w:jc w:val="left"/>
              <w:rPr>
                <w:rFonts w:ascii="宋体" w:eastAsia="宋体" w:hAnsi="宋体" w:cs="Times New Roman"/>
                <w:color w:val="auto"/>
                <w:szCs w:val="21"/>
                <w:highlight w:val="none"/>
              </w:rPr>
            </w:pPr>
            <w:r>
              <w:rPr>
                <w:rFonts w:ascii="宋体" w:eastAsia="宋体" w:hAnsi="宋体" w:cs="宋体" w:hint="eastAsia"/>
                <w:color w:val="auto"/>
                <w:szCs w:val="21"/>
                <w:highlight w:val="none"/>
              </w:rPr>
              <w:t>要求投标人提供承诺（格式自定）作为得分依据。未提供承诺或承诺内容不满足要求均不得分。</w:t>
            </w:r>
            <w:r>
              <w:rPr>
                <w:rFonts w:ascii="宋体" w:hAnsi="宋体" w:cs="Times New Roman" w:hint="eastAsia"/>
                <w:color w:val="auto"/>
                <w:szCs w:val="21"/>
                <w:highlight w:val="none"/>
                <w:lang w:val="en-US" w:eastAsia="zh-CN"/>
              </w:rPr>
              <w:t>如投标人为中标提供虚假承诺，采购方将报监管单位并经保留处理的权利。</w:t>
            </w:r>
          </w:p>
        </w:tc>
      </w:tr>
      <w:tr>
        <w:tblPrEx>
          <w:tblW w:w="9256" w:type="dxa"/>
          <w:tblInd w:w="0" w:type="dxa"/>
          <w:tblCellMar>
            <w:top w:w="0" w:type="dxa"/>
            <w:left w:w="108" w:type="dxa"/>
            <w:bottom w:w="0" w:type="dxa"/>
            <w:right w:w="108" w:type="dxa"/>
          </w:tblCellMar>
        </w:tblPrEx>
        <w:trPr>
          <w:trHeight w:val="78"/>
        </w:trPr>
        <w:tc>
          <w:tcPr>
            <w:tcW w:w="522" w:type="dxa"/>
            <w:tcBorders>
              <w:left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rPr>
                <w:rFonts w:ascii="Calibri" w:eastAsia="宋体" w:hAnsi="Calibri" w:cs="Times New Roman"/>
                <w:color w:val="auto"/>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rPr>
                <w:rFonts w:ascii="Calibri" w:eastAsia="宋体" w:hAnsi="Calibri" w:cs="Times New Roman"/>
                <w:color w:val="auto"/>
              </w:rPr>
            </w:pP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rPr>
                <w:rFonts w:ascii="Calibri" w:eastAsia="宋体" w:hAnsi="Calibri" w:cs="Times New Roman"/>
                <w:color w:val="auto"/>
              </w:rPr>
            </w:pP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rPr>
                <w:rFonts w:ascii="Calibri" w:eastAsia="宋体" w:hAnsi="Calibri" w:cs="Times New Roman"/>
                <w:color w:val="auto"/>
              </w:rPr>
            </w:pPr>
          </w:p>
        </w:tc>
        <w:tc>
          <w:tcPr>
            <w:tcW w:w="5746" w:type="dxa"/>
            <w:tcBorders>
              <w:top w:val="single" w:sz="4" w:space="0" w:color="auto"/>
              <w:left w:val="single" w:sz="4" w:space="0" w:color="auto"/>
              <w:bottom w:val="single" w:sz="4" w:space="0" w:color="auto"/>
              <w:right w:val="single" w:sz="4" w:space="0" w:color="auto"/>
            </w:tcBorders>
            <w:noWrap w:val="0"/>
            <w:vAlign w:val="top"/>
          </w:tcPr>
          <w:p>
            <w:pPr>
              <w:keepNext w:val="0"/>
              <w:keepLines w:val="0"/>
              <w:suppressLineNumbers w:val="0"/>
              <w:spacing w:before="0" w:beforeAutospacing="0" w:after="0" w:afterAutospacing="0"/>
              <w:ind w:left="0" w:right="0"/>
              <w:rPr>
                <w:rFonts w:ascii="Calibri" w:eastAsia="宋体" w:hAnsi="Calibri" w:cs="Times New Roman"/>
                <w:color w:val="auto"/>
              </w:rPr>
            </w:pPr>
          </w:p>
        </w:tc>
      </w:tr>
      <w:tr>
        <w:tblPrEx>
          <w:tblW w:w="9256" w:type="dxa"/>
          <w:tblInd w:w="0" w:type="dxa"/>
          <w:tblCellMar>
            <w:top w:w="0" w:type="dxa"/>
            <w:left w:w="108" w:type="dxa"/>
            <w:bottom w:w="0" w:type="dxa"/>
            <w:right w:w="108" w:type="dxa"/>
          </w:tblCellMar>
        </w:tblPrEx>
        <w:trPr>
          <w:trHeight w:val="78"/>
        </w:trPr>
        <w:tc>
          <w:tcPr>
            <w:tcW w:w="522"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eastAsia"/>
                <w:color w:val="auto"/>
                <w:szCs w:val="21"/>
                <w:lang w:eastAsia="zh-CN"/>
              </w:rPr>
            </w:pPr>
            <w:r>
              <w:rPr>
                <w:rFonts w:ascii="宋体" w:hAnsi="宋体" w:cs="Times New Roman" w:hint="eastAsia"/>
                <w:color w:val="auto"/>
                <w:szCs w:val="21"/>
                <w:lang w:val="en-US" w:eastAsia="zh-CN"/>
              </w:rPr>
              <w:t>四</w:t>
            </w:r>
          </w:p>
        </w:tc>
        <w:tc>
          <w:tcPr>
            <w:tcW w:w="2988" w:type="dxa"/>
            <w:gridSpan w:val="3"/>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诚信情况</w:t>
            </w:r>
          </w:p>
        </w:tc>
        <w:tc>
          <w:tcPr>
            <w:tcW w:w="5746"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r>
              <w:rPr>
                <w:rFonts w:ascii="宋体" w:eastAsia="宋体" w:hAnsi="宋体" w:cs="Times New Roman" w:hint="eastAsia"/>
                <w:color w:val="auto"/>
                <w:szCs w:val="21"/>
              </w:rPr>
              <w:t>5</w:t>
            </w:r>
          </w:p>
        </w:tc>
      </w:tr>
      <w:tr>
        <w:tblPrEx>
          <w:tblW w:w="9256" w:type="dxa"/>
          <w:tblInd w:w="0" w:type="dxa"/>
          <w:tblCellMar>
            <w:top w:w="0" w:type="dxa"/>
            <w:left w:w="108" w:type="dxa"/>
            <w:bottom w:w="0" w:type="dxa"/>
            <w:right w:w="108" w:type="dxa"/>
          </w:tblCellMar>
        </w:tblPrEx>
        <w:trPr>
          <w:trHeight w:val="78"/>
        </w:trPr>
        <w:tc>
          <w:tcPr>
            <w:tcW w:w="522" w:type="dxa"/>
            <w:vMerge w:val="restart"/>
            <w:tcBorders>
              <w:top w:val="single" w:sz="4" w:space="0" w:color="auto"/>
              <w:left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color w:val="auto"/>
                <w:szCs w:val="21"/>
              </w:rPr>
            </w:pPr>
            <w:r>
              <w:rPr>
                <w:rFonts w:ascii="宋体" w:eastAsia="宋体" w:hAnsi="宋体" w:cs="Times New Roman"/>
                <w:color w:val="auto"/>
                <w:szCs w:val="21"/>
              </w:rPr>
              <w:t>序号</w:t>
            </w: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color w:val="auto"/>
                <w:szCs w:val="21"/>
              </w:rPr>
            </w:pPr>
            <w:r>
              <w:rPr>
                <w:rFonts w:ascii="宋体" w:eastAsia="宋体" w:hAnsi="宋体" w:cs="Times New Roman"/>
                <w:color w:val="auto"/>
                <w:szCs w:val="21"/>
              </w:rPr>
              <w:t>评分因素</w:t>
            </w: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color w:val="auto"/>
                <w:szCs w:val="21"/>
              </w:rPr>
            </w:pPr>
            <w:r>
              <w:rPr>
                <w:rFonts w:ascii="宋体" w:eastAsia="宋体" w:hAnsi="宋体" w:cs="Times New Roman"/>
                <w:color w:val="auto"/>
                <w:szCs w:val="21"/>
              </w:rPr>
              <w:t>权重</w:t>
            </w:r>
          </w:p>
        </w:tc>
        <w:tc>
          <w:tcPr>
            <w:tcW w:w="5746"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color w:val="auto"/>
                <w:szCs w:val="21"/>
              </w:rPr>
            </w:pPr>
            <w:r>
              <w:rPr>
                <w:rFonts w:ascii="宋体" w:eastAsia="宋体" w:hAnsi="宋体" w:cs="Times New Roman"/>
                <w:color w:val="auto"/>
                <w:szCs w:val="21"/>
              </w:rPr>
              <w:t>评分准则</w:t>
            </w:r>
          </w:p>
        </w:tc>
      </w:tr>
      <w:tr>
        <w:tblPrEx>
          <w:tblW w:w="9256" w:type="dxa"/>
          <w:tblInd w:w="0" w:type="dxa"/>
          <w:tblCellMar>
            <w:top w:w="0" w:type="dxa"/>
            <w:left w:w="108" w:type="dxa"/>
            <w:bottom w:w="0" w:type="dxa"/>
            <w:right w:w="108" w:type="dxa"/>
          </w:tblCellMar>
        </w:tblPrEx>
        <w:trPr>
          <w:trHeight w:val="78"/>
        </w:trPr>
        <w:tc>
          <w:tcPr>
            <w:tcW w:w="522" w:type="dxa"/>
            <w:vMerge/>
            <w:tcBorders>
              <w:left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rPr>
            </w:pPr>
          </w:p>
        </w:tc>
        <w:tc>
          <w:tcPr>
            <w:tcW w:w="550"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color w:val="auto"/>
                <w:szCs w:val="21"/>
                <w:highlight w:val="none"/>
              </w:rPr>
            </w:pPr>
            <w:r>
              <w:rPr>
                <w:rFonts w:ascii="宋体" w:eastAsia="宋体" w:hAnsi="宋体" w:cs="Times New Roman"/>
                <w:color w:val="auto"/>
                <w:szCs w:val="21"/>
                <w:highlight w:val="none"/>
              </w:rPr>
              <w:t>1</w:t>
            </w:r>
          </w:p>
        </w:tc>
        <w:tc>
          <w:tcPr>
            <w:tcW w:w="1647"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color w:val="auto"/>
                <w:szCs w:val="21"/>
                <w:highlight w:val="none"/>
              </w:rPr>
            </w:pPr>
            <w:r>
              <w:rPr>
                <w:rFonts w:ascii="宋体" w:eastAsia="宋体" w:hAnsi="宋体" w:cs="Times New Roman"/>
                <w:color w:val="auto"/>
                <w:szCs w:val="21"/>
                <w:highlight w:val="none"/>
              </w:rPr>
              <w:t>市财政</w:t>
            </w:r>
            <w:r>
              <w:rPr>
                <w:rFonts w:ascii="宋体" w:eastAsia="宋体" w:hAnsi="宋体" w:cs="Times New Roman" w:hint="eastAsia"/>
                <w:color w:val="auto"/>
                <w:szCs w:val="21"/>
                <w:highlight w:val="none"/>
              </w:rPr>
              <w:t>局</w:t>
            </w:r>
            <w:r>
              <w:rPr>
                <w:rFonts w:ascii="宋体" w:eastAsia="宋体" w:hAnsi="宋体" w:cs="Times New Roman"/>
                <w:color w:val="auto"/>
                <w:szCs w:val="21"/>
                <w:highlight w:val="none"/>
              </w:rPr>
              <w:t>诚信管理情况</w:t>
            </w:r>
          </w:p>
        </w:tc>
        <w:tc>
          <w:tcPr>
            <w:tcW w:w="791"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color w:val="auto"/>
                <w:szCs w:val="21"/>
                <w:highlight w:val="none"/>
              </w:rPr>
            </w:pPr>
            <w:r>
              <w:rPr>
                <w:rFonts w:ascii="宋体" w:eastAsia="宋体" w:hAnsi="宋体" w:cs="Times New Roman"/>
                <w:color w:val="auto"/>
                <w:szCs w:val="21"/>
                <w:highlight w:val="none"/>
              </w:rPr>
              <w:t>5</w:t>
            </w:r>
          </w:p>
        </w:tc>
        <w:tc>
          <w:tcPr>
            <w:tcW w:w="5746"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rPr>
              <w:t>（一）评分内容</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供应商诚信查询结果。</w:t>
            </w:r>
          </w:p>
          <w:p>
            <w:pPr>
              <w:keepNext w:val="0"/>
              <w:keepLines w:val="0"/>
              <w:suppressLineNumbers w:val="0"/>
              <w:adjustRightInd w:val="0"/>
              <w:snapToGrid w:val="0"/>
              <w:spacing w:before="0" w:beforeAutospacing="0" w:after="0" w:afterAutospacing="0"/>
              <w:ind w:left="0" w:right="0"/>
              <w:rPr>
                <w:rFonts w:ascii="宋体" w:eastAsia="宋体" w:hAnsi="宋体" w:cs="Times New Roman" w:hint="eastAsia"/>
                <w:color w:val="auto"/>
                <w:szCs w:val="21"/>
                <w:highlight w:val="none"/>
              </w:rPr>
            </w:pPr>
            <w:r>
              <w:rPr>
                <w:rFonts w:ascii="宋体" w:eastAsia="宋体" w:hAnsi="宋体" w:cs="Times New Roman" w:hint="eastAsia"/>
                <w:color w:val="auto"/>
                <w:szCs w:val="21"/>
                <w:highlight w:val="none"/>
              </w:rPr>
              <w:t>（二）评分依据</w:t>
            </w:r>
          </w:p>
          <w:p>
            <w:pPr>
              <w:keepNext w:val="0"/>
              <w:keepLines w:val="0"/>
              <w:suppressLineNumbers w:val="0"/>
              <w:adjustRightInd w:val="0"/>
              <w:snapToGrid w:val="0"/>
              <w:spacing w:before="0" w:beforeAutospacing="0" w:after="0" w:afterAutospacing="0"/>
              <w:ind w:left="0" w:right="0"/>
              <w:rPr>
                <w:rFonts w:ascii="宋体" w:eastAsia="宋体" w:hAnsi="宋体" w:cs="Times New Roman"/>
                <w:color w:val="auto"/>
                <w:szCs w:val="21"/>
                <w:highlight w:val="none"/>
              </w:rPr>
            </w:pPr>
            <w:r>
              <w:rPr>
                <w:rFonts w:ascii="宋体" w:eastAsia="宋体" w:hAnsi="宋体" w:cs="Times New Roman" w:hint="eastAsia"/>
                <w:color w:val="auto"/>
                <w:szCs w:val="21"/>
                <w:highlight w:val="none"/>
              </w:rPr>
              <w:t>查询渠道：通过“信用中国”（www.creditchina.gov.cn）、“中国政府采购网”（www.ccgp.gov.cn）、“深圳市政府采购监管网”（http://zfcg.sz.gov.cn）以及财政主管部门认定的其他渠道查询供应商信用信息，信用信息以开标当日的查询结果为准。</w:t>
            </w:r>
          </w:p>
        </w:tc>
      </w:tr>
    </w:tbl>
    <w:p>
      <w:pPr>
        <w:ind w:firstLine="210" w:firstLineChars="100"/>
        <w:rPr>
          <w:rFonts w:ascii="宋体" w:hAnsi="宋体"/>
        </w:rPr>
      </w:pPr>
      <w:r>
        <w:rPr>
          <w:rFonts w:ascii="宋体" w:hAnsi="宋体" w:hint="eastAsia"/>
        </w:rPr>
        <w:t>注：1.每一项的得分均不能超过该项最高分值。</w:t>
      </w:r>
    </w:p>
    <w:p>
      <w:pPr>
        <w:ind w:firstLine="630" w:firstLineChars="300"/>
        <w:rPr>
          <w:rFonts w:ascii="宋体" w:hAnsi="宋体"/>
        </w:rPr>
      </w:pPr>
      <w:r>
        <w:rPr>
          <w:rFonts w:ascii="宋体" w:hAnsi="宋体" w:hint="eastAsia"/>
        </w:rPr>
        <w:t>2. 缺项则该项为0分或不合格为0分。</w:t>
      </w:r>
    </w:p>
    <w:p>
      <w:pPr>
        <w:ind w:firstLine="630" w:firstLineChars="300"/>
        <w:rPr>
          <w:rFonts w:ascii="宋体" w:hAnsi="宋体"/>
        </w:rPr>
      </w:pPr>
      <w:r>
        <w:rPr>
          <w:rFonts w:ascii="宋体" w:hAnsi="宋体" w:hint="eastAsia"/>
        </w:rPr>
        <w:t>3. 价格、技术、商务、诚信部分为针对项目具体情况设置项目，累加满分为100分。</w:t>
      </w:r>
    </w:p>
    <w:p>
      <w:pPr>
        <w:ind w:firstLine="630" w:firstLineChars="300"/>
      </w:pPr>
      <w:r>
        <w:rPr>
          <w:rFonts w:ascii="宋体" w:hAnsi="宋体" w:hint="eastAsia"/>
        </w:rPr>
        <w:t>4. 综合以上</w:t>
      </w:r>
      <w:r>
        <w:rPr>
          <w:rFonts w:hint="eastAsia"/>
          <w:snapToGrid w:val="0"/>
          <w:kern w:val="0"/>
        </w:rPr>
        <w:t>分析比较，评委会将对各投标文件进行书面的量化评定，得分</w:t>
      </w:r>
      <w:r>
        <w:rPr>
          <w:rFonts w:ascii="Arial" w:hAnsi="Arial" w:cs="Arial"/>
          <w:snapToGrid w:val="0"/>
          <w:kern w:val="0"/>
          <w:szCs w:val="18"/>
        </w:rPr>
        <w:t>精确到小数点后</w:t>
      </w:r>
      <w:r>
        <w:rPr>
          <w:rFonts w:ascii="Arial" w:hAnsi="Arial" w:cs="Arial" w:hint="eastAsia"/>
          <w:snapToGrid w:val="0"/>
          <w:kern w:val="0"/>
          <w:szCs w:val="18"/>
        </w:rPr>
        <w:t>两</w:t>
      </w:r>
      <w:r>
        <w:rPr>
          <w:rFonts w:ascii="Arial" w:hAnsi="Arial" w:cs="Arial"/>
          <w:snapToGrid w:val="0"/>
          <w:kern w:val="0"/>
          <w:szCs w:val="18"/>
        </w:rPr>
        <w:t>位</w:t>
      </w:r>
      <w:r>
        <w:rPr>
          <w:rFonts w:ascii="Arial" w:hAnsi="Arial" w:cs="Arial" w:hint="eastAsia"/>
          <w:snapToGrid w:val="0"/>
          <w:kern w:val="0"/>
          <w:szCs w:val="18"/>
        </w:rPr>
        <w:t>（价格分精确到小数点后两位）。</w:t>
      </w:r>
    </w:p>
    <w:p>
      <w:pPr>
        <w:pStyle w:val="Heading3"/>
        <w:jc w:val="center"/>
        <w:rPr>
          <w:rFonts w:hint="eastAsia"/>
        </w:rPr>
      </w:pPr>
      <w:bookmarkStart w:id="325" w:name="_Toc22349"/>
      <w:bookmarkStart w:id="326" w:name="_Toc5500"/>
      <w:bookmarkStart w:id="327" w:name="_Toc17183"/>
      <w:r>
        <w:rPr>
          <w:rFonts w:hint="eastAsia"/>
        </w:rPr>
        <w:br w:type="page"/>
      </w:r>
      <w:bookmarkStart w:id="328" w:name="_Toc28157"/>
      <w:bookmarkStart w:id="329" w:name="_Toc256000021"/>
      <w:r>
        <w:rPr>
          <w:rFonts w:hint="eastAsia"/>
        </w:rPr>
        <w:t>四、其他关键信息</w:t>
      </w:r>
      <w:bookmarkEnd w:id="329"/>
      <w:bookmarkEnd w:id="325"/>
      <w:bookmarkEnd w:id="326"/>
      <w:bookmarkEnd w:id="327"/>
      <w:bookmarkEnd w:id="328"/>
    </w:p>
    <w:p>
      <w:pPr>
        <w:spacing w:line="360" w:lineRule="auto"/>
        <w:ind w:firstLine="412" w:firstLineChars="196"/>
        <w:rPr>
          <w:rFonts w:ascii="宋体" w:hAnsi="宋体"/>
          <w:szCs w:val="21"/>
        </w:rPr>
      </w:pPr>
      <w:r>
        <w:rPr>
          <w:rFonts w:ascii="宋体" w:hAnsi="宋体" w:hint="eastAsia"/>
          <w:b/>
          <w:szCs w:val="21"/>
        </w:rPr>
        <w:t>（一）</w:t>
      </w:r>
      <w:r>
        <w:rPr>
          <w:rFonts w:hint="eastAsia"/>
          <w:b/>
          <w:szCs w:val="21"/>
        </w:rPr>
        <w:t>评标定标信息</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4786"/>
        <w:gridCol w:w="4265"/>
      </w:tblGrid>
      <w:tr>
        <w:tblPrEx>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Ex>
        <w:trPr>
          <w:jc w:val="center"/>
        </w:trPr>
        <w:tc>
          <w:tcPr>
            <w:tcW w:w="4786" w:type="dxa"/>
            <w:noWrap w:val="0"/>
            <w:vAlign w:val="top"/>
          </w:tcPr>
          <w:p>
            <w:pPr>
              <w:keepNext w:val="0"/>
              <w:keepLines w:val="0"/>
              <w:suppressLineNumbers w:val="0"/>
              <w:spacing w:before="0" w:beforeAutospacing="0" w:after="60" w:afterAutospacing="0"/>
              <w:ind w:left="0" w:right="0"/>
              <w:jc w:val="center"/>
              <w:rPr>
                <w:rFonts w:ascii="宋体" w:eastAsia="宋体" w:hAnsi="宋体" w:cs="Times New Roman"/>
                <w:szCs w:val="21"/>
              </w:rPr>
            </w:pPr>
            <w:r>
              <w:rPr>
                <w:rFonts w:ascii="宋体" w:eastAsia="宋体" w:hAnsi="宋体" w:cs="Times New Roman" w:hint="eastAsia"/>
                <w:szCs w:val="21"/>
              </w:rPr>
              <w:t>是否评标定标分离</w:t>
            </w:r>
          </w:p>
        </w:tc>
        <w:tc>
          <w:tcPr>
            <w:tcW w:w="4265" w:type="dxa"/>
            <w:noWrap w:val="0"/>
            <w:vAlign w:val="top"/>
          </w:tcPr>
          <w:p>
            <w:pPr>
              <w:keepNext w:val="0"/>
              <w:keepLines w:val="0"/>
              <w:suppressLineNumbers w:val="0"/>
              <w:spacing w:before="0" w:beforeAutospacing="0" w:after="60" w:afterAutospacing="0"/>
              <w:ind w:left="0" w:right="0"/>
              <w:jc w:val="center"/>
              <w:rPr>
                <w:rFonts w:ascii="宋体" w:eastAsia="宋体" w:hAnsi="宋体" w:cs="Times New Roman"/>
                <w:b/>
                <w:bCs/>
                <w:color w:val="FF0000"/>
                <w:szCs w:val="21"/>
              </w:rPr>
            </w:pPr>
            <w:r>
              <w:rPr>
                <w:rFonts w:ascii="宋体" w:hAnsi="宋体" w:cs="Times New Roman" w:hint="eastAsia"/>
                <w:b/>
                <w:bCs/>
                <w:color w:val="FF0000"/>
                <w:szCs w:val="21"/>
                <w:lang w:val="en-US" w:eastAsia="zh-CN"/>
              </w:rPr>
              <w:t>非</w:t>
            </w:r>
            <w:r>
              <w:rPr>
                <w:rFonts w:ascii="宋体" w:eastAsia="宋体" w:hAnsi="宋体" w:cs="Times New Roman" w:hint="eastAsia"/>
                <w:b/>
                <w:bCs/>
                <w:color w:val="FF0000"/>
                <w:szCs w:val="21"/>
              </w:rPr>
              <w:t>评定分离</w:t>
            </w:r>
          </w:p>
        </w:tc>
      </w:tr>
      <w:tr>
        <w:tblPrEx>
          <w:tblW w:w="0" w:type="auto"/>
          <w:jc w:val="center"/>
          <w:tblLayout w:type="fixed"/>
          <w:tblCellMar>
            <w:top w:w="0" w:type="dxa"/>
            <w:left w:w="108" w:type="dxa"/>
            <w:bottom w:w="0" w:type="dxa"/>
            <w:right w:w="108" w:type="dxa"/>
          </w:tblCellMar>
        </w:tblPrEx>
        <w:trPr>
          <w:jc w:val="center"/>
        </w:trPr>
        <w:tc>
          <w:tcPr>
            <w:tcW w:w="4786" w:type="dxa"/>
            <w:noWrap w:val="0"/>
            <w:vAlign w:val="top"/>
          </w:tcPr>
          <w:p>
            <w:pPr>
              <w:keepNext w:val="0"/>
              <w:keepLines w:val="0"/>
              <w:suppressLineNumbers w:val="0"/>
              <w:spacing w:before="0" w:beforeAutospacing="0" w:after="60" w:afterAutospacing="0"/>
              <w:ind w:left="0" w:right="0"/>
              <w:jc w:val="center"/>
              <w:rPr>
                <w:rFonts w:ascii="宋体" w:eastAsia="宋体" w:hAnsi="宋体" w:cs="Times New Roman"/>
                <w:szCs w:val="21"/>
              </w:rPr>
            </w:pPr>
            <w:r>
              <w:rPr>
                <w:rFonts w:ascii="宋体" w:eastAsia="宋体" w:hAnsi="宋体" w:cs="Times New Roman" w:hint="eastAsia"/>
                <w:szCs w:val="21"/>
              </w:rPr>
              <w:t>定标方法</w:t>
            </w:r>
          </w:p>
        </w:tc>
        <w:tc>
          <w:tcPr>
            <w:tcW w:w="4265" w:type="dxa"/>
            <w:noWrap w:val="0"/>
            <w:vAlign w:val="top"/>
          </w:tcPr>
          <w:p>
            <w:pPr>
              <w:keepNext w:val="0"/>
              <w:keepLines w:val="0"/>
              <w:suppressLineNumbers w:val="0"/>
              <w:spacing w:before="0" w:beforeAutospacing="0" w:after="60" w:afterAutospacing="0"/>
              <w:ind w:left="0" w:right="0"/>
              <w:jc w:val="center"/>
              <w:rPr>
                <w:rFonts w:ascii="宋体" w:eastAsia="宋体" w:hAnsi="宋体" w:cs="Times New Roman" w:hint="default"/>
                <w:b/>
                <w:bCs/>
                <w:color w:val="FF0000"/>
                <w:szCs w:val="21"/>
                <w:lang w:val="en-US" w:eastAsia="zh-CN"/>
              </w:rPr>
            </w:pPr>
            <w:r>
              <w:rPr>
                <w:rFonts w:ascii="宋体" w:hAnsi="宋体" w:cs="Times New Roman" w:hint="eastAsia"/>
                <w:b/>
                <w:bCs/>
                <w:color w:val="FF0000"/>
                <w:szCs w:val="21"/>
                <w:lang w:val="en-US" w:eastAsia="zh-CN"/>
              </w:rPr>
              <w:t>无</w:t>
            </w:r>
          </w:p>
        </w:tc>
      </w:tr>
      <w:tr>
        <w:tblPrEx>
          <w:tblW w:w="0" w:type="auto"/>
          <w:jc w:val="center"/>
          <w:tblLayout w:type="fixed"/>
          <w:tblCellMar>
            <w:top w:w="0" w:type="dxa"/>
            <w:left w:w="108" w:type="dxa"/>
            <w:bottom w:w="0" w:type="dxa"/>
            <w:right w:w="108" w:type="dxa"/>
          </w:tblCellMar>
        </w:tblPrEx>
        <w:trPr>
          <w:jc w:val="center"/>
        </w:trPr>
        <w:tc>
          <w:tcPr>
            <w:tcW w:w="4786" w:type="dxa"/>
            <w:noWrap w:val="0"/>
            <w:vAlign w:val="top"/>
          </w:tcPr>
          <w:p>
            <w:pPr>
              <w:keepNext w:val="0"/>
              <w:keepLines w:val="0"/>
              <w:suppressLineNumbers w:val="0"/>
              <w:spacing w:before="0" w:beforeAutospacing="0" w:after="60" w:afterAutospacing="0"/>
              <w:ind w:left="0" w:right="0"/>
              <w:jc w:val="center"/>
              <w:rPr>
                <w:rFonts w:ascii="宋体" w:eastAsia="宋体" w:hAnsi="宋体" w:cs="Times New Roman"/>
                <w:szCs w:val="21"/>
              </w:rPr>
            </w:pPr>
            <w:r>
              <w:rPr>
                <w:rFonts w:ascii="宋体" w:eastAsia="宋体" w:hAnsi="宋体" w:cs="Times New Roman" w:hint="eastAsia"/>
                <w:szCs w:val="21"/>
              </w:rPr>
              <w:t>评标方法</w:t>
            </w:r>
          </w:p>
        </w:tc>
        <w:tc>
          <w:tcPr>
            <w:tcW w:w="4265" w:type="dxa"/>
            <w:noWrap w:val="0"/>
            <w:vAlign w:val="top"/>
          </w:tcPr>
          <w:p>
            <w:pPr>
              <w:keepNext w:val="0"/>
              <w:keepLines w:val="0"/>
              <w:suppressLineNumbers w:val="0"/>
              <w:spacing w:before="0" w:beforeAutospacing="0" w:after="60" w:afterAutospacing="0"/>
              <w:ind w:left="0" w:right="0"/>
              <w:jc w:val="center"/>
              <w:rPr>
                <w:rFonts w:ascii="宋体" w:eastAsia="宋体" w:hAnsi="宋体" w:cs="Times New Roman"/>
                <w:b/>
                <w:bCs/>
                <w:color w:val="FF0000"/>
                <w:szCs w:val="21"/>
              </w:rPr>
            </w:pPr>
            <w:r>
              <w:rPr>
                <w:rFonts w:ascii="宋体" w:eastAsia="宋体" w:hAnsi="宋体" w:cs="Times New Roman" w:hint="eastAsia"/>
                <w:b/>
                <w:bCs/>
                <w:color w:val="FF0000"/>
                <w:szCs w:val="21"/>
              </w:rPr>
              <w:t>综合评分法</w:t>
            </w:r>
          </w:p>
        </w:tc>
      </w:tr>
      <w:tr>
        <w:tblPrEx>
          <w:tblW w:w="0" w:type="auto"/>
          <w:jc w:val="center"/>
          <w:tblLayout w:type="fixed"/>
          <w:tblCellMar>
            <w:top w:w="0" w:type="dxa"/>
            <w:left w:w="108" w:type="dxa"/>
            <w:bottom w:w="0" w:type="dxa"/>
            <w:right w:w="108" w:type="dxa"/>
          </w:tblCellMar>
        </w:tblPrEx>
        <w:trPr>
          <w:jc w:val="center"/>
        </w:trPr>
        <w:tc>
          <w:tcPr>
            <w:tcW w:w="4786" w:type="dxa"/>
            <w:noWrap w:val="0"/>
            <w:vAlign w:val="top"/>
          </w:tcPr>
          <w:p>
            <w:pPr>
              <w:keepNext w:val="0"/>
              <w:keepLines w:val="0"/>
              <w:suppressLineNumbers w:val="0"/>
              <w:spacing w:before="0" w:beforeAutospacing="0" w:after="60" w:afterAutospacing="0"/>
              <w:ind w:left="0" w:right="0"/>
              <w:jc w:val="center"/>
              <w:rPr>
                <w:rFonts w:ascii="宋体" w:eastAsia="宋体" w:hAnsi="宋体" w:cs="Times New Roman"/>
                <w:szCs w:val="21"/>
              </w:rPr>
            </w:pPr>
            <w:r>
              <w:rPr>
                <w:rFonts w:ascii="宋体" w:eastAsia="宋体" w:hAnsi="宋体" w:cs="Times New Roman" w:hint="eastAsia"/>
                <w:szCs w:val="21"/>
              </w:rPr>
              <w:t>中标供应商家数</w:t>
            </w:r>
          </w:p>
        </w:tc>
        <w:tc>
          <w:tcPr>
            <w:tcW w:w="4265" w:type="dxa"/>
            <w:noWrap w:val="0"/>
            <w:vAlign w:val="top"/>
          </w:tcPr>
          <w:p>
            <w:pPr>
              <w:keepNext w:val="0"/>
              <w:keepLines w:val="0"/>
              <w:suppressLineNumbers w:val="0"/>
              <w:spacing w:before="0" w:beforeAutospacing="0" w:after="60" w:afterAutospacing="0"/>
              <w:ind w:left="0" w:right="0"/>
              <w:jc w:val="center"/>
              <w:rPr>
                <w:rFonts w:ascii="宋体" w:eastAsia="宋体" w:hAnsi="宋体" w:cs="Times New Roman"/>
                <w:b/>
                <w:bCs/>
                <w:color w:val="FF0000"/>
                <w:szCs w:val="21"/>
              </w:rPr>
            </w:pPr>
            <w:r>
              <w:rPr>
                <w:rFonts w:ascii="宋体" w:eastAsia="宋体" w:hAnsi="宋体" w:cs="Times New Roman" w:hint="eastAsia"/>
                <w:b/>
                <w:bCs/>
                <w:color w:val="FF0000"/>
                <w:szCs w:val="21"/>
              </w:rPr>
              <w:t>1</w:t>
            </w:r>
          </w:p>
        </w:tc>
      </w:tr>
      <w:tr>
        <w:tblPrEx>
          <w:tblW w:w="0" w:type="auto"/>
          <w:jc w:val="center"/>
          <w:tblLayout w:type="fixed"/>
          <w:tblCellMar>
            <w:top w:w="0" w:type="dxa"/>
            <w:left w:w="108" w:type="dxa"/>
            <w:bottom w:w="0" w:type="dxa"/>
            <w:right w:w="108" w:type="dxa"/>
          </w:tblCellMar>
        </w:tblPrEx>
        <w:trPr>
          <w:jc w:val="center"/>
        </w:trPr>
        <w:tc>
          <w:tcPr>
            <w:tcW w:w="4786" w:type="dxa"/>
            <w:noWrap w:val="0"/>
            <w:vAlign w:val="top"/>
          </w:tcPr>
          <w:p>
            <w:pPr>
              <w:keepNext w:val="0"/>
              <w:keepLines w:val="0"/>
              <w:suppressLineNumbers w:val="0"/>
              <w:spacing w:before="0" w:beforeAutospacing="0" w:after="60" w:afterAutospacing="0"/>
              <w:ind w:left="0" w:right="0"/>
              <w:jc w:val="center"/>
              <w:rPr>
                <w:rFonts w:ascii="宋体" w:eastAsia="宋体" w:hAnsi="宋体" w:cs="Times New Roman"/>
                <w:szCs w:val="21"/>
              </w:rPr>
            </w:pPr>
            <w:r>
              <w:rPr>
                <w:rFonts w:ascii="宋体" w:eastAsia="宋体" w:hAnsi="宋体" w:cs="Times New Roman" w:hint="eastAsia"/>
                <w:szCs w:val="21"/>
              </w:rPr>
              <w:t>候选中标供应商家数</w:t>
            </w:r>
          </w:p>
        </w:tc>
        <w:tc>
          <w:tcPr>
            <w:tcW w:w="4265" w:type="dxa"/>
            <w:noWrap w:val="0"/>
            <w:vAlign w:val="top"/>
          </w:tcPr>
          <w:p>
            <w:pPr>
              <w:keepNext w:val="0"/>
              <w:keepLines w:val="0"/>
              <w:suppressLineNumbers w:val="0"/>
              <w:spacing w:before="0" w:beforeAutospacing="0" w:after="60" w:afterAutospacing="0"/>
              <w:ind w:left="0" w:right="0"/>
              <w:jc w:val="center"/>
              <w:rPr>
                <w:rFonts w:ascii="宋体" w:eastAsia="宋体" w:hAnsi="宋体" w:cs="Times New Roman" w:hint="eastAsia"/>
                <w:b/>
                <w:bCs/>
                <w:color w:val="FF0000"/>
                <w:szCs w:val="21"/>
              </w:rPr>
            </w:pPr>
            <w:r>
              <w:rPr>
                <w:rFonts w:ascii="宋体" w:eastAsia="宋体" w:hAnsi="宋体" w:cs="Times New Roman" w:hint="eastAsia"/>
                <w:b/>
                <w:bCs/>
                <w:color w:val="FF0000"/>
                <w:szCs w:val="21"/>
              </w:rPr>
              <w:t>3</w:t>
            </w:r>
          </w:p>
        </w:tc>
      </w:tr>
    </w:tbl>
    <w:p>
      <w:pPr>
        <w:spacing w:line="360" w:lineRule="auto"/>
        <w:ind w:firstLine="420" w:firstLineChars="200"/>
        <w:rPr>
          <w:rFonts w:ascii="宋体" w:hAnsi="宋体" w:hint="eastAsia"/>
          <w:b/>
          <w:szCs w:val="21"/>
        </w:rPr>
      </w:pPr>
      <w:r>
        <w:rPr>
          <w:rFonts w:ascii="宋体" w:hAnsi="宋体" w:hint="eastAsia"/>
          <w:b/>
          <w:szCs w:val="21"/>
        </w:rPr>
        <w:t>（二）项目标的所属行业</w:t>
      </w:r>
    </w:p>
    <w:p>
      <w:pPr>
        <w:keepNext/>
        <w:keepLines/>
        <w:spacing w:line="360" w:lineRule="auto"/>
        <w:ind w:firstLine="420"/>
        <w:rPr>
          <w:rFonts w:ascii="宋体" w:hAnsi="宋体" w:hint="eastAsia"/>
        </w:rPr>
      </w:pPr>
      <w:r>
        <w:rPr>
          <w:rFonts w:ascii="宋体" w:hAnsi="宋体" w:hint="eastAsia"/>
        </w:rPr>
        <w:t>根据《工业和信息化部、国家统计局、国家发展和改革委员会、财政部关于印发中小企业划型标准规定的通知》（工信部联企业〔2011〕300 号），本项目所属行业为</w:t>
      </w:r>
      <w:r>
        <w:rPr>
          <w:rFonts w:ascii="宋体" w:hAnsi="宋体" w:hint="eastAsia"/>
          <w:b/>
          <w:bCs/>
          <w:color w:val="FF0000"/>
          <w:u w:val="single"/>
        </w:rPr>
        <w:t xml:space="preserve"> 其他未列明行业 </w:t>
      </w:r>
      <w:r>
        <w:rPr>
          <w:rFonts w:ascii="宋体" w:hAnsi="宋体" w:hint="eastAsia"/>
        </w:rPr>
        <w:t>。</w:t>
      </w:r>
    </w:p>
    <w:p>
      <w:pPr>
        <w:spacing w:line="360" w:lineRule="auto"/>
        <w:ind w:firstLine="420" w:firstLineChars="200"/>
        <w:rPr>
          <w:rFonts w:ascii="宋体" w:hAnsi="宋体"/>
          <w:b/>
          <w:szCs w:val="21"/>
        </w:rPr>
      </w:pPr>
      <w:r>
        <w:rPr>
          <w:rFonts w:ascii="宋体" w:hAnsi="宋体" w:cs="宋体" w:hint="eastAsia"/>
          <w:b/>
          <w:bCs/>
          <w:szCs w:val="21"/>
        </w:rPr>
        <w:t>（三）</w:t>
      </w:r>
      <w:r>
        <w:rPr>
          <w:rFonts w:hint="eastAsia"/>
          <w:b/>
        </w:rPr>
        <w:t>其他说明</w:t>
      </w:r>
    </w:p>
    <w:p>
      <w:pPr>
        <w:spacing w:line="360" w:lineRule="auto"/>
        <w:ind w:firstLine="420" w:firstLineChars="200"/>
        <w:rPr>
          <w:rFonts w:ascii="宋体" w:hAnsi="宋体"/>
        </w:rPr>
      </w:pPr>
      <w:r>
        <w:rPr>
          <w:rFonts w:ascii="宋体" w:hAnsi="宋体" w:hint="eastAsia"/>
        </w:rPr>
        <w:t>拟采购的服务如涉及《关于调整优化节能产品环境标志产品政府采购执行机制的通知》（财库〔2019〕9号）、《关于印发环境标志产品政府采购品目清单的通知》（财库〔2019〕18号）和《关于印发节能产品政府采购品目清单的通知》（财库〔2019〕19号）品目清单范围内的产品，应依据国家确定的认证机构出具的、处于有效期之内的节能产品、环境标志产品认证证书，对获得证书的产品实施政府优先采购或强制采购。对于已列入品目清单的产品类别，采购人可在采购需求中提出更高的节约资源和保护环境要求，对符合条件的获证产品给予适当评审加分。对于未列入品目清单的产品类别，鼓励采购人综合考虑节能、节水、环保、循环、低碳、再生、有机等因素，参考相关国家标准、行业标准或团体标准，在采购需求中提出相关绿色采购要求，促进绿色产品推广应用。</w:t>
      </w:r>
    </w:p>
    <w:p>
      <w:pPr>
        <w:spacing w:line="360" w:lineRule="auto"/>
        <w:ind w:firstLine="420" w:firstLineChars="200"/>
        <w:rPr>
          <w:rFonts w:ascii="宋体" w:hAnsi="宋体"/>
          <w:b/>
          <w:bCs/>
        </w:rPr>
      </w:pPr>
      <w:r>
        <w:rPr>
          <w:rFonts w:ascii="宋体" w:hAnsi="宋体" w:hint="eastAsia"/>
          <w:b/>
          <w:bCs/>
        </w:rPr>
        <w:t>为缓解中小企业融资难题，深圳市推出政府采购订单融资改革举措。订单融资具体流程及试点金融机构订单融资服务承诺可参阅深圳市政府采购监管网（zfcg.sz.gov.cn）政府采购订单融资栏目。</w:t>
      </w:r>
    </w:p>
    <w:p>
      <w:pPr>
        <w:pStyle w:val="Heading2"/>
        <w:jc w:val="center"/>
      </w:pPr>
      <w:bookmarkStart w:id="330" w:name="_Toc9397"/>
      <w:bookmarkStart w:id="331" w:name="_Toc9223"/>
      <w:bookmarkStart w:id="332" w:name="_Toc1412"/>
      <w:r>
        <w:rPr>
          <w:rFonts w:hint="eastAsia"/>
        </w:rPr>
        <w:br w:type="page"/>
      </w:r>
      <w:bookmarkStart w:id="333" w:name="_Toc18603"/>
      <w:bookmarkStart w:id="334" w:name="_Toc256000022"/>
      <w:r>
        <w:rPr>
          <w:rFonts w:hint="eastAsia"/>
        </w:rPr>
        <w:t>第三章  项目需求</w:t>
      </w:r>
      <w:bookmarkEnd w:id="334"/>
      <w:bookmarkEnd w:id="330"/>
      <w:bookmarkEnd w:id="331"/>
      <w:bookmarkEnd w:id="332"/>
      <w:bookmarkEnd w:id="333"/>
    </w:p>
    <w:p>
      <w:pPr>
        <w:snapToGrid w:val="0"/>
        <w:spacing w:line="360" w:lineRule="auto"/>
        <w:rPr>
          <w:rFonts w:ascii="黑体" w:eastAsia="黑体" w:hAnsi="宋体" w:cs="宋体"/>
          <w:b/>
          <w:sz w:val="28"/>
          <w:szCs w:val="28"/>
        </w:rPr>
      </w:pPr>
      <w:r>
        <w:rPr>
          <w:rFonts w:ascii="黑体" w:eastAsia="黑体" w:hAnsi="宋体" w:cs="宋体" w:hint="eastAsia"/>
          <w:b/>
          <w:sz w:val="28"/>
          <w:szCs w:val="28"/>
        </w:rPr>
        <w:t>重点提示：</w:t>
      </w:r>
    </w:p>
    <w:p>
      <w:pPr>
        <w:spacing w:line="360" w:lineRule="auto"/>
        <w:ind w:firstLine="412" w:firstLineChars="196"/>
        <w:rPr>
          <w:rFonts w:ascii="宋体" w:hAnsi="宋体"/>
          <w:b/>
          <w:szCs w:val="21"/>
        </w:rPr>
      </w:pPr>
      <w:r>
        <w:rPr>
          <w:rFonts w:ascii="宋体" w:hAnsi="宋体" w:hint="eastAsia"/>
          <w:b/>
          <w:szCs w:val="21"/>
        </w:rPr>
        <w:t>1. 招标文件澄清、质疑的说明</w:t>
      </w:r>
    </w:p>
    <w:p>
      <w:pPr>
        <w:snapToGrid w:val="0"/>
        <w:spacing w:line="360" w:lineRule="auto"/>
        <w:ind w:firstLine="420" w:firstLineChars="200"/>
      </w:pPr>
      <w:r>
        <w:rPr>
          <w:rFonts w:ascii="宋体" w:hAnsi="宋体" w:hint="eastAsia"/>
          <w:szCs w:val="21"/>
        </w:rPr>
        <w:t>根据招标文件第一册第二章第9条“招标文件的澄清、质疑”的规定，任何要求对招标文件进行澄清或者对招标文件有限制性、倾向性条款提出质疑的投标人，均应于“招标公告”中所述答疑截止时间前在书面通知或按招标公告以网上提问的方式提交政府采购代理机构。对于没有提出澄清或者质疑又参与了该项目投标的供应商将被视为完全认同该招标文件，投标截止期后不再受理针对招标文件的相关质疑、投诉。对招标文件中描述有歧义或前后不一致的地方，评审委员会有权进行评标，但对同一条款的评判应适用于每个投标人</w:t>
      </w:r>
      <w:r>
        <w:rPr>
          <w:rFonts w:hint="eastAsia"/>
        </w:rPr>
        <w:t>。</w:t>
      </w:r>
    </w:p>
    <w:p>
      <w:pPr>
        <w:spacing w:line="360" w:lineRule="auto"/>
        <w:ind w:firstLine="412" w:firstLineChars="196"/>
        <w:rPr>
          <w:rFonts w:ascii="宋体" w:hAnsi="宋体"/>
          <w:b/>
          <w:szCs w:val="21"/>
        </w:rPr>
      </w:pPr>
      <w:r>
        <w:rPr>
          <w:rFonts w:ascii="宋体" w:hAnsi="宋体" w:hint="eastAsia"/>
          <w:b/>
          <w:szCs w:val="21"/>
        </w:rPr>
        <w:t>2.关于特殊符号的说明</w:t>
      </w:r>
    </w:p>
    <w:p>
      <w:pPr>
        <w:spacing w:line="360" w:lineRule="auto"/>
        <w:ind w:firstLine="412" w:firstLineChars="196"/>
        <w:rPr>
          <w:rFonts w:ascii="宋体" w:hAnsi="宋体"/>
          <w:szCs w:val="21"/>
        </w:rPr>
      </w:pPr>
      <w:r>
        <w:rPr>
          <w:rFonts w:ascii="宋体" w:hAnsi="宋体" w:hint="eastAsia"/>
          <w:szCs w:val="21"/>
        </w:rPr>
        <w:t>（1）招标文件中标注“★”的条款均为废标条款，投标文件对其中任意一条不满足的将作废标处理，投标文件中需提供证明文件（如彩页、说明书、白皮书等）。</w:t>
      </w:r>
    </w:p>
    <w:p>
      <w:pPr>
        <w:spacing w:line="360" w:lineRule="auto"/>
        <w:ind w:firstLine="412" w:firstLineChars="196"/>
        <w:rPr>
          <w:rFonts w:ascii="宋体" w:hAnsi="宋体"/>
          <w:b/>
          <w:szCs w:val="21"/>
        </w:rPr>
      </w:pPr>
      <w:r>
        <w:rPr>
          <w:rFonts w:ascii="宋体" w:hAnsi="宋体" w:hint="eastAsia"/>
          <w:szCs w:val="21"/>
        </w:rPr>
        <w:t>（2）招标文件中标注“</w:t>
      </w:r>
      <w:r>
        <w:rPr>
          <w:rFonts w:ascii="宋体" w:hAnsi="宋体" w:cs="宋体" w:hint="eastAsia"/>
          <w:szCs w:val="21"/>
        </w:rPr>
        <w:t>▲</w:t>
      </w:r>
      <w:r>
        <w:rPr>
          <w:rFonts w:ascii="宋体" w:hAnsi="宋体" w:hint="eastAsia"/>
          <w:szCs w:val="21"/>
        </w:rPr>
        <w:t>”的条款均为重要条款，仅作为综合评分时的重要依据</w:t>
      </w:r>
      <w:r>
        <w:rPr>
          <w:rFonts w:ascii="宋体" w:hAnsi="宋体" w:hint="eastAsia"/>
          <w:b/>
          <w:szCs w:val="21"/>
        </w:rPr>
        <w:t>。</w:t>
      </w:r>
    </w:p>
    <w:p>
      <w:pPr>
        <w:pStyle w:val="Heading3"/>
        <w:spacing w:before="156" w:beforeLines="50" w:after="156" w:afterLines="50" w:line="400" w:lineRule="exact"/>
      </w:pPr>
      <w:bookmarkStart w:id="335" w:name="_Toc528574645"/>
      <w:bookmarkStart w:id="336" w:name="_Toc315854981"/>
      <w:bookmarkStart w:id="337" w:name="_Toc516672779"/>
      <w:r>
        <w:rPr>
          <w:sz w:val="28"/>
          <w:szCs w:val="24"/>
        </w:rPr>
        <w:br w:type="page"/>
      </w:r>
      <w:bookmarkStart w:id="338" w:name="_Toc17936"/>
      <w:bookmarkStart w:id="339" w:name="_Toc17888"/>
      <w:bookmarkStart w:id="340" w:name="_Toc5769"/>
      <w:bookmarkStart w:id="341" w:name="_Toc12672"/>
      <w:bookmarkStart w:id="342" w:name="_Toc256000023"/>
      <w:r>
        <w:rPr>
          <w:rFonts w:hint="eastAsia"/>
          <w:sz w:val="28"/>
          <w:szCs w:val="24"/>
        </w:rPr>
        <w:t>一、项目</w:t>
      </w:r>
      <w:bookmarkEnd w:id="335"/>
      <w:bookmarkEnd w:id="336"/>
      <w:bookmarkEnd w:id="337"/>
      <w:r>
        <w:rPr>
          <w:rFonts w:hint="eastAsia"/>
          <w:sz w:val="28"/>
          <w:szCs w:val="24"/>
        </w:rPr>
        <w:t>背景</w:t>
      </w:r>
      <w:bookmarkEnd w:id="342"/>
      <w:bookmarkEnd w:id="338"/>
      <w:bookmarkEnd w:id="339"/>
      <w:bookmarkEnd w:id="340"/>
      <w:bookmarkEnd w:id="341"/>
    </w:p>
    <w:p>
      <w:pPr>
        <w:widowControl/>
        <w:spacing w:line="360" w:lineRule="auto"/>
        <w:ind w:firstLine="420"/>
        <w:jc w:val="left"/>
        <w:rPr>
          <w:rFonts w:ascii="宋体" w:hAnsi="宋体" w:cs="宋体" w:hint="eastAsia"/>
          <w:bCs/>
          <w:szCs w:val="21"/>
          <w:highlight w:val="none"/>
        </w:rPr>
      </w:pPr>
      <w:bookmarkStart w:id="343" w:name="_Toc7912"/>
      <w:bookmarkStart w:id="344" w:name="_Toc15882"/>
      <w:bookmarkStart w:id="345" w:name="_Toc4457"/>
      <w:r>
        <w:rPr>
          <w:rFonts w:ascii="宋体" w:hAnsi="宋体" w:cs="宋体" w:hint="eastAsia"/>
          <w:szCs w:val="21"/>
          <w:highlight w:val="none"/>
        </w:rPr>
        <w:t>为全市</w:t>
      </w:r>
      <w:r>
        <w:rPr>
          <w:rFonts w:ascii="宋体" w:hAnsi="宋体" w:cs="宋体" w:hint="eastAsia"/>
          <w:szCs w:val="21"/>
          <w:highlight w:val="none"/>
          <w:lang w:val="en-US" w:eastAsia="zh-CN"/>
        </w:rPr>
        <w:t>不超过</w:t>
      </w:r>
      <w:r>
        <w:rPr>
          <w:rFonts w:ascii="宋体" w:hAnsi="宋体" w:cs="宋体" w:hint="eastAsia"/>
          <w:szCs w:val="21"/>
          <w:highlight w:val="none"/>
        </w:rPr>
        <w:t>75名户籍重度残疾人提供一年的寄宿制托养服务，承接机构需配置不少于80张床位数，并配备专业医务人员及护理员。</w:t>
      </w:r>
    </w:p>
    <w:p>
      <w:pPr>
        <w:pStyle w:val="Heading3"/>
        <w:spacing w:before="156" w:beforeLines="50" w:after="156" w:afterLines="50" w:line="400" w:lineRule="exact"/>
        <w:rPr>
          <w:sz w:val="28"/>
          <w:szCs w:val="28"/>
          <w:highlight w:val="none"/>
        </w:rPr>
      </w:pPr>
      <w:bookmarkStart w:id="346" w:name="_Toc25878"/>
      <w:bookmarkStart w:id="347" w:name="_Toc256000024"/>
      <w:r>
        <w:rPr>
          <w:rFonts w:hint="eastAsia"/>
          <w:sz w:val="28"/>
          <w:szCs w:val="28"/>
          <w:highlight w:val="none"/>
        </w:rPr>
        <w:t>二、商务需求</w:t>
      </w:r>
      <w:bookmarkEnd w:id="347"/>
      <w:bookmarkEnd w:id="343"/>
      <w:bookmarkEnd w:id="344"/>
      <w:bookmarkEnd w:id="345"/>
      <w:bookmarkEnd w:id="346"/>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b/>
          <w:bCs/>
          <w:color w:val="000000"/>
          <w:szCs w:val="21"/>
          <w:lang w:val="en-US" w:eastAsia="zh-CN"/>
        </w:rPr>
      </w:pPr>
      <w:bookmarkStart w:id="348" w:name="_Toc8117"/>
      <w:bookmarkStart w:id="349" w:name="_Toc21553"/>
      <w:bookmarkStart w:id="350" w:name="_Toc31293"/>
      <w:r>
        <w:rPr>
          <w:rFonts w:ascii="宋体" w:eastAsia="宋体" w:hAnsi="宋体" w:cs="宋体" w:hint="eastAsia"/>
          <w:b/>
          <w:bCs/>
          <w:color w:val="000000"/>
          <w:szCs w:val="21"/>
          <w:lang w:val="en-US" w:eastAsia="zh-CN"/>
        </w:rPr>
        <w:t>一、支付要求</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1、经费金额以市财政局最终支付为准。采购方分四个季度向中标方支付费用，每个季度支付中标金额的25%，最后一个季度的款项在合同期满通过验收后支付。</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每次按合同支付款项前，中标人应向采购人提供与支付金额相符的有效发票，且收款方、出具发票方、合同乙方均必须与中标人名称一致；</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b/>
          <w:bCs/>
          <w:color w:val="000000"/>
          <w:szCs w:val="21"/>
          <w:lang w:val="en-US" w:eastAsia="zh-CN"/>
        </w:rPr>
      </w:pPr>
      <w:r>
        <w:rPr>
          <w:rFonts w:ascii="宋体" w:eastAsia="宋体" w:hAnsi="宋体" w:cs="宋体" w:hint="eastAsia"/>
          <w:b/>
          <w:bCs/>
          <w:color w:val="000000"/>
          <w:szCs w:val="21"/>
          <w:lang w:val="en-US" w:eastAsia="zh-CN"/>
        </w:rPr>
        <w:t>二、合同服务期限</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1、项目服务期限：本项目服务期自残疾人入住并开始接受乙方服务之日起1年。</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2、本项目为长期服务项目，政府采购合同一年一签，履行期限最长不得超过三十六个月。合同到期前，采购人开展项目履约评价，如采购人对履约情况不满意，采购人不再续约。</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3.售后服务期限：项目完成由采购人验收通过后进入售后服务期1年，中标人要在售后服务期限内提供相关咨询、协调和项目审查等技术支持。</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b/>
          <w:bCs/>
          <w:color w:val="000000"/>
          <w:szCs w:val="21"/>
          <w:lang w:val="en-US" w:eastAsia="zh-CN"/>
        </w:rPr>
      </w:pPr>
      <w:r>
        <w:rPr>
          <w:rFonts w:ascii="宋体" w:eastAsia="宋体" w:hAnsi="宋体" w:cs="宋体" w:hint="eastAsia"/>
          <w:b/>
          <w:bCs/>
          <w:color w:val="000000"/>
          <w:szCs w:val="21"/>
          <w:lang w:val="en-US" w:eastAsia="zh-CN"/>
        </w:rPr>
        <w:t>三、★合同转包和分包</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本项目不允许转包，不允许分包。</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b/>
          <w:bCs/>
          <w:color w:val="000000"/>
          <w:szCs w:val="21"/>
          <w:lang w:val="en-US" w:eastAsia="zh-CN"/>
        </w:rPr>
      </w:pPr>
      <w:r>
        <w:rPr>
          <w:rFonts w:ascii="宋体" w:eastAsia="宋体" w:hAnsi="宋体" w:cs="宋体" w:hint="eastAsia"/>
          <w:b/>
          <w:bCs/>
          <w:color w:val="000000"/>
          <w:szCs w:val="21"/>
          <w:lang w:val="en-US" w:eastAsia="zh-CN"/>
        </w:rPr>
        <w:t>四、保密要求</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由采购人收集的、开发的、整理的、复制的、研究的和准备的与本合同项下工作有关的所有资料在提供给中标人时，均被视为保密的，不得泄漏给除采购人或其指定的代表之外的任何人、企业或公司，不管本合同因何种原因终止，本条款一直约束中标人；中标人在履行合同过程中所获得或接触到的任何内部数据资料，未经采购人同意，不得向第三方透露；中标人实施项目的一切程序都应符合国家安全、保密的有关规定和招标文件、中标人投标文件，国家和行业有关规范、规程和标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b/>
          <w:bCs/>
          <w:color w:val="000000"/>
          <w:szCs w:val="21"/>
          <w:lang w:val="en-US" w:eastAsia="zh-CN"/>
        </w:rPr>
        <w:t>五、★违约责任</w:t>
      </w:r>
      <w:r>
        <w:rPr>
          <w:rFonts w:ascii="宋体" w:eastAsia="宋体" w:hAnsi="宋体" w:cs="宋体" w:hint="eastAsia"/>
          <w:color w:val="000000"/>
          <w:szCs w:val="21"/>
          <w:lang w:val="en-US" w:eastAsia="zh-CN"/>
        </w:rPr>
        <w:tab/>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1、如中标方提供的服务不符合招标文件规定约定的，采购方有权要求中标方承担中标总价10%的违约责任。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2、若采购方发现中标方派出的工作人员不符合资质要求，采购方有权单方终止合同，并保留追究中标方责任及要求赔偿损失的权利。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3、如果具有履行义务一方未能按照合同规定的时间履行，另一方有权要求其承担迟延履行的违约责任。</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因一方违约给另一方造成经济损失的，违约方应在支付违约金以外另行根据守约方遭受损失的实际情况进行赔偿，赔偿范围包括直接损失、间接损失、守约方因维权而产生的律师费、鉴定费、差旅费、诉讼费、保全费、保全担保费等合理支出。</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3、如中标人违反保密义务或提供的项目服务或项目成果侵犯第三方知识产权的，采购人有权解除合同，中标人应当返还采购人已支付款项并向采购人支付采购合同总价款20%的违约金；</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4、未经采购人同意，中标人不得将项目转包或分包给其他第三方，如若违反，采购人有权解除合同，中标人应当返还采购人已支付的款项并向采购人支付采购合同总价款20%的违约金。</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b/>
          <w:bCs/>
          <w:color w:val="000000"/>
          <w:szCs w:val="21"/>
          <w:lang w:val="en-US" w:eastAsia="zh-CN"/>
        </w:rPr>
      </w:pPr>
      <w:r>
        <w:rPr>
          <w:rFonts w:ascii="宋体" w:eastAsia="宋体" w:hAnsi="宋体" w:cs="宋体" w:hint="eastAsia"/>
          <w:b/>
          <w:bCs/>
          <w:color w:val="000000"/>
          <w:szCs w:val="21"/>
          <w:lang w:val="en-US" w:eastAsia="zh-CN"/>
        </w:rPr>
        <w:t>六、合同的变更</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1、在合同履行过程中，采购人、中标人双方可就合同履行的时间、地点和方式等协商进行变更。协商一致后，双方应签订书面的补充协议。</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2、在不改变合同其他条款的前提下，采购人有权在合同价款改变百分之十的范围内追加与合同标的相同的货物或服务，并就此与中标人签订补充合同，中标人不得拒绝。</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3、除了双方签署书面协议，并成为合同不可分割的一部分之外，合同条件不得有任何变更。</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b/>
          <w:bCs/>
          <w:color w:val="000000"/>
          <w:szCs w:val="21"/>
          <w:lang w:val="en-US" w:eastAsia="zh-CN"/>
        </w:rPr>
        <w:t>七、解决争议的方法</w:t>
      </w:r>
      <w:r>
        <w:rPr>
          <w:rFonts w:ascii="宋体" w:eastAsia="宋体" w:hAnsi="宋体" w:cs="宋体" w:hint="eastAsia"/>
          <w:color w:val="000000"/>
          <w:szCs w:val="21"/>
          <w:lang w:val="en-US" w:eastAsia="zh-CN"/>
        </w:rPr>
        <w:tab/>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1、合同各方应通过友好协商，解决在执行合同过程中所发生的或与合同有关的一切争端。</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2、如从协商开始28天内仍不能解决，任一方可向采购人所在地的人民法院提起诉讼。</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3、在诉讼期间，除正在进行诉讼的部分外，合同的其他部分应继续执行。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b/>
          <w:bCs/>
          <w:color w:val="000000"/>
          <w:szCs w:val="21"/>
          <w:lang w:val="en-US" w:eastAsia="zh-CN"/>
        </w:rPr>
        <w:t>八、合同语言</w:t>
      </w:r>
      <w:r>
        <w:rPr>
          <w:rFonts w:ascii="宋体" w:eastAsia="宋体" w:hAnsi="宋体" w:cs="宋体" w:hint="eastAsia"/>
          <w:color w:val="000000"/>
          <w:szCs w:val="21"/>
          <w:lang w:val="en-US" w:eastAsia="zh-CN"/>
        </w:rPr>
        <w:tab/>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合同以及双方来往的与合同有关的信件、传真和其它文件应用中文书写。</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b/>
          <w:bCs/>
          <w:color w:val="000000"/>
          <w:szCs w:val="21"/>
          <w:lang w:val="en-US" w:eastAsia="zh-CN"/>
        </w:rPr>
        <w:t>九、法律适用</w:t>
      </w:r>
      <w:r>
        <w:rPr>
          <w:rFonts w:ascii="宋体" w:eastAsia="宋体" w:hAnsi="宋体" w:cs="宋体" w:hint="eastAsia"/>
          <w:color w:val="000000"/>
          <w:szCs w:val="21"/>
          <w:lang w:val="en-US" w:eastAsia="zh-CN"/>
        </w:rPr>
        <w:tab/>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合同适用中华人民共和国现行法律、行政法规和规章，如合同条款与法律、行政法规和规章不一致的，按照法律、行政法规和规章修改合同。</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b/>
          <w:bCs/>
          <w:color w:val="000000"/>
          <w:szCs w:val="21"/>
          <w:lang w:val="en-US" w:eastAsia="zh-CN"/>
        </w:rPr>
        <w:t>十、通知</w:t>
      </w:r>
      <w:r>
        <w:rPr>
          <w:rFonts w:ascii="宋体" w:eastAsia="宋体" w:hAnsi="宋体" w:cs="宋体" w:hint="eastAsia"/>
          <w:color w:val="000000"/>
          <w:szCs w:val="21"/>
          <w:lang w:val="en-US" w:eastAsia="zh-CN"/>
        </w:rPr>
        <w:tab/>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1、合同一方给另一方的通知均应采用书面形式，传真或快递送到对方的地址和办理签收手续。</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2、通知以送到之日或通知书中规定的生效之日起生效，两者中以较迟之日为准。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b/>
          <w:bCs/>
          <w:color w:val="000000"/>
          <w:szCs w:val="21"/>
          <w:lang w:val="en-US" w:eastAsia="zh-CN"/>
        </w:rPr>
      </w:pPr>
      <w:r>
        <w:rPr>
          <w:rFonts w:ascii="宋体" w:eastAsia="宋体" w:hAnsi="宋体" w:cs="宋体" w:hint="eastAsia"/>
          <w:b/>
          <w:bCs/>
          <w:color w:val="000000"/>
          <w:szCs w:val="21"/>
          <w:lang w:val="en-US" w:eastAsia="zh-CN"/>
        </w:rPr>
        <w:t>十一、★知识产权</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1、中标人在履行合同的过程中不得侵犯他人知识产权，不得提供虚假知识产权申请材料或者违背知识产权合规性承诺，否则依法追究其违约等责任，并将其失信违法信息依法纳入公共信用信息系统。</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2、中标人应保证采购人在使用该项目服务、项目成果或其任何一部分时免受第三方提出侵犯其专利、商标、版权等知识产权或商品名称及其他权利的起诉及索赔。若采购人因此被第三方起诉或以其它方式追究责任，中标人应赔偿因采购人被第三方索赔所引起的一切损失，包括但不限于采购人所支付的侵权损害赔偿费、律师费、诉讼费、仲裁费、办案差旅费等因应诉、沟通协调所发的一切费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3、中标人实施本项目所形成成果的知识产权归采购人所有，未经采购人许可，中标人不得随意使用。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b/>
          <w:bCs/>
          <w:color w:val="000000"/>
          <w:szCs w:val="21"/>
          <w:lang w:val="en-US" w:eastAsia="zh-CN"/>
        </w:rPr>
        <w:t>十二、合同解除和终止</w:t>
      </w:r>
      <w:r>
        <w:rPr>
          <w:rFonts w:ascii="宋体" w:eastAsia="宋体" w:hAnsi="宋体" w:cs="宋体" w:hint="eastAsia"/>
          <w:color w:val="000000"/>
          <w:szCs w:val="21"/>
          <w:lang w:val="en-US" w:eastAsia="zh-CN"/>
        </w:rPr>
        <w:tab/>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如果中标人未能在协议规定的限期或采购人同意延长的限期内提供部分或全部服务，采购人可向中标人发出书面的违约通知书，提出解除或终止部份或全部协议。采购人可在任何时候出于自身的便利向中标人发出书面通知终止部分合同，采购人在合同总价中扣除该终止部分服务的价款，并不再对中标人作出额外赔偿。</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b/>
          <w:bCs/>
          <w:color w:val="000000"/>
          <w:szCs w:val="21"/>
          <w:lang w:val="en-US" w:eastAsia="zh-CN"/>
        </w:rPr>
        <w:t>十三、税费</w:t>
      </w:r>
      <w:r>
        <w:rPr>
          <w:rFonts w:ascii="宋体" w:eastAsia="宋体" w:hAnsi="宋体" w:cs="宋体" w:hint="eastAsia"/>
          <w:color w:val="000000"/>
          <w:szCs w:val="21"/>
          <w:lang w:val="en-US" w:eastAsia="zh-CN"/>
        </w:rPr>
        <w:tab/>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outlineLvl w:val="9"/>
        <w:rPr>
          <w:rFonts w:ascii="宋体" w:eastAsia="宋体" w:hAnsi="宋体" w:cs="宋体" w:hint="eastAsia"/>
          <w:color w:val="000000"/>
          <w:szCs w:val="21"/>
          <w:lang w:val="en-US" w:eastAsia="zh-CN"/>
        </w:rPr>
      </w:pPr>
      <w:r>
        <w:rPr>
          <w:rFonts w:ascii="宋体" w:eastAsia="宋体" w:hAnsi="宋体" w:cs="宋体" w:hint="eastAsia"/>
          <w:color w:val="000000"/>
          <w:szCs w:val="21"/>
          <w:lang w:val="en-US" w:eastAsia="zh-CN"/>
        </w:rPr>
        <w:t>中国政府根据现行税法向中标人征收的与合同有关的一切税费均由中标人负责。</w:t>
      </w:r>
    </w:p>
    <w:p>
      <w:pPr>
        <w:pStyle w:val="Heading3"/>
        <w:spacing w:before="156" w:beforeLines="50" w:after="156" w:afterLines="50" w:line="400" w:lineRule="exact"/>
        <w:rPr>
          <w:rFonts w:hint="eastAsia"/>
          <w:sz w:val="28"/>
          <w:szCs w:val="28"/>
        </w:rPr>
      </w:pPr>
      <w:bookmarkStart w:id="351" w:name="_Toc13828"/>
      <w:bookmarkStart w:id="352" w:name="_Toc256000025"/>
      <w:r>
        <w:rPr>
          <w:rFonts w:hint="eastAsia"/>
          <w:sz w:val="28"/>
          <w:szCs w:val="28"/>
        </w:rPr>
        <w:t>三、服务清单</w:t>
      </w:r>
      <w:bookmarkEnd w:id="352"/>
      <w:bookmarkEnd w:id="348"/>
      <w:bookmarkEnd w:id="349"/>
      <w:bookmarkEnd w:id="350"/>
      <w:bookmarkEnd w:id="351"/>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25"/>
        <w:gridCol w:w="1715"/>
        <w:gridCol w:w="2428"/>
        <w:gridCol w:w="910"/>
        <w:gridCol w:w="759"/>
        <w:gridCol w:w="911"/>
        <w:gridCol w:w="1694"/>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505"/>
        </w:trPr>
        <w:tc>
          <w:tcPr>
            <w:tcW w:w="771"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color w:val="000000"/>
                <w:szCs w:val="21"/>
                <w:highlight w:val="none"/>
              </w:rPr>
            </w:pPr>
            <w:bookmarkStart w:id="353" w:name="_Toc25715"/>
            <w:bookmarkStart w:id="354" w:name="_Toc597"/>
            <w:bookmarkStart w:id="355" w:name="_Toc25283"/>
            <w:r>
              <w:rPr>
                <w:rFonts w:ascii="宋体" w:eastAsia="宋体" w:hAnsi="宋体" w:cs="宋体" w:hint="eastAsia"/>
                <w:color w:val="000000"/>
                <w:szCs w:val="21"/>
                <w:highlight w:val="none"/>
              </w:rPr>
              <w:t>序号</w:t>
            </w:r>
          </w:p>
        </w:tc>
        <w:tc>
          <w:tcPr>
            <w:tcW w:w="1602"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color w:val="000000"/>
                <w:szCs w:val="21"/>
                <w:highlight w:val="none"/>
              </w:rPr>
            </w:pPr>
            <w:r>
              <w:rPr>
                <w:rFonts w:ascii="宋体" w:eastAsia="宋体" w:hAnsi="宋体" w:cs="宋体" w:hint="eastAsia"/>
                <w:color w:val="000000"/>
                <w:szCs w:val="21"/>
                <w:highlight w:val="none"/>
              </w:rPr>
              <w:t>采购计划编号</w:t>
            </w:r>
          </w:p>
        </w:tc>
        <w:tc>
          <w:tcPr>
            <w:tcW w:w="2268"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color w:val="000000"/>
                <w:szCs w:val="21"/>
                <w:highlight w:val="none"/>
              </w:rPr>
            </w:pPr>
            <w:r>
              <w:rPr>
                <w:rFonts w:ascii="宋体" w:eastAsia="宋体" w:hAnsi="宋体" w:cs="宋体" w:hint="eastAsia"/>
                <w:color w:val="000000"/>
                <w:szCs w:val="21"/>
                <w:highlight w:val="none"/>
              </w:rPr>
              <w:t>需求内容</w:t>
            </w:r>
          </w:p>
        </w:tc>
        <w:tc>
          <w:tcPr>
            <w:tcW w:w="850"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color w:val="000000"/>
                <w:szCs w:val="21"/>
                <w:highlight w:val="none"/>
              </w:rPr>
            </w:pPr>
            <w:r>
              <w:rPr>
                <w:rFonts w:ascii="宋体" w:eastAsia="宋体" w:hAnsi="宋体" w:cs="宋体" w:hint="eastAsia"/>
                <w:color w:val="000000"/>
                <w:szCs w:val="21"/>
                <w:highlight w:val="none"/>
              </w:rPr>
              <w:t>数量</w:t>
            </w:r>
          </w:p>
        </w:tc>
        <w:tc>
          <w:tcPr>
            <w:tcW w:w="709"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color w:val="000000"/>
                <w:szCs w:val="21"/>
                <w:highlight w:val="none"/>
              </w:rPr>
            </w:pPr>
            <w:r>
              <w:rPr>
                <w:rFonts w:ascii="宋体" w:eastAsia="宋体" w:hAnsi="宋体" w:cs="宋体" w:hint="eastAsia"/>
                <w:color w:val="000000"/>
                <w:szCs w:val="21"/>
                <w:highlight w:val="none"/>
              </w:rPr>
              <w:t>单位</w:t>
            </w:r>
          </w:p>
        </w:tc>
        <w:tc>
          <w:tcPr>
            <w:tcW w:w="851"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color w:val="000000"/>
                <w:szCs w:val="21"/>
                <w:highlight w:val="none"/>
              </w:rPr>
            </w:pPr>
            <w:r>
              <w:rPr>
                <w:rFonts w:ascii="宋体" w:eastAsia="宋体" w:hAnsi="宋体" w:cs="宋体" w:hint="eastAsia"/>
                <w:color w:val="000000"/>
                <w:szCs w:val="21"/>
                <w:highlight w:val="none"/>
              </w:rPr>
              <w:t>备注</w:t>
            </w:r>
          </w:p>
        </w:tc>
        <w:tc>
          <w:tcPr>
            <w:tcW w:w="1581"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color w:val="000000"/>
                <w:szCs w:val="21"/>
                <w:highlight w:val="none"/>
              </w:rPr>
            </w:pPr>
            <w:r>
              <w:rPr>
                <w:rFonts w:ascii="宋体" w:eastAsia="宋体" w:hAnsi="宋体" w:cs="宋体" w:hint="eastAsia"/>
                <w:color w:val="000000"/>
                <w:szCs w:val="21"/>
                <w:highlight w:val="none"/>
              </w:rPr>
              <w:t>财政预算限额</w:t>
            </w:r>
          </w:p>
        </w:tc>
      </w:tr>
      <w:tr>
        <w:tblPrEx>
          <w:tblW w:w="5000" w:type="pct"/>
          <w:tblInd w:w="0" w:type="dxa"/>
          <w:tblLayout w:type="fixed"/>
          <w:tblCellMar>
            <w:top w:w="0" w:type="dxa"/>
            <w:left w:w="108" w:type="dxa"/>
            <w:bottom w:w="0" w:type="dxa"/>
            <w:right w:w="108" w:type="dxa"/>
          </w:tblCellMar>
        </w:tblPrEx>
        <w:trPr>
          <w:trHeight w:val="534"/>
        </w:trPr>
        <w:tc>
          <w:tcPr>
            <w:tcW w:w="771"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color w:val="000000"/>
                <w:szCs w:val="21"/>
                <w:highlight w:val="none"/>
              </w:rPr>
            </w:pPr>
            <w:r>
              <w:rPr>
                <w:rFonts w:ascii="宋体" w:eastAsia="宋体" w:hAnsi="宋体" w:cs="宋体" w:hint="eastAsia"/>
                <w:color w:val="000000"/>
                <w:szCs w:val="21"/>
                <w:highlight w:val="none"/>
              </w:rPr>
              <w:t>1</w:t>
            </w:r>
          </w:p>
        </w:tc>
        <w:tc>
          <w:tcPr>
            <w:tcW w:w="1602"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color w:val="000000"/>
                <w:szCs w:val="21"/>
                <w:highlight w:val="none"/>
              </w:rPr>
            </w:pPr>
          </w:p>
        </w:tc>
        <w:tc>
          <w:tcPr>
            <w:tcW w:w="2268" w:type="dxa"/>
            <w:noWrap w:val="0"/>
            <w:vAlign w:val="center"/>
          </w:tcPr>
          <w:p>
            <w:pPr>
              <w:keepNext w:val="0"/>
              <w:keepLines w:val="0"/>
              <w:suppressLineNumbers w:val="0"/>
              <w:adjustRightInd w:val="0"/>
              <w:snapToGrid w:val="0"/>
              <w:spacing w:before="0" w:beforeAutospacing="0" w:after="0" w:afterAutospacing="0"/>
              <w:ind w:left="0" w:right="0"/>
              <w:rPr>
                <w:rFonts w:ascii="宋体" w:eastAsia="宋体" w:hAnsi="宋体" w:cs="宋体" w:hint="eastAsia"/>
                <w:color w:val="000000"/>
                <w:szCs w:val="21"/>
                <w:highlight w:val="none"/>
                <w:lang w:eastAsia="zh-CN"/>
              </w:rPr>
            </w:pPr>
            <w:r>
              <w:rPr>
                <w:rFonts w:ascii="宋体" w:hAnsi="宋体" w:cs="宋体" w:hint="eastAsia"/>
                <w:color w:val="000000"/>
                <w:szCs w:val="21"/>
                <w:highlight w:val="none"/>
              </w:rPr>
              <w:t>为全市</w:t>
            </w:r>
            <w:r>
              <w:rPr>
                <w:rFonts w:ascii="宋体" w:hAnsi="宋体" w:cs="宋体" w:hint="eastAsia"/>
                <w:szCs w:val="21"/>
                <w:highlight w:val="none"/>
                <w:lang w:val="en-US" w:eastAsia="zh-CN"/>
              </w:rPr>
              <w:t>不超过</w:t>
            </w:r>
            <w:r>
              <w:rPr>
                <w:rFonts w:ascii="宋体" w:hAnsi="宋体" w:cs="宋体" w:hint="eastAsia"/>
                <w:szCs w:val="21"/>
                <w:highlight w:val="none"/>
              </w:rPr>
              <w:t>75名</w:t>
            </w:r>
            <w:r>
              <w:rPr>
                <w:rFonts w:ascii="宋体" w:hAnsi="宋体" w:cs="宋体" w:hint="eastAsia"/>
                <w:color w:val="000000"/>
                <w:szCs w:val="21"/>
                <w:highlight w:val="none"/>
              </w:rPr>
              <w:t>户籍重度残疾人提供一年的寄宿制托养服务</w:t>
            </w:r>
            <w:r>
              <w:rPr>
                <w:rFonts w:ascii="宋体" w:hAnsi="宋体" w:cs="宋体" w:hint="eastAsia"/>
                <w:color w:val="000000"/>
                <w:szCs w:val="21"/>
                <w:highlight w:val="none"/>
                <w:lang w:eastAsia="zh-CN"/>
              </w:rPr>
              <w:t>。</w:t>
            </w:r>
          </w:p>
        </w:tc>
        <w:tc>
          <w:tcPr>
            <w:tcW w:w="850"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color w:val="000000"/>
                <w:szCs w:val="21"/>
                <w:highlight w:val="none"/>
              </w:rPr>
            </w:pPr>
            <w:r>
              <w:rPr>
                <w:rFonts w:ascii="宋体" w:eastAsia="宋体" w:hAnsi="宋体" w:cs="宋体" w:hint="eastAsia"/>
                <w:color w:val="000000"/>
                <w:szCs w:val="21"/>
                <w:highlight w:val="none"/>
              </w:rPr>
              <w:t>1</w:t>
            </w:r>
          </w:p>
        </w:tc>
        <w:tc>
          <w:tcPr>
            <w:tcW w:w="709"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color w:val="000000"/>
                <w:szCs w:val="21"/>
                <w:highlight w:val="none"/>
              </w:rPr>
            </w:pPr>
            <w:r>
              <w:rPr>
                <w:rFonts w:ascii="宋体" w:eastAsia="宋体" w:hAnsi="宋体" w:cs="宋体" w:hint="eastAsia"/>
                <w:color w:val="000000"/>
                <w:szCs w:val="21"/>
                <w:highlight w:val="none"/>
              </w:rPr>
              <w:t>项</w:t>
            </w:r>
          </w:p>
        </w:tc>
        <w:tc>
          <w:tcPr>
            <w:tcW w:w="851"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color w:val="000000"/>
                <w:szCs w:val="21"/>
                <w:highlight w:val="none"/>
              </w:rPr>
            </w:pPr>
          </w:p>
        </w:tc>
        <w:tc>
          <w:tcPr>
            <w:tcW w:w="1581"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bCs/>
                <w:color w:val="000000"/>
                <w:szCs w:val="21"/>
                <w:highlight w:val="none"/>
              </w:rPr>
            </w:pPr>
            <w:r>
              <w:rPr>
                <w:rFonts w:ascii="宋体" w:eastAsia="宋体" w:hAnsi="宋体" w:cs="宋体" w:hint="eastAsia"/>
                <w:bCs/>
                <w:color w:val="000000"/>
                <w:szCs w:val="21"/>
                <w:highlight w:val="none"/>
                <w:lang w:val="en-US" w:eastAsia="zh-CN"/>
              </w:rPr>
              <w:t>532</w:t>
            </w:r>
            <w:r>
              <w:rPr>
                <w:rFonts w:ascii="宋体" w:eastAsia="宋体" w:hAnsi="宋体" w:cs="宋体" w:hint="eastAsia"/>
                <w:bCs/>
                <w:color w:val="000000"/>
                <w:szCs w:val="21"/>
                <w:highlight w:val="none"/>
              </w:rPr>
              <w:t>万元</w:t>
            </w:r>
          </w:p>
        </w:tc>
      </w:tr>
    </w:tbl>
    <w:p>
      <w:pPr>
        <w:pStyle w:val="Heading3"/>
        <w:spacing w:before="156" w:beforeLines="50" w:after="156" w:afterLines="50" w:line="360" w:lineRule="auto"/>
        <w:rPr>
          <w:rFonts w:hint="eastAsia"/>
          <w:sz w:val="28"/>
          <w:szCs w:val="28"/>
          <w:highlight w:val="none"/>
        </w:rPr>
      </w:pPr>
      <w:bookmarkStart w:id="356" w:name="_Toc7766"/>
      <w:bookmarkStart w:id="357" w:name="_Toc256000026"/>
      <w:r>
        <w:rPr>
          <w:rFonts w:hint="eastAsia"/>
          <w:sz w:val="28"/>
          <w:szCs w:val="28"/>
          <w:highlight w:val="none"/>
        </w:rPr>
        <w:t>四、具体技术要求</w:t>
      </w:r>
      <w:bookmarkEnd w:id="357"/>
      <w:bookmarkEnd w:id="353"/>
      <w:bookmarkEnd w:id="354"/>
      <w:bookmarkEnd w:id="355"/>
      <w:bookmarkEnd w:id="356"/>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b/>
          <w:bCs/>
          <w:color w:val="auto"/>
          <w:sz w:val="21"/>
          <w:szCs w:val="21"/>
          <w:highlight w:val="none"/>
        </w:rPr>
      </w:pPr>
      <w:bookmarkStart w:id="358" w:name="_Toc23864"/>
      <w:bookmarkStart w:id="359" w:name="_Toc21222"/>
      <w:bookmarkStart w:id="360" w:name="_Toc20331"/>
      <w:r>
        <w:rPr>
          <w:rFonts w:ascii="Times New Roman" w:hAnsi="Times New Roman" w:cs="Times New Roman" w:hint="default"/>
          <w:b/>
          <w:bCs/>
          <w:color w:val="auto"/>
          <w:sz w:val="21"/>
          <w:szCs w:val="21"/>
          <w:highlight w:val="none"/>
        </w:rPr>
        <w:t>一、服务内容</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（一）为全市</w:t>
      </w:r>
      <w:r>
        <w:rPr>
          <w:rFonts w:cs="Times New Roman" w:hint="eastAsia"/>
          <w:color w:val="auto"/>
          <w:sz w:val="21"/>
          <w:szCs w:val="21"/>
          <w:highlight w:val="none"/>
          <w:lang w:val="en-US" w:eastAsia="zh-CN"/>
        </w:rPr>
        <w:t>不超过</w:t>
      </w:r>
      <w:r>
        <w:rPr>
          <w:rFonts w:ascii="Times New Roman" w:hAnsi="Times New Roman" w:cs="Times New Roman" w:hint="default"/>
          <w:color w:val="auto"/>
          <w:sz w:val="21"/>
          <w:szCs w:val="21"/>
          <w:highlight w:val="none"/>
        </w:rPr>
        <w:t>75名户籍重度残疾人提供寄宿制托养服务。</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1.托养服务地点设置（或承诺中标后设置）在投标人营业场所内，空间相对独立封闭。</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2.残疾人托养主要服务内容是：基本生活照料、护理、心理康复、体能训练、生活自理能力训练、社会适应能力训练、娱乐休闲训练等综合服务。</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3.投标人根据自身实力、特色，在不挤占基本服务空间与内容的前提下，开展除基本服务外的一些特色服务项目。</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4.床位不少于80张，单人间使用面积不小于10平方米，合居型居室人均可使用面积不小于6平方米，卫生间应配备残疾人蹲位，居室和卫生间应配置紧急呼叫设备。</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（二）项目服务对象</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本项目以重度残疾人托养为基本定位，主要服务对象为深圳市户籍的16周岁至法定退休年龄段内的重度残疾人，包括：</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1.智力、精神和肢体残疾人；</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2.没有急性疾病、危重疾病、传染病，生命体征平稳；</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3.生活不能自理或生活大部分不能自理；</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4.长期卧床；</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5.家庭能提供一定的经济、人力支持。</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（三）托养模式</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医养融合模式开发、运营方案，方案合理、可行。</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（四）项目运作方式</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本项目采用委托运营的运作方式。具体内容包括：</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1.收费定价机制：基本经营内容按照深圳市物价局、医保局、民政局、残联相关规定进行无偿、有偿和低偿服务。</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2.项目投资收益水平：项目投资收益以满足公益性需求为主，投资收益率不高于同期同类项目水平。</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（五）风险分配</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本项目中标人承担项目运营过程中所有的商业风险，并承担相应责任。</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（六）项目费用</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项目费用按每人实际服务天数核算；若申请人在项目执行期间中途退出或导致服务中断，费用计算截止至服务停止当日。</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本项目费用由实际中标价格与申请人配套费用两部分组成。</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采购方按实际中标价格向中标方支付费用，该费用专项用于残疾人托养涉及的住宿、陪护、餐饮、生活耗材、基本医疗、康复等事项。​</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除采购方支付的上述项目费用外，中标人可向申请人收取配套费用，其标准为实际中标价格的10%。​</w:t>
      </w:r>
    </w:p>
    <w:p>
      <w:pPr>
        <w:pStyle w:val="NormalIndent"/>
        <w:keepNext w:val="0"/>
        <w:keepLines w:val="0"/>
        <w:pageBreakBefore w:val="0"/>
        <w:kinsoku/>
        <w:wordWrap/>
        <w:overflowPunct/>
        <w:topLinePunct w:val="0"/>
        <w:autoSpaceDE/>
        <w:autoSpaceDN/>
        <w:bidi w:val="0"/>
        <w:spacing w:line="360" w:lineRule="auto"/>
        <w:ind w:left="420" w:firstLine="17" w:leftChars="200" w:firstLineChars="8"/>
        <w:textAlignment w:val="auto"/>
        <w:outlineLvl w:val="9"/>
        <w:rPr>
          <w:rFonts w:ascii="Times New Roman" w:eastAsia="宋体" w:hAnsi="Times New Roman" w:cs="Times New Roman" w:hint="default"/>
          <w:color w:val="auto"/>
          <w:sz w:val="21"/>
          <w:szCs w:val="21"/>
          <w:highlight w:val="none"/>
          <w:lang w:val="en-US" w:eastAsia="zh-CN"/>
        </w:rPr>
      </w:pPr>
      <w:r>
        <w:rPr>
          <w:rFonts w:cs="Times New Roman" w:hint="eastAsia"/>
          <w:color w:val="auto"/>
          <w:sz w:val="21"/>
          <w:szCs w:val="21"/>
          <w:highlight w:val="none"/>
          <w:lang w:eastAsia="zh-CN"/>
        </w:rPr>
        <w:t>（</w:t>
      </w:r>
      <w:r>
        <w:rPr>
          <w:rFonts w:cs="Times New Roman" w:hint="eastAsia"/>
          <w:color w:val="auto"/>
          <w:sz w:val="21"/>
          <w:szCs w:val="21"/>
          <w:highlight w:val="none"/>
          <w:lang w:val="en-US" w:eastAsia="zh-CN"/>
        </w:rPr>
        <w:t>七</w:t>
      </w:r>
      <w:r>
        <w:rPr>
          <w:rFonts w:cs="Times New Roman" w:hint="eastAsia"/>
          <w:color w:val="auto"/>
          <w:sz w:val="21"/>
          <w:szCs w:val="21"/>
          <w:highlight w:val="none"/>
          <w:lang w:eastAsia="zh-CN"/>
        </w:rPr>
        <w:t>）</w:t>
      </w:r>
      <w:r>
        <w:rPr>
          <w:rFonts w:cs="Times New Roman" w:hint="eastAsia"/>
          <w:color w:val="auto"/>
          <w:sz w:val="21"/>
          <w:szCs w:val="21"/>
          <w:highlight w:val="none"/>
          <w:lang w:val="en-US" w:eastAsia="zh-CN"/>
        </w:rPr>
        <w:t>服务协议</w:t>
      </w:r>
      <w:r>
        <w:rPr>
          <w:rFonts w:cs="Times New Roman" w:hint="eastAsia"/>
          <w:color w:val="auto"/>
          <w:sz w:val="21"/>
          <w:szCs w:val="21"/>
          <w:highlight w:val="none"/>
          <w:lang w:val="en-US" w:eastAsia="zh-CN"/>
        </w:rPr>
        <w:br/>
      </w:r>
      <w:r>
        <w:rPr>
          <w:rFonts w:cs="Times New Roman" w:hint="eastAsia"/>
          <w:color w:val="auto"/>
          <w:sz w:val="21"/>
          <w:szCs w:val="21"/>
          <w:highlight w:val="none"/>
          <w:lang w:val="en-US" w:eastAsia="zh-CN"/>
        </w:rPr>
        <w:t>中标方需与服务对象监护人签订服务协议，服务协议内容由中标方自拟。</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b/>
          <w:bCs/>
          <w:color w:val="auto"/>
          <w:sz w:val="21"/>
          <w:szCs w:val="21"/>
          <w:highlight w:val="none"/>
        </w:rPr>
      </w:pPr>
      <w:r>
        <w:rPr>
          <w:rFonts w:ascii="Times New Roman" w:hAnsi="Times New Roman" w:cs="Times New Roman" w:hint="default"/>
          <w:b/>
          <w:bCs/>
          <w:color w:val="auto"/>
          <w:sz w:val="21"/>
          <w:szCs w:val="21"/>
          <w:highlight w:val="none"/>
        </w:rPr>
        <w:t>二、提交成果</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1.中标方须定期向采购方提交服务情况，具体要求如下：每周提交日常服务情况报告，说明当周服务的开展状况；每季度提交运行报告，汇报该季度的整体运行情况；第四季度需提交终期工作报告，内容应包括但不限于工作推进情况、取得的成果展示以及相关的改进建议等。</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lang w:val="en-US"/>
        </w:rPr>
      </w:pPr>
      <w:r>
        <w:rPr>
          <w:rFonts w:cs="Times New Roman" w:hint="eastAsia"/>
          <w:color w:val="auto"/>
          <w:sz w:val="21"/>
          <w:szCs w:val="21"/>
          <w:highlight w:val="none"/>
          <w:lang w:val="en-US" w:eastAsia="zh-CN"/>
        </w:rPr>
        <w:t>2.</w:t>
      </w:r>
      <w:r>
        <w:rPr>
          <w:rFonts w:ascii="Times New Roman" w:hAnsi="Times New Roman" w:cs="Times New Roman" w:hint="default"/>
          <w:color w:val="auto"/>
          <w:sz w:val="21"/>
          <w:szCs w:val="21"/>
          <w:highlight w:val="none"/>
          <w:lang w:val="en-US"/>
        </w:rPr>
        <w:t>第四季度提交深圳市残疾人托养服务调研报告，</w:t>
      </w:r>
      <w:r>
        <w:rPr>
          <w:rFonts w:cs="Times New Roman" w:hint="eastAsia"/>
          <w:color w:val="auto"/>
          <w:sz w:val="21"/>
          <w:szCs w:val="21"/>
          <w:highlight w:val="none"/>
          <w:lang w:val="en-US" w:eastAsia="zh-CN"/>
        </w:rPr>
        <w:t>报告</w:t>
      </w:r>
      <w:r>
        <w:rPr>
          <w:rFonts w:ascii="Times New Roman" w:hAnsi="Times New Roman" w:cs="Times New Roman" w:hint="default"/>
          <w:color w:val="auto"/>
          <w:sz w:val="21"/>
          <w:szCs w:val="21"/>
          <w:highlight w:val="none"/>
          <w:lang w:val="en-US"/>
        </w:rPr>
        <w:t>内容包括：深圳市残疾人对托养服务形式的实际需求、现有残疾人托养机构的资源现状、残疾人托养制度与长期护理保险的有效衔接路径探索，以及针对深圳市残疾人托养服务发展的优化建议。</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b/>
          <w:bCs/>
          <w:color w:val="auto"/>
          <w:sz w:val="21"/>
          <w:szCs w:val="21"/>
          <w:highlight w:val="none"/>
        </w:rPr>
      </w:pPr>
      <w:r>
        <w:rPr>
          <w:rFonts w:ascii="Times New Roman" w:hAnsi="Times New Roman" w:cs="Times New Roman" w:hint="default"/>
          <w:b/>
          <w:bCs/>
          <w:color w:val="auto"/>
          <w:sz w:val="21"/>
          <w:szCs w:val="21"/>
          <w:highlight w:val="none"/>
        </w:rPr>
        <w:t>三、人员要求</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管理人员：</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（1）项目设主任一名，</w:t>
      </w:r>
      <w:r>
        <w:rPr>
          <w:rFonts w:cs="Times New Roman" w:hint="eastAsia"/>
          <w:color w:val="auto"/>
          <w:sz w:val="21"/>
          <w:szCs w:val="21"/>
          <w:highlight w:val="none"/>
          <w:lang w:val="en-US" w:eastAsia="zh-CN"/>
        </w:rPr>
        <w:t>本科</w:t>
      </w:r>
      <w:r>
        <w:rPr>
          <w:rFonts w:ascii="Times New Roman" w:hAnsi="Times New Roman" w:cs="Times New Roman" w:hint="default"/>
          <w:color w:val="auto"/>
          <w:sz w:val="21"/>
          <w:szCs w:val="21"/>
          <w:highlight w:val="none"/>
        </w:rPr>
        <w:t>或以上学历，</w:t>
      </w:r>
      <w:r>
        <w:rPr>
          <w:rFonts w:cs="Times New Roman" w:hint="eastAsia"/>
          <w:color w:val="auto"/>
          <w:sz w:val="21"/>
          <w:szCs w:val="21"/>
          <w:highlight w:val="none"/>
          <w:lang w:val="en-US" w:eastAsia="zh-CN"/>
        </w:rPr>
        <w:t>正</w:t>
      </w:r>
      <w:r>
        <w:rPr>
          <w:rFonts w:ascii="Times New Roman" w:hAnsi="Times New Roman" w:cs="Times New Roman" w:hint="default"/>
          <w:color w:val="auto"/>
          <w:sz w:val="21"/>
          <w:szCs w:val="21"/>
          <w:highlight w:val="none"/>
        </w:rPr>
        <w:t>高</w:t>
      </w:r>
      <w:r>
        <w:rPr>
          <w:rFonts w:cs="Times New Roman" w:hint="eastAsia"/>
          <w:color w:val="auto"/>
          <w:sz w:val="21"/>
          <w:szCs w:val="21"/>
          <w:highlight w:val="none"/>
          <w:lang w:val="en-US" w:eastAsia="zh-CN"/>
        </w:rPr>
        <w:t>级</w:t>
      </w:r>
      <w:r>
        <w:rPr>
          <w:rFonts w:ascii="Times New Roman" w:hAnsi="Times New Roman" w:cs="Times New Roman" w:hint="default"/>
          <w:color w:val="auto"/>
          <w:sz w:val="21"/>
          <w:szCs w:val="21"/>
          <w:highlight w:val="none"/>
        </w:rPr>
        <w:t>职称，从事管理工作，具有社会工作类、社会福利类或康复类等相关学习或培训经历。</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（2）项目设</w:t>
      </w:r>
      <w:r>
        <w:rPr>
          <w:rFonts w:cs="Times New Roman" w:hint="eastAsia"/>
          <w:color w:val="auto"/>
          <w:sz w:val="21"/>
          <w:szCs w:val="21"/>
          <w:highlight w:val="none"/>
          <w:lang w:val="en-US" w:eastAsia="zh-CN"/>
        </w:rPr>
        <w:t>联络员</w:t>
      </w:r>
      <w:r>
        <w:rPr>
          <w:rFonts w:ascii="Times New Roman" w:hAnsi="Times New Roman" w:cs="Times New Roman" w:hint="default"/>
          <w:color w:val="auto"/>
          <w:sz w:val="21"/>
          <w:szCs w:val="21"/>
          <w:highlight w:val="none"/>
        </w:rPr>
        <w:t>一名，具有5年以上的康复医学经验，取得执业医师资格证书。</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（3）熟悉残疾人相关法律法规与政策，熟练掌握残疾人托养的基本知识、主要政策和专业知识。</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（4）每年至少参加1次以上管理培训活动。</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专业人员：</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（1）应配备相应的专业医务人员且康复治疗团队带头人应具备副高</w:t>
      </w:r>
      <w:r>
        <w:rPr>
          <w:rFonts w:cs="Times New Roman" w:hint="eastAsia"/>
          <w:color w:val="auto"/>
          <w:sz w:val="21"/>
          <w:szCs w:val="21"/>
          <w:highlight w:val="none"/>
          <w:lang w:val="en-US" w:eastAsia="zh-CN"/>
        </w:rPr>
        <w:t>级</w:t>
      </w:r>
      <w:r>
        <w:rPr>
          <w:rFonts w:ascii="Times New Roman" w:hAnsi="Times New Roman" w:cs="Times New Roman" w:hint="default"/>
          <w:color w:val="auto"/>
          <w:sz w:val="21"/>
          <w:szCs w:val="21"/>
          <w:highlight w:val="none"/>
        </w:rPr>
        <w:t>及以上职称。</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（2）应配备具有副高级及以上专业技术任职资格的医师不少于1人，具有中级以上专业技术职务任职资格的医师不少于2人，具有从事精神卫生资格专业人员不少于1人，康复治疗师不少于5人。</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（3）以上专业人员配置数量应以满足重度残疾人基本生活照料、护理、心理康复、体能训练、生活自理能力训练、社会适应能力训练、娱乐休闲训练等综合服务为原则。</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（4）以上专业人员应具有本人身份证明、健康证明。对需持证上岗的职业，应按有关法律法规规定持有效的从业资格和职业资格证书。</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服务人员：</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（1）根据服务对象需求配备适宜的护理员。护理人员与服务对象的比例最低不低于1:5。护理员中男女比例应根据实际情况配备。</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（2）提供24小时的安全保障服务。</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（3）可根据实际需要招募一定数量的社会工作者和志愿者。</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（4）应具有本人身份证明、健康证明，并接受过托养服务与专业培训。</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（5）应熟练掌握相应的业务知识和岗位技能，并接受过残疾人特殊生理与心理知识培训。</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（6）提供服务时应统一着装，挂胸牌。</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（7）每年至少参加12学时以上的业务培训活动。</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（8）遵纪守法，遵守职业道德，尊重和善待残疾人，对待服务对象应文明友善、耐心细致。</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cs="Times New Roman" w:hint="eastAsia"/>
          <w:color w:val="auto"/>
          <w:sz w:val="21"/>
          <w:szCs w:val="21"/>
          <w:highlight w:val="none"/>
          <w:lang w:val="en-US" w:eastAsia="zh-CN"/>
        </w:rPr>
      </w:pPr>
      <w:r>
        <w:rPr>
          <w:rFonts w:cs="Times New Roman" w:hint="eastAsia"/>
          <w:color w:val="auto"/>
          <w:sz w:val="21"/>
          <w:szCs w:val="21"/>
          <w:highlight w:val="none"/>
          <w:lang w:val="en-US" w:eastAsia="zh-CN"/>
        </w:rPr>
        <w:t>其他人员要求：</w:t>
      </w:r>
    </w:p>
    <w:p>
      <w:pPr>
        <w:pStyle w:val="NormalIndent"/>
        <w:keepNext w:val="0"/>
        <w:keepLines w:val="0"/>
        <w:pageBreakBefore w:val="0"/>
        <w:kinsoku/>
        <w:wordWrap/>
        <w:overflowPunct/>
        <w:topLinePunct w:val="0"/>
        <w:autoSpaceDE/>
        <w:autoSpaceDN/>
        <w:bidi w:val="0"/>
        <w:spacing w:line="360" w:lineRule="auto"/>
        <w:ind w:left="420" w:firstLine="17" w:leftChars="200" w:firstLineChars="8"/>
        <w:textAlignment w:val="auto"/>
        <w:outlineLvl w:val="9"/>
        <w:rPr>
          <w:rFonts w:ascii="宋体" w:hAnsi="宋体" w:cs="Times New Roman" w:hint="eastAsia"/>
          <w:b w:val="0"/>
          <w:bCs w:val="0"/>
          <w:color w:val="auto"/>
          <w:kern w:val="2"/>
          <w:sz w:val="21"/>
          <w:szCs w:val="21"/>
          <w:highlight w:val="none"/>
          <w:lang w:val="en-US" w:eastAsia="zh-CN" w:bidi="ar-SA"/>
        </w:rPr>
      </w:pPr>
      <w:r>
        <w:rPr>
          <w:rFonts w:ascii="宋体" w:hAnsi="宋体" w:cs="Times New Roman" w:hint="eastAsia"/>
          <w:b w:val="0"/>
          <w:bCs w:val="0"/>
          <w:color w:val="auto"/>
          <w:kern w:val="2"/>
          <w:sz w:val="21"/>
          <w:szCs w:val="21"/>
          <w:highlight w:val="none"/>
          <w:lang w:val="en-US" w:eastAsia="zh-CN" w:bidi="ar-SA"/>
        </w:rPr>
        <w:t>中标方能够针对托养人病情，按照亚危症、危症、急重、急危进行分级，按级别响应并进行救治。</w:t>
      </w:r>
    </w:p>
    <w:p>
      <w:pPr>
        <w:pStyle w:val="NormalIndent"/>
        <w:keepNext w:val="0"/>
        <w:keepLines w:val="0"/>
        <w:pageBreakBefore w:val="0"/>
        <w:kinsoku/>
        <w:wordWrap/>
        <w:overflowPunct/>
        <w:topLinePunct w:val="0"/>
        <w:autoSpaceDE/>
        <w:autoSpaceDN/>
        <w:bidi w:val="0"/>
        <w:spacing w:line="360" w:lineRule="auto"/>
        <w:ind w:left="420" w:firstLine="17" w:leftChars="200" w:firstLineChars="8"/>
        <w:textAlignment w:val="auto"/>
        <w:outlineLvl w:val="9"/>
        <w:rPr>
          <w:rFonts w:ascii="Times New Roman" w:hAnsi="Times New Roman" w:cs="Times New Roman" w:hint="default"/>
          <w:b/>
          <w:bCs/>
          <w:color w:val="auto"/>
          <w:sz w:val="21"/>
          <w:szCs w:val="21"/>
          <w:highlight w:val="none"/>
        </w:rPr>
      </w:pPr>
      <w:r>
        <w:rPr>
          <w:rFonts w:ascii="Times New Roman" w:hAnsi="Times New Roman" w:cs="Times New Roman" w:hint="default"/>
          <w:b/>
          <w:bCs/>
          <w:color w:val="auto"/>
          <w:sz w:val="21"/>
          <w:szCs w:val="21"/>
          <w:highlight w:val="none"/>
        </w:rPr>
        <w:t>四、项目拟使用的车辆、场地、工具、机器等要求</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常规设备：</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eastAsia="宋体" w:hAnsi="Times New Roman" w:cs="Times New Roman" w:hint="eastAsia"/>
          <w:color w:val="auto"/>
          <w:sz w:val="21"/>
          <w:szCs w:val="21"/>
          <w:highlight w:val="none"/>
          <w:lang w:eastAsia="zh-CN"/>
        </w:rPr>
      </w:pPr>
      <w:r>
        <w:rPr>
          <w:rFonts w:ascii="Times New Roman" w:hAnsi="Times New Roman" w:cs="Times New Roman" w:hint="default"/>
          <w:color w:val="auto"/>
          <w:sz w:val="21"/>
          <w:szCs w:val="21"/>
          <w:highlight w:val="none"/>
        </w:rPr>
        <w:t>显微镜、自动生化分析仪、血球计数器、DR、彩超、灌肠器、供氧装置、紫外线灯、洗衣机、电冰箱、高压灭菌器具等</w:t>
      </w:r>
      <w:r>
        <w:rPr>
          <w:rFonts w:cs="Times New Roman" w:hint="eastAsia"/>
          <w:color w:val="auto"/>
          <w:sz w:val="21"/>
          <w:szCs w:val="21"/>
          <w:highlight w:val="none"/>
          <w:lang w:eastAsia="zh-CN"/>
        </w:rPr>
        <w:t>。</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专业服务设备：</w:t>
      </w:r>
      <w:r>
        <w:rPr>
          <w:rFonts w:ascii="Times New Roman" w:hAnsi="Times New Roman" w:cs="Times New Roman" w:hint="default"/>
          <w:color w:val="auto"/>
          <w:sz w:val="21"/>
          <w:szCs w:val="21"/>
          <w:highlight w:val="none"/>
        </w:rPr>
        <w:tab/>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1）运动治疗训练用垫和床、训练用梯、姿势矫正镜、训练用棍和球、常用规格的沙袋和哑铃、手指肌训练器、腔四头肌训练器、前臂琏转训练器、滑轮吊环、常用规格的拐杖、平衡杠、常用规格的轮椅、助行器。</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（2）作业治疗用磨板、插扳、插件、螺栓、滚筒、训练用球类、日常生活训练用具。</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（3）物理治疗用中频治疗机、低频脉冲治疗机、超短波治疗机、红外线治疗机、颈椎牵引设备、腰椎牵引设备。</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（4）传统康复治疗用的针灸用具、人体经络穴位示意用品、按摩用品。</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（5）语言治疗用录音机或语盲治疗机、非语言交流写字画板语言治疗和测评用具（实物、图片、卡片记录本等）。</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color w:val="auto"/>
          <w:sz w:val="21"/>
          <w:szCs w:val="21"/>
          <w:highlight w:val="none"/>
        </w:rPr>
      </w:pPr>
      <w:r>
        <w:rPr>
          <w:rFonts w:ascii="Times New Roman" w:hAnsi="Times New Roman" w:cs="Times New Roman" w:hint="default"/>
          <w:color w:val="auto"/>
          <w:sz w:val="21"/>
          <w:szCs w:val="21"/>
          <w:highlight w:val="none"/>
        </w:rPr>
        <w:t>（6）功能测评用关节角度测量仪、心电图机、脑电图机、血压计。</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Times New Roman" w:hAnsi="Times New Roman" w:cs="Times New Roman" w:hint="default"/>
          <w:b/>
          <w:bCs/>
          <w:color w:val="auto"/>
          <w:sz w:val="21"/>
          <w:szCs w:val="21"/>
          <w:highlight w:val="none"/>
        </w:rPr>
      </w:pPr>
      <w:r>
        <w:rPr>
          <w:rFonts w:ascii="Times New Roman" w:hAnsi="Times New Roman" w:cs="Times New Roman" w:hint="default"/>
          <w:b/>
          <w:bCs/>
          <w:color w:val="auto"/>
          <w:sz w:val="21"/>
          <w:szCs w:val="21"/>
          <w:highlight w:val="none"/>
        </w:rPr>
        <w:t>五、验收要求</w:t>
      </w:r>
    </w:p>
    <w:p>
      <w:pPr>
        <w:pStyle w:val="NormalIndent"/>
        <w:keepNext w:val="0"/>
        <w:keepLines w:val="0"/>
        <w:pageBreakBefore w:val="0"/>
        <w:kinsoku/>
        <w:wordWrap/>
        <w:overflowPunct/>
        <w:topLinePunct w:val="0"/>
        <w:autoSpaceDE/>
        <w:autoSpaceDN/>
        <w:bidi w:val="0"/>
        <w:spacing w:line="360" w:lineRule="auto"/>
        <w:ind w:firstLine="439" w:firstLineChars="209"/>
        <w:textAlignment w:val="auto"/>
        <w:outlineLvl w:val="9"/>
        <w:rPr>
          <w:rFonts w:ascii="宋体" w:eastAsia="宋体" w:hAnsi="宋体" w:cs="宋体" w:hint="default"/>
          <w:b/>
          <w:bCs/>
          <w:kern w:val="0"/>
          <w:sz w:val="22"/>
          <w:szCs w:val="24"/>
          <w:lang w:val="en-US" w:eastAsia="zh-CN" w:bidi="ar-SA"/>
        </w:rPr>
      </w:pPr>
      <w:r>
        <w:rPr>
          <w:rFonts w:ascii="Times New Roman" w:hAnsi="Times New Roman" w:cs="Times New Roman" w:hint="default"/>
          <w:color w:val="auto"/>
          <w:sz w:val="21"/>
          <w:szCs w:val="21"/>
          <w:highlight w:val="none"/>
        </w:rPr>
        <w:t>自行按照合同约定服务事项验收。</w:t>
      </w:r>
    </w:p>
    <w:p>
      <w:pPr>
        <w:pStyle w:val="Heading3"/>
        <w:spacing w:before="156" w:beforeLines="50" w:after="156" w:afterLines="50" w:line="360" w:lineRule="auto"/>
        <w:rPr>
          <w:rFonts w:hint="eastAsia"/>
          <w:sz w:val="28"/>
          <w:szCs w:val="28"/>
        </w:rPr>
      </w:pPr>
      <w:bookmarkStart w:id="361" w:name="_Toc14719"/>
      <w:bookmarkStart w:id="362" w:name="_Toc256000027"/>
      <w:r>
        <w:rPr>
          <w:rFonts w:hint="eastAsia"/>
          <w:sz w:val="28"/>
          <w:szCs w:val="28"/>
        </w:rPr>
        <w:t>五、实质性条款</w:t>
      </w:r>
      <w:bookmarkEnd w:id="362"/>
      <w:bookmarkEnd w:id="358"/>
      <w:bookmarkEnd w:id="359"/>
      <w:bookmarkEnd w:id="360"/>
      <w:bookmarkEnd w:id="361"/>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05"/>
        <w:gridCol w:w="1206"/>
        <w:gridCol w:w="6189"/>
        <w:gridCol w:w="884"/>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31"/>
          <w:jc w:val="center"/>
        </w:trPr>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kern w:val="0"/>
                <w:szCs w:val="21"/>
              </w:rPr>
            </w:pPr>
            <w:r>
              <w:rPr>
                <w:rFonts w:ascii="宋体" w:eastAsia="宋体" w:hAnsi="宋体" w:cs="Times New Roman" w:hint="eastAsia"/>
                <w:kern w:val="0"/>
                <w:szCs w:val="21"/>
              </w:rPr>
              <w:t>序号</w:t>
            </w:r>
          </w:p>
        </w:tc>
        <w:tc>
          <w:tcPr>
            <w:tcW w:w="739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kern w:val="0"/>
                <w:szCs w:val="21"/>
              </w:rPr>
            </w:pPr>
            <w:r>
              <w:rPr>
                <w:rFonts w:ascii="宋体" w:eastAsia="宋体" w:hAnsi="宋体" w:cs="Times New Roman" w:hint="eastAsia"/>
                <w:kern w:val="0"/>
                <w:szCs w:val="21"/>
              </w:rPr>
              <w:t>实质性条款具体内容</w:t>
            </w:r>
          </w:p>
        </w:tc>
        <w:tc>
          <w:tcPr>
            <w:tcW w:w="884"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kern w:val="0"/>
                <w:szCs w:val="21"/>
              </w:rPr>
            </w:pPr>
            <w:r>
              <w:rPr>
                <w:rFonts w:ascii="Calibri" w:eastAsia="宋体" w:hAnsi="Calibri" w:cs="Times New Roman" w:hint="eastAsia"/>
              </w:rPr>
              <w:t>说明</w:t>
            </w:r>
          </w:p>
        </w:tc>
      </w:tr>
      <w:tr>
        <w:tblPrEx>
          <w:tblW w:w="0" w:type="auto"/>
          <w:jc w:val="center"/>
          <w:tblLayout w:type="fixed"/>
          <w:tblCellMar>
            <w:top w:w="0" w:type="dxa"/>
            <w:left w:w="108" w:type="dxa"/>
            <w:bottom w:w="0" w:type="dxa"/>
            <w:right w:w="108" w:type="dxa"/>
          </w:tblCellMar>
        </w:tblPrEx>
        <w:trPr>
          <w:trHeight w:val="727"/>
          <w:jc w:val="center"/>
        </w:trPr>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kern w:val="0"/>
                <w:szCs w:val="21"/>
              </w:rPr>
            </w:pPr>
            <w:r>
              <w:rPr>
                <w:rFonts w:ascii="宋体" w:eastAsia="宋体" w:hAnsi="宋体" w:cs="Times New Roman" w:hint="eastAsia"/>
                <w:kern w:val="0"/>
                <w:szCs w:val="21"/>
              </w:rPr>
              <w:t>1</w:t>
            </w:r>
          </w:p>
        </w:tc>
        <w:tc>
          <w:tcPr>
            <w:tcW w:w="1206" w:type="dxa"/>
            <w:noWrap w:val="0"/>
            <w:vAlign w:val="center"/>
          </w:tcPr>
          <w:p>
            <w:pPr>
              <w:keepNext w:val="0"/>
              <w:keepLines w:val="0"/>
              <w:suppressLineNumbers w:val="0"/>
              <w:adjustRightInd w:val="0"/>
              <w:snapToGrid w:val="0"/>
              <w:spacing w:before="0" w:beforeAutospacing="0" w:after="0" w:afterAutospacing="0"/>
              <w:ind w:left="0" w:right="0"/>
              <w:jc w:val="center"/>
              <w:rPr>
                <w:rFonts w:ascii="Calibri" w:eastAsia="宋体" w:hAnsi="宋体" w:cs="Times New Roman" w:hint="eastAsia"/>
                <w:kern w:val="0"/>
                <w:szCs w:val="21"/>
              </w:rPr>
            </w:pPr>
            <w:r>
              <w:rPr>
                <w:rFonts w:ascii="Calibri" w:eastAsia="宋体" w:hAnsi="Calibri" w:cs="Times New Roman" w:hint="eastAsia"/>
                <w:b/>
                <w:bCs/>
              </w:rPr>
              <w:t>报价要求</w:t>
            </w:r>
          </w:p>
        </w:tc>
        <w:tc>
          <w:tcPr>
            <w:tcW w:w="6189" w:type="dxa"/>
            <w:noWrap w:val="0"/>
            <w:vAlign w:val="center"/>
          </w:tcPr>
          <w:p>
            <w:pPr>
              <w:keepNext w:val="0"/>
              <w:keepLines w:val="0"/>
              <w:suppressLineNumbers w:val="0"/>
              <w:adjustRightInd w:val="0"/>
              <w:snapToGrid w:val="0"/>
              <w:spacing w:before="0" w:beforeAutospacing="0" w:after="0" w:afterAutospacing="0"/>
              <w:ind w:left="0" w:right="0"/>
              <w:rPr>
                <w:rFonts w:ascii="Calibri" w:eastAsia="宋体" w:hAnsi="宋体" w:cs="Times New Roman"/>
                <w:kern w:val="0"/>
                <w:szCs w:val="21"/>
              </w:rPr>
            </w:pPr>
            <w:r>
              <w:rPr>
                <w:rFonts w:ascii="Calibri" w:eastAsia="宋体" w:hAnsi="宋体" w:cs="Times New Roman" w:hint="eastAsia"/>
                <w:kern w:val="0"/>
                <w:szCs w:val="21"/>
              </w:rPr>
              <w:t>投标报价不能超过预算</w:t>
            </w:r>
            <w:r>
              <w:rPr>
                <w:rFonts w:ascii="Calibri" w:eastAsia="宋体" w:hAnsi="Calibri" w:cs="Times New Roman" w:hint="eastAsia"/>
                <w:lang w:val="en-US" w:eastAsia="zh-CN"/>
              </w:rPr>
              <w:t>5,320,000</w:t>
            </w:r>
            <w:r>
              <w:rPr>
                <w:rFonts w:ascii="Calibri" w:eastAsia="宋体" w:hAnsi="宋体" w:cs="Times New Roman" w:hint="eastAsia"/>
                <w:kern w:val="0"/>
                <w:szCs w:val="21"/>
              </w:rPr>
              <w:t>元，否则将投标无效</w:t>
            </w:r>
          </w:p>
        </w:tc>
        <w:tc>
          <w:tcPr>
            <w:tcW w:w="884" w:type="dxa"/>
            <w:noWrap w:val="0"/>
            <w:vAlign w:val="top"/>
          </w:tcPr>
          <w:p>
            <w:pPr>
              <w:keepNext w:val="0"/>
              <w:keepLines w:val="0"/>
              <w:suppressLineNumbers w:val="0"/>
              <w:adjustRightInd w:val="0"/>
              <w:snapToGrid w:val="0"/>
              <w:spacing w:before="0" w:beforeAutospacing="0" w:after="0" w:afterAutospacing="0"/>
              <w:ind w:left="0" w:right="0"/>
              <w:rPr>
                <w:rFonts w:ascii="宋体" w:eastAsia="宋体" w:hAnsi="宋体" w:cs="Times New Roman"/>
                <w:kern w:val="0"/>
                <w:szCs w:val="21"/>
              </w:rPr>
            </w:pPr>
          </w:p>
        </w:tc>
      </w:tr>
      <w:tr>
        <w:tblPrEx>
          <w:tblW w:w="0" w:type="auto"/>
          <w:jc w:val="center"/>
          <w:tblLayout w:type="fixed"/>
          <w:tblCellMar>
            <w:top w:w="0" w:type="dxa"/>
            <w:left w:w="108" w:type="dxa"/>
            <w:bottom w:w="0" w:type="dxa"/>
            <w:right w:w="108" w:type="dxa"/>
          </w:tblCellMar>
        </w:tblPrEx>
        <w:trPr>
          <w:trHeight w:val="983"/>
          <w:jc w:val="center"/>
        </w:trPr>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kern w:val="0"/>
                <w:szCs w:val="21"/>
              </w:rPr>
            </w:pPr>
            <w:r>
              <w:rPr>
                <w:rFonts w:ascii="宋体" w:eastAsia="宋体" w:hAnsi="宋体" w:cs="Times New Roman" w:hint="eastAsia"/>
                <w:kern w:val="0"/>
                <w:szCs w:val="21"/>
              </w:rPr>
              <w:t>2</w:t>
            </w:r>
          </w:p>
        </w:tc>
        <w:tc>
          <w:tcPr>
            <w:tcW w:w="1206" w:type="dxa"/>
            <w:noWrap w:val="0"/>
            <w:vAlign w:val="center"/>
          </w:tcPr>
          <w:p>
            <w:pPr>
              <w:keepNext w:val="0"/>
              <w:keepLines w:val="0"/>
              <w:suppressLineNumbers w:val="0"/>
              <w:adjustRightInd w:val="0"/>
              <w:snapToGrid w:val="0"/>
              <w:spacing w:before="0" w:beforeAutospacing="0" w:after="0" w:afterAutospacing="0"/>
              <w:ind w:left="0" w:right="0"/>
              <w:jc w:val="center"/>
              <w:rPr>
                <w:rFonts w:ascii="Calibri" w:eastAsia="宋体" w:hAnsi="宋体" w:cs="Times New Roman"/>
                <w:kern w:val="0"/>
                <w:szCs w:val="21"/>
              </w:rPr>
            </w:pPr>
            <w:r>
              <w:rPr>
                <w:rFonts w:ascii="宋体" w:eastAsia="宋体" w:hAnsi="宋体" w:cs="宋体" w:hint="eastAsia"/>
                <w:b/>
                <w:bCs/>
                <w:szCs w:val="21"/>
              </w:rPr>
              <w:t>服务期限</w:t>
            </w:r>
          </w:p>
        </w:tc>
        <w:tc>
          <w:tcPr>
            <w:tcW w:w="6189" w:type="dxa"/>
            <w:noWrap w:val="0"/>
            <w:vAlign w:val="center"/>
          </w:tcPr>
          <w:p>
            <w:pPr>
              <w:keepNext w:val="0"/>
              <w:keepLines w:val="0"/>
              <w:suppressLineNumbers w:val="0"/>
              <w:spacing w:before="0" w:beforeAutospacing="0" w:after="0" w:afterAutospacing="0"/>
              <w:ind w:left="0" w:right="0"/>
              <w:rPr>
                <w:rFonts w:ascii="Calibri" w:eastAsia="宋体" w:hAnsi="宋体" w:cs="Times New Roman"/>
                <w:kern w:val="0"/>
                <w:szCs w:val="21"/>
              </w:rPr>
            </w:pPr>
            <w:r>
              <w:rPr>
                <w:rFonts w:ascii="Calibri" w:eastAsia="宋体" w:hAnsi="宋体" w:cs="Times New Roman" w:hint="eastAsia"/>
                <w:kern w:val="0"/>
                <w:szCs w:val="21"/>
              </w:rPr>
              <w:t>本项目服务期自残疾人入住并开始接受乙方服务之日起1年。</w:t>
            </w:r>
          </w:p>
        </w:tc>
        <w:tc>
          <w:tcPr>
            <w:tcW w:w="884" w:type="dxa"/>
            <w:noWrap w:val="0"/>
            <w:vAlign w:val="top"/>
          </w:tcPr>
          <w:p>
            <w:pPr>
              <w:keepNext w:val="0"/>
              <w:keepLines w:val="0"/>
              <w:suppressLineNumbers w:val="0"/>
              <w:adjustRightInd w:val="0"/>
              <w:snapToGrid w:val="0"/>
              <w:spacing w:before="0" w:beforeAutospacing="0" w:after="0" w:afterAutospacing="0"/>
              <w:ind w:left="0" w:right="0"/>
              <w:rPr>
                <w:rFonts w:ascii="宋体" w:eastAsia="宋体" w:hAnsi="宋体" w:cs="Times New Roman"/>
                <w:kern w:val="0"/>
                <w:szCs w:val="21"/>
              </w:rPr>
            </w:pPr>
          </w:p>
        </w:tc>
      </w:tr>
      <w:tr>
        <w:tblPrEx>
          <w:tblW w:w="0" w:type="auto"/>
          <w:jc w:val="center"/>
          <w:tblLayout w:type="fixed"/>
          <w:tblCellMar>
            <w:top w:w="0" w:type="dxa"/>
            <w:left w:w="108" w:type="dxa"/>
            <w:bottom w:w="0" w:type="dxa"/>
            <w:right w:w="108" w:type="dxa"/>
          </w:tblCellMar>
        </w:tblPrEx>
        <w:trPr>
          <w:trHeight w:val="983"/>
          <w:jc w:val="center"/>
        </w:trPr>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eastAsia"/>
                <w:kern w:val="0"/>
                <w:szCs w:val="21"/>
              </w:rPr>
            </w:pPr>
            <w:r>
              <w:rPr>
                <w:rFonts w:ascii="宋体" w:eastAsia="宋体" w:hAnsi="宋体" w:cs="Times New Roman" w:hint="eastAsia"/>
                <w:kern w:val="0"/>
                <w:szCs w:val="21"/>
              </w:rPr>
              <w:t>3</w:t>
            </w:r>
          </w:p>
        </w:tc>
        <w:tc>
          <w:tcPr>
            <w:tcW w:w="1206"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b/>
                <w:bCs/>
                <w:szCs w:val="21"/>
              </w:rPr>
            </w:pPr>
            <w:r>
              <w:rPr>
                <w:rFonts w:ascii="宋体" w:eastAsia="宋体" w:hAnsi="宋体" w:cs="宋体" w:hint="eastAsia"/>
                <w:b/>
                <w:bCs/>
                <w:szCs w:val="21"/>
              </w:rPr>
              <w:t>标★号项目</w:t>
            </w:r>
          </w:p>
        </w:tc>
        <w:tc>
          <w:tcPr>
            <w:tcW w:w="6189" w:type="dxa"/>
            <w:noWrap w:val="0"/>
            <w:vAlign w:val="center"/>
          </w:tcPr>
          <w:p>
            <w:pPr>
              <w:keepNext w:val="0"/>
              <w:keepLines w:val="0"/>
              <w:suppressLineNumbers w:val="0"/>
              <w:spacing w:before="0" w:beforeAutospacing="0" w:after="0" w:afterAutospacing="0"/>
              <w:ind w:left="0" w:right="0"/>
              <w:rPr>
                <w:rFonts w:ascii="宋体" w:eastAsia="宋体" w:hAnsi="宋体" w:cs="Times New Roman"/>
                <w:color w:val="000000"/>
              </w:rPr>
            </w:pPr>
            <w:r>
              <w:rPr>
                <w:rFonts w:ascii="宋体" w:eastAsia="宋体" w:hAnsi="宋体" w:cs="Times New Roman" w:hint="eastAsia"/>
                <w:color w:val="000000"/>
              </w:rPr>
              <w:t>完全满足</w:t>
            </w:r>
            <w:r>
              <w:rPr>
                <w:rFonts w:ascii="宋体" w:eastAsia="宋体" w:hAnsi="宋体" w:cs="宋体" w:hint="eastAsia"/>
                <w:szCs w:val="21"/>
              </w:rPr>
              <w:t>标★号项目要求</w:t>
            </w:r>
          </w:p>
        </w:tc>
        <w:tc>
          <w:tcPr>
            <w:tcW w:w="884" w:type="dxa"/>
            <w:noWrap w:val="0"/>
            <w:vAlign w:val="top"/>
          </w:tcPr>
          <w:p>
            <w:pPr>
              <w:keepNext w:val="0"/>
              <w:keepLines w:val="0"/>
              <w:suppressLineNumbers w:val="0"/>
              <w:adjustRightInd w:val="0"/>
              <w:snapToGrid w:val="0"/>
              <w:spacing w:before="0" w:beforeAutospacing="0" w:after="0" w:afterAutospacing="0"/>
              <w:ind w:left="0" w:right="0"/>
              <w:rPr>
                <w:rFonts w:ascii="宋体" w:eastAsia="宋体" w:hAnsi="宋体" w:cs="Times New Roman"/>
                <w:kern w:val="0"/>
                <w:szCs w:val="21"/>
              </w:rPr>
            </w:pPr>
          </w:p>
        </w:tc>
      </w:tr>
    </w:tbl>
    <w:p/>
    <w:p>
      <w:pPr>
        <w:rPr>
          <w:rFonts w:hint="eastAsia"/>
        </w:rPr>
      </w:pPr>
      <w:r>
        <w:rPr>
          <w:rFonts w:ascii="宋体"/>
          <w:b/>
          <w:kern w:val="0"/>
          <w:sz w:val="24"/>
          <w:szCs w:val="20"/>
        </w:rPr>
        <w:t>注：上表所列内容为不可负偏离条款，负偏离将视为未实质性满足招标文件要求和条件作投标无效处理。</w:t>
      </w:r>
    </w:p>
    <w:p>
      <w:pPr>
        <w:pStyle w:val="Heading2"/>
        <w:spacing w:before="140" w:after="140"/>
        <w:jc w:val="center"/>
      </w:pPr>
      <w:r>
        <w:rPr>
          <w:rFonts w:ascii="宋体" w:eastAsia="宋体" w:hAnsi="宋体"/>
          <w:kern w:val="0"/>
          <w:sz w:val="21"/>
          <w:szCs w:val="21"/>
        </w:rPr>
        <w:br w:type="page"/>
      </w:r>
      <w:bookmarkStart w:id="363" w:name="_Toc31571"/>
      <w:bookmarkStart w:id="364" w:name="_Toc31112"/>
      <w:bookmarkStart w:id="365" w:name="_Toc22273"/>
      <w:bookmarkStart w:id="366" w:name="_Toc3925"/>
      <w:bookmarkStart w:id="367" w:name="_Toc256000028"/>
      <w:r>
        <w:rPr>
          <w:rFonts w:hint="eastAsia"/>
        </w:rPr>
        <w:t>第四章  合同条款及格式</w:t>
      </w:r>
      <w:bookmarkEnd w:id="367"/>
      <w:bookmarkEnd w:id="363"/>
      <w:bookmarkEnd w:id="364"/>
      <w:bookmarkEnd w:id="365"/>
      <w:bookmarkEnd w:id="366"/>
    </w:p>
    <w:p>
      <w:pPr>
        <w:spacing w:line="360" w:lineRule="auto"/>
        <w:jc w:val="left"/>
        <w:rPr>
          <w:rFonts w:ascii="宋体" w:hAnsi="宋体" w:hint="eastAsia"/>
          <w:szCs w:val="21"/>
        </w:rPr>
      </w:pPr>
      <w:bookmarkStart w:id="368" w:name="合同协议书"/>
      <w:r>
        <w:rPr>
          <w:rFonts w:ascii="宋体" w:hAnsi="宋体" w:hint="eastAsia"/>
          <w:szCs w:val="21"/>
        </w:rPr>
        <w:t>（本合同条件仅供参考，招标人有权就具体条款进行调整与修订，以最终签订的合同文本为准）</w:t>
      </w:r>
    </w:p>
    <w:p>
      <w:pPr>
        <w:adjustRightInd w:val="0"/>
        <w:snapToGrid w:val="0"/>
        <w:spacing w:line="360" w:lineRule="auto"/>
        <w:rPr>
          <w:rFonts w:ascii="宋体" w:hAnsi="宋体" w:hint="eastAsia"/>
          <w:color w:val="000000"/>
          <w:szCs w:val="21"/>
        </w:rPr>
      </w:pPr>
    </w:p>
    <w:p>
      <w:pPr>
        <w:spacing w:line="360" w:lineRule="auto"/>
        <w:jc w:val="left"/>
        <w:rPr>
          <w:rFonts w:hint="eastAsia"/>
          <w:szCs w:val="21"/>
        </w:rPr>
      </w:pPr>
      <w:r>
        <w:rPr>
          <w:rFonts w:hint="eastAsia"/>
          <w:szCs w:val="21"/>
        </w:rPr>
        <w:t>采购人：</w:t>
      </w:r>
      <w:r>
        <w:rPr>
          <w:rFonts w:hint="eastAsia"/>
          <w:szCs w:val="21"/>
          <w:u w:val="single"/>
        </w:rPr>
        <w:t xml:space="preserve">           </w:t>
      </w:r>
    </w:p>
    <w:p>
      <w:pPr>
        <w:spacing w:line="360" w:lineRule="auto"/>
        <w:jc w:val="left"/>
        <w:rPr>
          <w:rFonts w:hint="eastAsia"/>
          <w:szCs w:val="21"/>
        </w:rPr>
      </w:pPr>
      <w:r>
        <w:rPr>
          <w:rFonts w:hint="eastAsia"/>
          <w:szCs w:val="21"/>
        </w:rPr>
        <w:t>供应商：</w:t>
      </w:r>
      <w:r>
        <w:rPr>
          <w:rFonts w:hint="eastAsia"/>
          <w:szCs w:val="21"/>
          <w:u w:val="single"/>
        </w:rPr>
        <w:t xml:space="preserve">           </w:t>
      </w:r>
    </w:p>
    <w:p>
      <w:pPr>
        <w:spacing w:line="360" w:lineRule="auto"/>
        <w:rPr>
          <w:rFonts w:ascii="宋体" w:hAnsi="宋体" w:hint="eastAsia"/>
          <w:szCs w:val="21"/>
        </w:rPr>
      </w:pPr>
    </w:p>
    <w:p>
      <w:pPr>
        <w:spacing w:line="360" w:lineRule="auto"/>
        <w:ind w:firstLine="420" w:firstLineChars="200"/>
        <w:rPr>
          <w:rFonts w:ascii="宋体" w:hAnsi="宋体" w:hint="eastAsia"/>
          <w:szCs w:val="21"/>
        </w:rPr>
      </w:pPr>
      <w:r>
        <w:rPr>
          <w:rFonts w:ascii="宋体" w:hAnsi="宋体" w:hint="eastAsia"/>
          <w:szCs w:val="21"/>
        </w:rPr>
        <w:t>根据</w:t>
      </w:r>
      <w:r>
        <w:rPr>
          <w:rFonts w:ascii="宋体" w:hAnsi="宋体" w:hint="eastAsia"/>
          <w:szCs w:val="21"/>
          <w:u w:val="single"/>
        </w:rPr>
        <w:t xml:space="preserve">          </w:t>
      </w:r>
      <w:r>
        <w:rPr>
          <w:rFonts w:ascii="宋体" w:hAnsi="宋体" w:hint="eastAsia"/>
          <w:szCs w:val="21"/>
        </w:rPr>
        <w:t>号招标项目的投标结果，由</w:t>
      </w:r>
      <w:r>
        <w:rPr>
          <w:rFonts w:ascii="宋体" w:hAnsi="宋体" w:hint="eastAsia"/>
          <w:szCs w:val="21"/>
          <w:u w:val="single"/>
        </w:rPr>
        <w:t xml:space="preserve">             </w:t>
      </w:r>
      <w:r>
        <w:rPr>
          <w:rFonts w:ascii="宋体" w:hAnsi="宋体" w:hint="eastAsia"/>
          <w:szCs w:val="21"/>
        </w:rPr>
        <w:t>单位为中标方。按照《中华人民共和国民法典》和《深圳经济特区政府采购条例》，经深圳市</w:t>
      </w:r>
      <w:r>
        <w:rPr>
          <w:rFonts w:ascii="宋体" w:hAnsi="宋体" w:hint="eastAsia"/>
          <w:szCs w:val="21"/>
          <w:u w:val="single"/>
        </w:rPr>
        <w:t xml:space="preserve">         </w:t>
      </w:r>
      <w:r>
        <w:rPr>
          <w:rFonts w:ascii="宋体" w:hAnsi="宋体" w:hint="eastAsia"/>
          <w:szCs w:val="21"/>
        </w:rPr>
        <w:t>（以下简称甲方）和</w:t>
      </w:r>
      <w:r>
        <w:rPr>
          <w:rFonts w:ascii="宋体" w:hAnsi="宋体" w:hint="eastAsia"/>
          <w:szCs w:val="21"/>
          <w:u w:val="single"/>
        </w:rPr>
        <w:t xml:space="preserve">                 </w:t>
      </w:r>
      <w:r>
        <w:rPr>
          <w:rFonts w:ascii="宋体" w:hAnsi="宋体" w:hint="eastAsia"/>
          <w:szCs w:val="21"/>
        </w:rPr>
        <w:t>单位（以下简称乙方）协商，就甲方委托乙方承担</w:t>
      </w:r>
      <w:r>
        <w:rPr>
          <w:rFonts w:ascii="宋体" w:hAnsi="宋体" w:hint="eastAsia"/>
          <w:b/>
          <w:bCs/>
          <w:snapToGrid w:val="0"/>
          <w:kern w:val="0"/>
          <w:szCs w:val="21"/>
          <w:u w:val="single"/>
          <w:lang w:val="zh-CN"/>
        </w:rPr>
        <w:t xml:space="preserve">             服务项目</w:t>
      </w:r>
      <w:r>
        <w:rPr>
          <w:rFonts w:ascii="宋体" w:hAnsi="宋体" w:hint="eastAsia"/>
          <w:szCs w:val="21"/>
        </w:rPr>
        <w:t>，达成以下合同条款：</w:t>
      </w:r>
    </w:p>
    <w:p>
      <w:pPr>
        <w:spacing w:line="360" w:lineRule="auto"/>
        <w:ind w:firstLine="420" w:firstLineChars="200"/>
        <w:rPr>
          <w:rFonts w:ascii="宋体" w:hAnsi="宋体" w:hint="eastAsia"/>
          <w:b/>
          <w:bCs/>
          <w:szCs w:val="21"/>
        </w:rPr>
      </w:pPr>
      <w:r>
        <w:rPr>
          <w:rFonts w:ascii="宋体" w:hAnsi="宋体" w:hint="eastAsia"/>
          <w:b/>
          <w:bCs/>
          <w:szCs w:val="21"/>
        </w:rPr>
        <w:t>第一条  项目概况</w:t>
      </w:r>
    </w:p>
    <w:p>
      <w:pPr>
        <w:spacing w:line="360" w:lineRule="auto"/>
        <w:ind w:firstLine="420" w:firstLineChars="200"/>
        <w:rPr>
          <w:rFonts w:ascii="宋体" w:hAnsi="宋体" w:hint="eastAsia"/>
          <w:szCs w:val="21"/>
        </w:rPr>
      </w:pPr>
      <w:r>
        <w:rPr>
          <w:rFonts w:ascii="宋体" w:hAnsi="宋体" w:hint="eastAsia"/>
          <w:szCs w:val="21"/>
        </w:rPr>
        <w:t xml:space="preserve">项目名称： </w:t>
      </w:r>
    </w:p>
    <w:p>
      <w:pPr>
        <w:spacing w:line="360" w:lineRule="auto"/>
        <w:ind w:firstLine="420" w:firstLineChars="200"/>
        <w:rPr>
          <w:rFonts w:ascii="宋体" w:hAnsi="宋体" w:hint="eastAsia"/>
          <w:szCs w:val="21"/>
        </w:rPr>
      </w:pPr>
      <w:r>
        <w:rPr>
          <w:rFonts w:ascii="宋体" w:hAnsi="宋体" w:hint="eastAsia"/>
          <w:szCs w:val="21"/>
        </w:rPr>
        <w:t xml:space="preserve">项目内容： </w:t>
      </w:r>
    </w:p>
    <w:p>
      <w:pPr>
        <w:spacing w:line="360" w:lineRule="auto"/>
        <w:ind w:firstLine="420" w:firstLineChars="200"/>
        <w:rPr>
          <w:rFonts w:ascii="宋体" w:hAnsi="宋体" w:hint="eastAsia"/>
          <w:szCs w:val="21"/>
        </w:rPr>
      </w:pPr>
      <w:r>
        <w:rPr>
          <w:rFonts w:ascii="宋体" w:hAnsi="宋体" w:hint="eastAsia"/>
          <w:szCs w:val="21"/>
        </w:rPr>
        <w:t xml:space="preserve">服务时间： </w:t>
      </w:r>
    </w:p>
    <w:p>
      <w:pPr>
        <w:spacing w:line="360" w:lineRule="auto"/>
        <w:ind w:firstLine="420" w:firstLineChars="200"/>
        <w:rPr>
          <w:rFonts w:ascii="宋体" w:hAnsi="宋体" w:hint="eastAsia"/>
          <w:szCs w:val="21"/>
        </w:rPr>
      </w:pPr>
      <w:r>
        <w:rPr>
          <w:rFonts w:ascii="宋体" w:hAnsi="宋体" w:hint="eastAsia"/>
          <w:szCs w:val="21"/>
        </w:rPr>
        <w:t>合同价款：合同总价为</w:t>
      </w:r>
      <w:r>
        <w:rPr>
          <w:rFonts w:ascii="宋体" w:hAnsi="宋体" w:hint="eastAsia"/>
          <w:szCs w:val="21"/>
          <w:u w:val="single"/>
        </w:rPr>
        <w:t xml:space="preserve">         </w:t>
      </w:r>
      <w:r>
        <w:rPr>
          <w:rFonts w:ascii="宋体" w:hAnsi="宋体" w:hint="eastAsia"/>
          <w:szCs w:val="21"/>
        </w:rPr>
        <w:t>元，含一切税、费。</w:t>
      </w:r>
      <w:r>
        <w:t>本合同总价包括</w:t>
      </w:r>
      <w:r>
        <w:rPr>
          <w:rFonts w:ascii="宋体" w:hAnsi="宋体" w:hint="eastAsia"/>
          <w:szCs w:val="21"/>
        </w:rPr>
        <w:t>乙方为实施本项目荷载试验所需的设备仪器费、车辆租赁费、</w:t>
      </w:r>
      <w:r>
        <w:t>服务</w:t>
      </w:r>
      <w:r>
        <w:rPr>
          <w:rFonts w:hint="eastAsia"/>
        </w:rPr>
        <w:t>和</w:t>
      </w:r>
      <w:r>
        <w:t>技术费用</w:t>
      </w:r>
      <w:r>
        <w:rPr>
          <w:rFonts w:hint="eastAsia"/>
        </w:rPr>
        <w:t>等</w:t>
      </w:r>
      <w:r>
        <w:t>，为固定不变价格，且不随通货膨胀的影响而波动。合同总价包括</w:t>
      </w:r>
      <w:r>
        <w:rPr>
          <w:rFonts w:ascii="宋体" w:hAnsi="宋体" w:hint="eastAsia"/>
          <w:szCs w:val="21"/>
        </w:rPr>
        <w:t>乙方</w:t>
      </w:r>
      <w:r>
        <w:t>履行本合同义务所发生的一切费用和支出和以各种方式寄送技术资料到</w:t>
      </w:r>
      <w:r>
        <w:rPr>
          <w:rFonts w:hint="eastAsia"/>
        </w:rPr>
        <w:t>甲</w:t>
      </w:r>
      <w:r>
        <w:t>方办公室所发生的费用。如发生本合同规定的不可抗力，合同总价可经双方友好协商予以调整。</w:t>
      </w:r>
    </w:p>
    <w:p>
      <w:pPr>
        <w:pStyle w:val="NormalIndent0"/>
        <w:spacing w:line="360" w:lineRule="auto"/>
        <w:rPr>
          <w:rFonts w:ascii="宋体" w:hAnsi="宋体" w:hint="eastAsia"/>
          <w:szCs w:val="21"/>
        </w:rPr>
      </w:pPr>
      <w:r>
        <w:rPr>
          <w:rFonts w:ascii="宋体" w:hAnsi="宋体" w:hint="eastAsia"/>
          <w:szCs w:val="21"/>
        </w:rPr>
        <w:t>支付方式：分期支付。</w:t>
      </w:r>
    </w:p>
    <w:p>
      <w:pPr>
        <w:spacing w:line="360" w:lineRule="auto"/>
        <w:ind w:firstLine="420" w:firstLineChars="200"/>
        <w:rPr>
          <w:rFonts w:ascii="宋体" w:hAnsi="宋体" w:hint="eastAsia"/>
          <w:b/>
          <w:bCs/>
          <w:szCs w:val="21"/>
        </w:rPr>
      </w:pPr>
      <w:r>
        <w:rPr>
          <w:rFonts w:ascii="宋体" w:hAnsi="宋体" w:hint="eastAsia"/>
          <w:b/>
          <w:bCs/>
          <w:szCs w:val="21"/>
        </w:rPr>
        <w:t>第二条  服务范围</w:t>
      </w:r>
    </w:p>
    <w:p>
      <w:pPr>
        <w:spacing w:line="360" w:lineRule="auto"/>
        <w:ind w:firstLine="420" w:firstLineChars="200"/>
        <w:rPr>
          <w:rFonts w:ascii="宋体" w:hAnsi="宋体" w:hint="eastAsia"/>
          <w:szCs w:val="21"/>
        </w:rPr>
      </w:pPr>
      <w:r>
        <w:rPr>
          <w:rFonts w:ascii="宋体" w:hAnsi="宋体" w:hint="eastAsia"/>
          <w:szCs w:val="21"/>
        </w:rPr>
        <w:t xml:space="preserve">1、  </w:t>
      </w:r>
    </w:p>
    <w:p>
      <w:pPr>
        <w:spacing w:line="360" w:lineRule="auto"/>
        <w:ind w:firstLine="420" w:firstLineChars="200"/>
        <w:rPr>
          <w:rFonts w:ascii="宋体" w:hAnsi="宋体" w:hint="eastAsia"/>
          <w:szCs w:val="21"/>
        </w:rPr>
      </w:pPr>
      <w:r>
        <w:rPr>
          <w:rFonts w:ascii="宋体" w:hAnsi="宋体" w:hint="eastAsia"/>
          <w:szCs w:val="21"/>
        </w:rPr>
        <w:t xml:space="preserve">2、  </w:t>
      </w:r>
    </w:p>
    <w:p>
      <w:pPr>
        <w:spacing w:line="360" w:lineRule="auto"/>
        <w:ind w:firstLine="420" w:firstLineChars="200"/>
        <w:rPr>
          <w:rFonts w:ascii="宋体" w:hAnsi="宋体" w:hint="eastAsia"/>
          <w:szCs w:val="21"/>
        </w:rPr>
      </w:pPr>
      <w:r>
        <w:rPr>
          <w:rFonts w:ascii="宋体" w:hAnsi="宋体" w:hint="eastAsia"/>
          <w:szCs w:val="21"/>
        </w:rPr>
        <w:t xml:space="preserve">3、  </w:t>
      </w:r>
    </w:p>
    <w:p>
      <w:pPr>
        <w:spacing w:line="360" w:lineRule="auto"/>
        <w:ind w:firstLine="420" w:firstLineChars="200"/>
        <w:rPr>
          <w:rFonts w:ascii="宋体" w:hAnsi="宋体" w:hint="eastAsia"/>
          <w:szCs w:val="21"/>
        </w:rPr>
      </w:pPr>
      <w:r>
        <w:rPr>
          <w:rFonts w:ascii="宋体" w:hAnsi="宋体" w:hint="eastAsia"/>
          <w:szCs w:val="21"/>
        </w:rPr>
        <w:t>4、 其他合同未明示的相关工作。</w:t>
      </w:r>
    </w:p>
    <w:p>
      <w:pPr>
        <w:spacing w:line="360" w:lineRule="auto"/>
        <w:ind w:firstLine="420" w:firstLineChars="200"/>
        <w:rPr>
          <w:rFonts w:ascii="宋体" w:hAnsi="宋体" w:hint="eastAsia"/>
          <w:b/>
          <w:bCs/>
          <w:szCs w:val="21"/>
        </w:rPr>
      </w:pPr>
      <w:r>
        <w:rPr>
          <w:rFonts w:ascii="宋体" w:hAnsi="宋体" w:hint="eastAsia"/>
          <w:b/>
          <w:bCs/>
          <w:szCs w:val="21"/>
        </w:rPr>
        <w:t>第三条  时间要求及阶段成果</w:t>
      </w:r>
    </w:p>
    <w:p>
      <w:pPr>
        <w:spacing w:line="360" w:lineRule="auto"/>
        <w:ind w:firstLine="420" w:firstLineChars="200"/>
        <w:rPr>
          <w:rFonts w:ascii="宋体" w:hAnsi="宋体" w:hint="eastAsia"/>
          <w:szCs w:val="21"/>
        </w:rPr>
      </w:pPr>
      <w:r>
        <w:rPr>
          <w:rFonts w:ascii="宋体" w:hAnsi="宋体" w:hint="eastAsia"/>
          <w:szCs w:val="21"/>
        </w:rPr>
        <w:t>1、合同签订</w:t>
      </w:r>
      <w:r>
        <w:rPr>
          <w:rFonts w:ascii="宋体" w:hAnsi="宋体" w:hint="eastAsia"/>
          <w:szCs w:val="21"/>
          <w:u w:val="single"/>
        </w:rPr>
        <w:t xml:space="preserve">   </w:t>
      </w:r>
      <w:r>
        <w:rPr>
          <w:rFonts w:ascii="宋体" w:hAnsi="宋体" w:hint="eastAsia"/>
          <w:szCs w:val="21"/>
        </w:rPr>
        <w:t>日内完成项目实施的准备工作，包括工作大纲和试验细则的编制；</w:t>
      </w:r>
    </w:p>
    <w:p>
      <w:pPr>
        <w:spacing w:line="360" w:lineRule="auto"/>
        <w:ind w:firstLine="420" w:firstLineChars="200"/>
        <w:rPr>
          <w:rFonts w:ascii="宋体" w:hAnsi="宋体" w:hint="eastAsia"/>
          <w:szCs w:val="21"/>
        </w:rPr>
      </w:pPr>
      <w:r>
        <w:rPr>
          <w:rFonts w:ascii="宋体" w:hAnsi="宋体" w:hint="eastAsia"/>
          <w:szCs w:val="21"/>
        </w:rPr>
        <w:t xml:space="preserve">2、 </w:t>
      </w:r>
    </w:p>
    <w:p>
      <w:pPr>
        <w:spacing w:line="360" w:lineRule="auto"/>
        <w:ind w:firstLine="420" w:firstLineChars="200"/>
        <w:rPr>
          <w:rFonts w:ascii="宋体" w:hAnsi="宋体" w:hint="eastAsia"/>
          <w:szCs w:val="21"/>
        </w:rPr>
      </w:pPr>
      <w:r>
        <w:rPr>
          <w:rFonts w:ascii="宋体" w:hAnsi="宋体" w:hint="eastAsia"/>
          <w:szCs w:val="21"/>
        </w:rPr>
        <w:t>3、</w:t>
      </w:r>
    </w:p>
    <w:p>
      <w:pPr>
        <w:spacing w:line="360" w:lineRule="auto"/>
        <w:ind w:firstLine="420" w:firstLineChars="200"/>
        <w:rPr>
          <w:rFonts w:ascii="宋体" w:hAnsi="宋体" w:hint="eastAsia"/>
          <w:szCs w:val="21"/>
        </w:rPr>
      </w:pPr>
      <w:r>
        <w:rPr>
          <w:rFonts w:ascii="宋体" w:hAnsi="宋体" w:hint="eastAsia"/>
          <w:szCs w:val="21"/>
        </w:rPr>
        <w:t>4、</w:t>
      </w:r>
    </w:p>
    <w:p>
      <w:pPr>
        <w:spacing w:line="360" w:lineRule="auto"/>
        <w:ind w:firstLine="420" w:firstLineChars="200"/>
        <w:rPr>
          <w:rFonts w:ascii="宋体" w:hAnsi="宋体" w:hint="eastAsia"/>
          <w:b/>
          <w:bCs/>
          <w:szCs w:val="21"/>
        </w:rPr>
      </w:pPr>
      <w:r>
        <w:rPr>
          <w:rFonts w:ascii="宋体" w:hAnsi="宋体" w:hint="eastAsia"/>
          <w:b/>
          <w:bCs/>
          <w:szCs w:val="21"/>
        </w:rPr>
        <w:t>第四条  咨询服务资料归属</w:t>
      </w:r>
    </w:p>
    <w:p>
      <w:pPr>
        <w:spacing w:line="360" w:lineRule="auto"/>
        <w:ind w:firstLine="420" w:firstLineChars="200"/>
        <w:rPr>
          <w:rFonts w:hint="eastAsia"/>
        </w:rPr>
      </w:pPr>
      <w:r>
        <w:t>1</w:t>
      </w:r>
      <w:r>
        <w:rPr>
          <w:rFonts w:hint="eastAsia"/>
        </w:rPr>
        <w:t>、</w:t>
      </w:r>
      <w:r>
        <w:t>所有提交给</w:t>
      </w:r>
      <w:r>
        <w:rPr>
          <w:rFonts w:hint="eastAsia"/>
        </w:rPr>
        <w:t>甲</w:t>
      </w:r>
      <w:r>
        <w:t>方的咨询服务</w:t>
      </w:r>
      <w:r>
        <w:rPr>
          <w:rFonts w:hint="eastAsia"/>
        </w:rPr>
        <w:t>文件</w:t>
      </w:r>
      <w:r>
        <w:t>及相关的资料的最后文本，包括为履行技术咨询服务范围所编制的图纸、计划和证明资料等，都属于</w:t>
      </w:r>
      <w:r>
        <w:rPr>
          <w:rFonts w:hint="eastAsia"/>
        </w:rPr>
        <w:t>甲</w:t>
      </w:r>
      <w:r>
        <w:t>方的财产，</w:t>
      </w:r>
      <w:r>
        <w:rPr>
          <w:rFonts w:ascii="宋体" w:hAnsi="宋体" w:hint="eastAsia"/>
          <w:szCs w:val="21"/>
        </w:rPr>
        <w:t>乙</w:t>
      </w:r>
      <w:r>
        <w:t>方在提交给</w:t>
      </w:r>
      <w:r>
        <w:rPr>
          <w:rFonts w:hint="eastAsia"/>
        </w:rPr>
        <w:t>甲</w:t>
      </w:r>
      <w:r>
        <w:t>方之前应将上述资料进行整理归类和编制索引</w:t>
      </w:r>
      <w:r>
        <w:rPr>
          <w:rFonts w:hint="eastAsia"/>
        </w:rPr>
        <w:t>。</w:t>
      </w:r>
    </w:p>
    <w:p>
      <w:pPr>
        <w:spacing w:line="360" w:lineRule="auto"/>
        <w:ind w:firstLine="420" w:firstLineChars="200"/>
        <w:rPr>
          <w:rFonts w:hint="eastAsia"/>
        </w:rPr>
      </w:pPr>
      <w:r>
        <w:t>2</w:t>
      </w:r>
      <w:r>
        <w:rPr>
          <w:rFonts w:hint="eastAsia"/>
        </w:rPr>
        <w:t>、</w:t>
      </w:r>
      <w:r>
        <w:rPr>
          <w:rFonts w:ascii="宋体" w:hAnsi="宋体" w:hint="eastAsia"/>
          <w:szCs w:val="21"/>
        </w:rPr>
        <w:t>乙</w:t>
      </w:r>
      <w:r>
        <w:t>方未经</w:t>
      </w:r>
      <w:r>
        <w:rPr>
          <w:rFonts w:hint="eastAsia"/>
        </w:rPr>
        <w:t>甲</w:t>
      </w:r>
      <w:r>
        <w:t>方的书面同意，不得将上述资料用于与本咨询服务项目之外的任何项目</w:t>
      </w:r>
      <w:r>
        <w:rPr>
          <w:rFonts w:hint="eastAsia"/>
        </w:rPr>
        <w:t>。</w:t>
      </w:r>
    </w:p>
    <w:p>
      <w:pPr>
        <w:spacing w:line="360" w:lineRule="auto"/>
        <w:ind w:firstLine="420" w:firstLineChars="200"/>
        <w:rPr>
          <w:rFonts w:hint="eastAsia"/>
        </w:rPr>
      </w:pPr>
      <w:r>
        <w:rPr>
          <w:rFonts w:hint="eastAsia"/>
        </w:rPr>
        <w:t>3、</w:t>
      </w:r>
      <w:r>
        <w:t>合同履行</w:t>
      </w:r>
      <w:r>
        <w:rPr>
          <w:rFonts w:hint="eastAsia"/>
        </w:rPr>
        <w:t>完毕，</w:t>
      </w:r>
      <w:r>
        <w:t>未经</w:t>
      </w:r>
      <w:r>
        <w:rPr>
          <w:rFonts w:hint="eastAsia"/>
        </w:rPr>
        <w:t>甲</w:t>
      </w:r>
      <w:r>
        <w:t>方的书面同意</w:t>
      </w:r>
      <w:r>
        <w:rPr>
          <w:rFonts w:hint="eastAsia"/>
        </w:rPr>
        <w:t>，</w:t>
      </w:r>
      <w:r>
        <w:rPr>
          <w:rFonts w:ascii="宋体" w:hAnsi="宋体" w:hint="eastAsia"/>
          <w:szCs w:val="21"/>
        </w:rPr>
        <w:t>乙</w:t>
      </w:r>
      <w:r>
        <w:t>方</w:t>
      </w:r>
      <w:r>
        <w:rPr>
          <w:rFonts w:hint="eastAsia"/>
        </w:rPr>
        <w:t>不得保存在</w:t>
      </w:r>
      <w:r>
        <w:t>履行合同过程中所获得或接触到的任何</w:t>
      </w:r>
      <w:r>
        <w:rPr>
          <w:rFonts w:ascii="宋体" w:hAnsi="宋体" w:hint="eastAsia"/>
          <w:szCs w:val="21"/>
        </w:rPr>
        <w:t>内部数据资料。</w:t>
      </w:r>
    </w:p>
    <w:p>
      <w:pPr>
        <w:spacing w:line="360" w:lineRule="auto"/>
        <w:ind w:firstLine="420" w:firstLineChars="200"/>
        <w:rPr>
          <w:rFonts w:ascii="宋体" w:hAnsi="宋体" w:hint="eastAsia"/>
          <w:b/>
          <w:bCs/>
          <w:szCs w:val="21"/>
        </w:rPr>
      </w:pPr>
      <w:r>
        <w:rPr>
          <w:rFonts w:ascii="宋体" w:hAnsi="宋体" w:hint="eastAsia"/>
          <w:b/>
          <w:bCs/>
          <w:szCs w:val="21"/>
        </w:rPr>
        <w:t>第五条  甲方的义务</w:t>
      </w:r>
    </w:p>
    <w:p>
      <w:pPr>
        <w:spacing w:line="360" w:lineRule="auto"/>
        <w:ind w:firstLine="420" w:firstLineChars="200"/>
        <w:rPr>
          <w:rFonts w:ascii="宋体" w:hAnsi="宋体" w:hint="eastAsia"/>
          <w:szCs w:val="21"/>
        </w:rPr>
      </w:pPr>
      <w:r>
        <w:rPr>
          <w:rFonts w:ascii="宋体" w:hAnsi="宋体" w:hint="eastAsia"/>
          <w:szCs w:val="21"/>
        </w:rPr>
        <w:t>1、负责与本咨询服务项目有关的第三方的协调，提供开展咨询服务工作的外部条件。</w:t>
      </w:r>
    </w:p>
    <w:p>
      <w:pPr>
        <w:spacing w:line="360" w:lineRule="auto"/>
        <w:ind w:firstLine="420" w:firstLineChars="200"/>
        <w:rPr>
          <w:rFonts w:ascii="宋体" w:hAnsi="宋体" w:hint="eastAsia"/>
          <w:szCs w:val="21"/>
        </w:rPr>
      </w:pPr>
      <w:r>
        <w:rPr>
          <w:rFonts w:ascii="宋体" w:hAnsi="宋体" w:hint="eastAsia"/>
          <w:szCs w:val="21"/>
        </w:rPr>
        <w:t>2、向乙方提供与本项目咨询服务工作有关的资料。</w:t>
      </w:r>
    </w:p>
    <w:p>
      <w:pPr>
        <w:spacing w:line="360" w:lineRule="auto"/>
        <w:ind w:firstLine="420" w:firstLineChars="200"/>
        <w:rPr>
          <w:rFonts w:ascii="宋体" w:hAnsi="宋体" w:hint="eastAsia"/>
          <w:szCs w:val="21"/>
        </w:rPr>
      </w:pPr>
      <w:r>
        <w:rPr>
          <w:rFonts w:ascii="宋体" w:hAnsi="宋体" w:hint="eastAsia"/>
          <w:szCs w:val="21"/>
        </w:rPr>
        <w:t>3、验收项目成果。</w:t>
      </w:r>
    </w:p>
    <w:p>
      <w:pPr>
        <w:spacing w:line="360" w:lineRule="auto"/>
        <w:ind w:firstLine="420" w:firstLineChars="200"/>
        <w:rPr>
          <w:rFonts w:ascii="宋体" w:hAnsi="宋体" w:hint="eastAsia"/>
          <w:b/>
          <w:bCs/>
          <w:szCs w:val="21"/>
        </w:rPr>
      </w:pPr>
      <w:r>
        <w:rPr>
          <w:rFonts w:ascii="宋体" w:hAnsi="宋体" w:hint="eastAsia"/>
          <w:b/>
          <w:bCs/>
          <w:szCs w:val="21"/>
        </w:rPr>
        <w:t>第六条  乙方的义务</w:t>
      </w:r>
    </w:p>
    <w:p>
      <w:pPr>
        <w:spacing w:line="360" w:lineRule="auto"/>
        <w:ind w:firstLine="420" w:firstLineChars="200"/>
        <w:rPr>
          <w:rFonts w:ascii="宋体" w:hAnsi="宋体" w:hint="eastAsia"/>
          <w:szCs w:val="21"/>
        </w:rPr>
      </w:pPr>
      <w:r>
        <w:rPr>
          <w:rFonts w:ascii="宋体" w:hAnsi="宋体" w:hint="eastAsia"/>
          <w:szCs w:val="21"/>
        </w:rPr>
        <w:t>１、应按照</w:t>
      </w:r>
      <w:r>
        <w:rPr>
          <w:rFonts w:ascii="宋体" w:hAnsi="宋体" w:hint="eastAsia"/>
          <w:szCs w:val="21"/>
          <w:u w:val="single"/>
        </w:rPr>
        <w:t xml:space="preserve">          </w:t>
      </w:r>
      <w:r>
        <w:rPr>
          <w:rFonts w:ascii="宋体" w:hAnsi="宋体" w:hint="eastAsia"/>
          <w:szCs w:val="21"/>
        </w:rPr>
        <w:t>号招标文件、乙方投标文件要求按期完成本项目咨询服务工作。</w:t>
      </w:r>
    </w:p>
    <w:p>
      <w:pPr>
        <w:spacing w:line="360" w:lineRule="auto"/>
        <w:ind w:firstLine="420" w:firstLineChars="200"/>
        <w:rPr>
          <w:rFonts w:ascii="宋体" w:hAnsi="宋体" w:hint="eastAsia"/>
          <w:szCs w:val="21"/>
        </w:rPr>
      </w:pPr>
      <w:r>
        <w:rPr>
          <w:rFonts w:ascii="宋体" w:hAnsi="宋体" w:hint="eastAsia"/>
          <w:szCs w:val="21"/>
        </w:rPr>
        <w:t>2、负责组织项目的实施，保证工程进度和成桥荷载试验工作质量，并满足交通部交工验收相关标准。</w:t>
      </w:r>
    </w:p>
    <w:p>
      <w:pPr>
        <w:spacing w:line="360" w:lineRule="auto"/>
        <w:ind w:firstLine="420" w:firstLineChars="200"/>
        <w:rPr>
          <w:rFonts w:ascii="宋体" w:hAnsi="宋体" w:hint="eastAsia"/>
          <w:szCs w:val="21"/>
        </w:rPr>
      </w:pPr>
      <w:r>
        <w:rPr>
          <w:rFonts w:ascii="宋体" w:hAnsi="宋体" w:hint="eastAsia"/>
          <w:szCs w:val="21"/>
        </w:rPr>
        <w:t>3、</w:t>
      </w:r>
      <w:r>
        <w:rPr>
          <w:rFonts w:ascii="宋体" w:hAnsi="宋体" w:hint="eastAsia"/>
        </w:rPr>
        <w:t>向甲方提交检测资料等各</w:t>
      </w:r>
      <w:r>
        <w:rPr>
          <w:rFonts w:ascii="宋体" w:hAnsi="宋体" w:hint="eastAsia"/>
          <w:u w:val="single"/>
        </w:rPr>
        <w:t xml:space="preserve">      </w:t>
      </w:r>
      <w:r>
        <w:rPr>
          <w:rFonts w:ascii="宋体" w:hAnsi="宋体" w:hint="eastAsia"/>
        </w:rPr>
        <w:t>套，一套电子版文件。</w:t>
      </w:r>
    </w:p>
    <w:p>
      <w:pPr>
        <w:spacing w:line="360" w:lineRule="auto"/>
        <w:ind w:firstLine="420" w:firstLineChars="200"/>
        <w:rPr>
          <w:rFonts w:ascii="宋体" w:hAnsi="宋体" w:hint="eastAsia"/>
          <w:szCs w:val="21"/>
        </w:rPr>
      </w:pPr>
      <w:r>
        <w:rPr>
          <w:rFonts w:ascii="宋体" w:hAnsi="宋体" w:hint="eastAsia"/>
          <w:szCs w:val="21"/>
        </w:rPr>
        <w:t>4、在履行合同期间或合同规定期限内，不得泄露与本合同规定业务活动有关的保密资料。</w:t>
      </w:r>
    </w:p>
    <w:p>
      <w:pPr>
        <w:spacing w:line="360" w:lineRule="auto"/>
        <w:ind w:firstLine="420" w:firstLineChars="200"/>
        <w:rPr>
          <w:rFonts w:ascii="宋体" w:hAnsi="宋体" w:hint="eastAsia"/>
          <w:szCs w:val="21"/>
        </w:rPr>
      </w:pPr>
      <w:r>
        <w:rPr>
          <w:rFonts w:ascii="宋体" w:hAnsi="宋体" w:hint="eastAsia"/>
          <w:szCs w:val="21"/>
        </w:rPr>
        <w:t>5、乙方的责任期即本合同有效期。如因非乙方的责任造成进度的推迟或延误而超过约定的日期，双方应进一步约定相应延长合同有效期。</w:t>
      </w:r>
    </w:p>
    <w:p>
      <w:pPr>
        <w:spacing w:line="360" w:lineRule="auto"/>
        <w:ind w:firstLine="420" w:firstLineChars="200"/>
        <w:rPr>
          <w:rFonts w:ascii="宋体" w:hAnsi="宋体" w:hint="eastAsia"/>
          <w:szCs w:val="21"/>
        </w:rPr>
      </w:pPr>
      <w:r>
        <w:rPr>
          <w:rFonts w:ascii="宋体" w:hAnsi="宋体" w:hint="eastAsia"/>
          <w:szCs w:val="21"/>
        </w:rPr>
        <w:t>6、乙方的责任期内，应当履行本合同中约定的义务，因乙方的单方过失造成的经济损失，应当向甲方进行赔偿。</w:t>
      </w:r>
    </w:p>
    <w:p>
      <w:pPr>
        <w:spacing w:line="360" w:lineRule="auto"/>
        <w:ind w:firstLine="420" w:firstLineChars="200"/>
        <w:rPr>
          <w:rFonts w:ascii="宋体" w:hAnsi="宋体" w:hint="eastAsia"/>
          <w:szCs w:val="21"/>
        </w:rPr>
      </w:pPr>
      <w:r>
        <w:rPr>
          <w:rFonts w:ascii="宋体" w:hAnsi="宋体" w:hint="eastAsia"/>
          <w:szCs w:val="21"/>
        </w:rPr>
        <w:t>7、乙方对甲方或第三方所提出的问题不能及时核对或答复，导致合同不能全部或部分履行，乙方应承担责任。</w:t>
      </w:r>
    </w:p>
    <w:p>
      <w:pPr>
        <w:spacing w:line="360" w:lineRule="auto"/>
        <w:ind w:firstLine="420" w:firstLineChars="200"/>
        <w:rPr>
          <w:rFonts w:ascii="宋体" w:hAnsi="宋体" w:hint="eastAsia"/>
          <w:szCs w:val="21"/>
        </w:rPr>
      </w:pPr>
      <w:r>
        <w:rPr>
          <w:rFonts w:ascii="宋体" w:hAnsi="宋体" w:hint="eastAsia"/>
          <w:szCs w:val="21"/>
        </w:rPr>
        <w:t>8、乙方向甲方提出赔偿要求不能成立时，则应补偿由于该赔偿或其他要求所导致甲方的各种费用的支出。</w:t>
      </w:r>
    </w:p>
    <w:p>
      <w:pPr>
        <w:spacing w:line="360" w:lineRule="auto"/>
        <w:ind w:firstLine="420" w:firstLineChars="200"/>
        <w:rPr>
          <w:rFonts w:ascii="宋体" w:hAnsi="宋体" w:hint="eastAsia"/>
          <w:b/>
          <w:bCs/>
          <w:szCs w:val="21"/>
        </w:rPr>
      </w:pPr>
      <w:r>
        <w:rPr>
          <w:rFonts w:ascii="宋体" w:hAnsi="宋体" w:hint="eastAsia"/>
          <w:b/>
          <w:bCs/>
          <w:szCs w:val="21"/>
        </w:rPr>
        <w:t>第七条  甲方的权利</w:t>
      </w:r>
    </w:p>
    <w:p>
      <w:pPr>
        <w:spacing w:line="360" w:lineRule="auto"/>
        <w:ind w:firstLine="420" w:firstLineChars="200"/>
        <w:rPr>
          <w:rFonts w:ascii="宋体" w:hAnsi="宋体" w:hint="eastAsia"/>
          <w:szCs w:val="21"/>
        </w:rPr>
      </w:pPr>
      <w:r>
        <w:rPr>
          <w:rFonts w:ascii="宋体" w:hAnsi="宋体"/>
          <w:szCs w:val="21"/>
        </w:rPr>
        <w:t>1</w:t>
      </w:r>
      <w:r>
        <w:rPr>
          <w:rFonts w:ascii="宋体" w:hAnsi="宋体" w:hint="eastAsia"/>
          <w:szCs w:val="21"/>
        </w:rPr>
        <w:t>、有权向乙方询问工作进展情况及相关的内容。</w:t>
      </w:r>
    </w:p>
    <w:p>
      <w:pPr>
        <w:spacing w:line="360" w:lineRule="auto"/>
        <w:ind w:firstLine="420" w:firstLineChars="200"/>
        <w:rPr>
          <w:rFonts w:ascii="宋体" w:hAnsi="宋体" w:hint="eastAsia"/>
          <w:szCs w:val="21"/>
        </w:rPr>
      </w:pPr>
      <w:r>
        <w:rPr>
          <w:rFonts w:ascii="宋体" w:hAnsi="宋体"/>
          <w:szCs w:val="21"/>
        </w:rPr>
        <w:t>2</w:t>
      </w:r>
      <w:r>
        <w:rPr>
          <w:rFonts w:ascii="宋体" w:hAnsi="宋体" w:hint="eastAsia"/>
          <w:szCs w:val="21"/>
        </w:rPr>
        <w:t>、有权阐述对具体问题的意见和建议。</w:t>
      </w:r>
    </w:p>
    <w:p>
      <w:pPr>
        <w:spacing w:line="360" w:lineRule="auto"/>
        <w:ind w:firstLine="420" w:firstLineChars="200"/>
        <w:rPr>
          <w:rFonts w:ascii="宋体" w:hAnsi="宋体" w:hint="eastAsia"/>
          <w:szCs w:val="21"/>
        </w:rPr>
      </w:pPr>
      <w:r>
        <w:rPr>
          <w:rFonts w:ascii="宋体" w:hAnsi="宋体"/>
          <w:szCs w:val="21"/>
        </w:rPr>
        <w:t>3</w:t>
      </w:r>
      <w:r>
        <w:rPr>
          <w:rFonts w:ascii="宋体" w:hAnsi="宋体" w:hint="eastAsia"/>
          <w:szCs w:val="21"/>
        </w:rPr>
        <w:t>、当甲方认定乙方人员不按合同履行其职责，或与第三人串通给甲方造成经济损失的，甲方有权要求更换人员，直至终止合同并要求乙方承担相应的赔偿责任。</w:t>
      </w:r>
    </w:p>
    <w:p>
      <w:pPr>
        <w:spacing w:line="360" w:lineRule="auto"/>
        <w:ind w:firstLine="420" w:firstLineChars="200"/>
        <w:rPr>
          <w:rFonts w:ascii="宋体" w:hAnsi="宋体" w:hint="eastAsia"/>
          <w:b/>
          <w:bCs/>
          <w:szCs w:val="21"/>
        </w:rPr>
      </w:pPr>
      <w:r>
        <w:rPr>
          <w:rFonts w:ascii="宋体" w:hAnsi="宋体" w:hint="eastAsia"/>
          <w:b/>
          <w:bCs/>
          <w:szCs w:val="21"/>
        </w:rPr>
        <w:t>第八条  乙方的权利</w:t>
      </w:r>
    </w:p>
    <w:p>
      <w:pPr>
        <w:spacing w:line="360" w:lineRule="auto"/>
        <w:ind w:firstLine="420" w:firstLineChars="200"/>
        <w:rPr>
          <w:rFonts w:ascii="宋体" w:hAnsi="宋体" w:hint="eastAsia"/>
          <w:szCs w:val="21"/>
        </w:rPr>
      </w:pPr>
      <w:r>
        <w:rPr>
          <w:rFonts w:ascii="宋体" w:hAnsi="宋体"/>
          <w:szCs w:val="21"/>
        </w:rPr>
        <w:t>1</w:t>
      </w:r>
      <w:r>
        <w:rPr>
          <w:rFonts w:ascii="宋体" w:hAnsi="宋体" w:hint="eastAsia"/>
          <w:szCs w:val="21"/>
        </w:rPr>
        <w:t>、乙方在本项目服务过程中，如甲方提供的资料不明确时可向甲方提出书面报告。</w:t>
      </w:r>
    </w:p>
    <w:p>
      <w:pPr>
        <w:spacing w:line="360" w:lineRule="auto"/>
        <w:ind w:firstLine="420" w:firstLineChars="200"/>
        <w:rPr>
          <w:rFonts w:ascii="宋体" w:hAnsi="宋体" w:hint="eastAsia"/>
          <w:szCs w:val="21"/>
        </w:rPr>
      </w:pPr>
      <w:r>
        <w:rPr>
          <w:rFonts w:ascii="宋体" w:hAnsi="宋体"/>
          <w:szCs w:val="21"/>
        </w:rPr>
        <w:t>2</w:t>
      </w:r>
      <w:r>
        <w:rPr>
          <w:rFonts w:ascii="宋体" w:hAnsi="宋体" w:hint="eastAsia"/>
          <w:szCs w:val="21"/>
        </w:rPr>
        <w:t>、乙方在本项目服务过程中，有权对第三方提出与本咨询服务业务有关的问题进行核对或查问。</w:t>
      </w:r>
    </w:p>
    <w:p>
      <w:pPr>
        <w:spacing w:line="360" w:lineRule="auto"/>
        <w:ind w:firstLine="420" w:firstLineChars="200"/>
        <w:rPr>
          <w:rFonts w:ascii="宋体" w:hAnsi="宋体" w:hint="eastAsia"/>
          <w:szCs w:val="21"/>
        </w:rPr>
      </w:pPr>
      <w:r>
        <w:rPr>
          <w:rFonts w:ascii="宋体" w:hAnsi="宋体"/>
          <w:szCs w:val="21"/>
        </w:rPr>
        <w:t>3</w:t>
      </w:r>
      <w:r>
        <w:rPr>
          <w:rFonts w:ascii="宋体" w:hAnsi="宋体" w:hint="eastAsia"/>
          <w:szCs w:val="21"/>
        </w:rPr>
        <w:t>、乙方在本项目服务过程中，有到工程现场勘察的权利。</w:t>
      </w:r>
    </w:p>
    <w:p>
      <w:pPr>
        <w:spacing w:line="360" w:lineRule="auto"/>
        <w:ind w:firstLine="420" w:firstLineChars="200"/>
        <w:rPr>
          <w:rFonts w:ascii="宋体" w:hAnsi="宋体" w:hint="eastAsia"/>
          <w:b/>
          <w:bCs/>
          <w:szCs w:val="21"/>
        </w:rPr>
      </w:pPr>
      <w:r>
        <w:rPr>
          <w:rFonts w:ascii="宋体" w:hAnsi="宋体" w:hint="eastAsia"/>
          <w:b/>
          <w:bCs/>
          <w:szCs w:val="21"/>
        </w:rPr>
        <w:t>第九条  人员要求</w:t>
      </w:r>
    </w:p>
    <w:p>
      <w:pPr>
        <w:spacing w:line="360" w:lineRule="auto"/>
        <w:ind w:firstLine="420" w:firstLineChars="200"/>
        <w:rPr>
          <w:rFonts w:ascii="宋体" w:hAnsi="宋体" w:hint="eastAsia"/>
          <w:szCs w:val="21"/>
        </w:rPr>
      </w:pPr>
      <w:r>
        <w:rPr>
          <w:rFonts w:ascii="宋体" w:hAnsi="宋体" w:hint="eastAsia"/>
          <w:szCs w:val="21"/>
        </w:rPr>
        <w:t>1、参加本项目试验的人员必须具有国家和有关部门规定的相应资质。</w:t>
      </w:r>
    </w:p>
    <w:p>
      <w:pPr>
        <w:spacing w:line="360" w:lineRule="auto"/>
        <w:ind w:firstLine="420" w:firstLineChars="200"/>
        <w:rPr>
          <w:rFonts w:ascii="宋体" w:hAnsi="宋体" w:hint="eastAsia"/>
          <w:szCs w:val="21"/>
        </w:rPr>
      </w:pPr>
      <w:r>
        <w:rPr>
          <w:rFonts w:ascii="宋体" w:hAnsi="宋体" w:hint="eastAsia"/>
          <w:szCs w:val="21"/>
        </w:rPr>
        <w:t>2、 参加本项目的试验人员的配置必须与投标文件中的服务承诺书和试验服务组织实施方案一致。</w:t>
      </w:r>
    </w:p>
    <w:p>
      <w:pPr>
        <w:spacing w:line="360" w:lineRule="auto"/>
        <w:ind w:firstLine="420" w:firstLineChars="200"/>
        <w:rPr>
          <w:rFonts w:ascii="宋体" w:hAnsi="宋体" w:hint="eastAsia"/>
          <w:color w:val="0000FF"/>
          <w:szCs w:val="21"/>
        </w:rPr>
      </w:pPr>
      <w:r>
        <w:rPr>
          <w:rFonts w:ascii="宋体" w:hAnsi="宋体" w:hint="eastAsia"/>
          <w:szCs w:val="21"/>
        </w:rPr>
        <w:t>3、必须以直属试验人员参与本项目服务，不得使</w:t>
      </w:r>
      <w:r>
        <w:rPr>
          <w:rFonts w:ascii="宋体" w:hAnsi="宋体" w:hint="eastAsia"/>
          <w:color w:val="000000"/>
          <w:szCs w:val="21"/>
        </w:rPr>
        <w:t>用挂靠队伍</w:t>
      </w:r>
      <w:r>
        <w:rPr>
          <w:rFonts w:ascii="宋体" w:hAnsi="宋体" w:hint="eastAsia"/>
          <w:color w:val="0000FF"/>
          <w:szCs w:val="21"/>
        </w:rPr>
        <w:t>。</w:t>
      </w:r>
    </w:p>
    <w:p>
      <w:pPr>
        <w:pStyle w:val="BodyText"/>
        <w:rPr>
          <w:rFonts w:ascii="宋体" w:hAnsi="宋体"/>
          <w:color w:val="000000"/>
          <w:szCs w:val="21"/>
        </w:rPr>
      </w:pPr>
      <w:r>
        <w:rPr>
          <w:rFonts w:ascii="宋体" w:hAnsi="宋体" w:hint="eastAsia"/>
          <w:color w:val="0000FF"/>
          <w:szCs w:val="21"/>
        </w:rPr>
        <w:t xml:space="preserve">    </w:t>
      </w:r>
      <w:r>
        <w:rPr>
          <w:rFonts w:ascii="宋体" w:hAnsi="宋体" w:hint="eastAsia"/>
          <w:color w:val="000000"/>
          <w:szCs w:val="21"/>
        </w:rPr>
        <w:t>4、必须确保人员即时响应甲方管理需求。</w:t>
      </w:r>
    </w:p>
    <w:p>
      <w:pPr>
        <w:spacing w:line="360" w:lineRule="auto"/>
        <w:ind w:firstLine="420" w:firstLineChars="200"/>
        <w:rPr>
          <w:rFonts w:ascii="宋体" w:hAnsi="宋体" w:hint="eastAsia"/>
          <w:b/>
          <w:bCs/>
          <w:szCs w:val="21"/>
        </w:rPr>
      </w:pPr>
      <w:r>
        <w:rPr>
          <w:rFonts w:ascii="宋体" w:hAnsi="宋体" w:hint="eastAsia"/>
          <w:b/>
          <w:bCs/>
          <w:szCs w:val="21"/>
        </w:rPr>
        <w:t>第十条  乙方咨询服务工具要求</w:t>
      </w:r>
    </w:p>
    <w:p>
      <w:pPr>
        <w:spacing w:line="360" w:lineRule="auto"/>
        <w:ind w:firstLine="420" w:firstLineChars="200"/>
        <w:rPr>
          <w:rFonts w:ascii="宋体" w:hAnsi="宋体" w:hint="eastAsia"/>
          <w:szCs w:val="21"/>
        </w:rPr>
      </w:pPr>
      <w:r>
        <w:rPr>
          <w:rFonts w:ascii="宋体" w:hAnsi="宋体" w:hint="eastAsia"/>
          <w:szCs w:val="21"/>
        </w:rPr>
        <w:t>1、乙方应配备中标项目所需的足够数量的仪器、仪表以及工具等设备。用户不需向乙方提供施工工具和仪器、仪表。</w:t>
      </w:r>
    </w:p>
    <w:p>
      <w:pPr>
        <w:spacing w:line="360" w:lineRule="auto"/>
        <w:ind w:firstLine="420" w:firstLineChars="200"/>
        <w:rPr>
          <w:rFonts w:ascii="宋体" w:hAnsi="宋体" w:hint="eastAsia"/>
          <w:szCs w:val="21"/>
        </w:rPr>
      </w:pPr>
      <w:r>
        <w:rPr>
          <w:rFonts w:ascii="宋体" w:hAnsi="宋体" w:hint="eastAsia"/>
          <w:szCs w:val="21"/>
        </w:rPr>
        <w:t>2、乙方在提供服务过程中应自备车辆。自行负责项目人员及车辆、设备等安全。</w:t>
      </w:r>
    </w:p>
    <w:p>
      <w:pPr>
        <w:spacing w:line="360" w:lineRule="auto"/>
        <w:ind w:firstLine="420" w:firstLineChars="200"/>
        <w:rPr>
          <w:rFonts w:ascii="宋体" w:hAnsi="宋体" w:hint="eastAsia"/>
          <w:b/>
          <w:bCs/>
          <w:szCs w:val="21"/>
        </w:rPr>
      </w:pPr>
      <w:r>
        <w:rPr>
          <w:rFonts w:ascii="宋体" w:hAnsi="宋体" w:hint="eastAsia"/>
          <w:b/>
          <w:bCs/>
          <w:szCs w:val="21"/>
        </w:rPr>
        <w:t>第十一条  保密要求</w:t>
      </w:r>
    </w:p>
    <w:p>
      <w:pPr>
        <w:spacing w:line="360" w:lineRule="auto"/>
        <w:ind w:firstLine="420" w:firstLineChars="200"/>
        <w:rPr>
          <w:rFonts w:ascii="宋体" w:hAnsi="宋体" w:hint="eastAsia"/>
          <w:szCs w:val="21"/>
        </w:rPr>
      </w:pPr>
      <w:r>
        <w:rPr>
          <w:rFonts w:ascii="宋体" w:hAnsi="宋体" w:hint="eastAsia"/>
          <w:szCs w:val="21"/>
        </w:rPr>
        <w:t>1、</w:t>
      </w:r>
      <w:r>
        <w:rPr>
          <w:rFonts w:ascii="宋体" w:hAnsi="宋体"/>
          <w:szCs w:val="21"/>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pPr>
        <w:spacing w:line="360" w:lineRule="auto"/>
        <w:ind w:firstLine="420" w:firstLineChars="200"/>
        <w:rPr>
          <w:rFonts w:ascii="宋体" w:hAnsi="宋体" w:hint="eastAsia"/>
          <w:szCs w:val="21"/>
        </w:rPr>
      </w:pPr>
      <w:r>
        <w:rPr>
          <w:rFonts w:ascii="宋体" w:hAnsi="宋体" w:hint="eastAsia"/>
          <w:szCs w:val="21"/>
        </w:rPr>
        <w:t>2、</w:t>
      </w:r>
      <w:r>
        <w:rPr>
          <w:rFonts w:ascii="宋体" w:hAnsi="宋体"/>
          <w:szCs w:val="21"/>
        </w:rPr>
        <w:t>乙方在履行合同过程中所获得或接触到的任何</w:t>
      </w:r>
      <w:r>
        <w:rPr>
          <w:rFonts w:ascii="宋体" w:hAnsi="宋体" w:hint="eastAsia"/>
          <w:szCs w:val="21"/>
        </w:rPr>
        <w:t>内部数据资料，未经甲方同意，不得向第三方透露。</w:t>
      </w:r>
    </w:p>
    <w:p>
      <w:pPr>
        <w:spacing w:line="360" w:lineRule="auto"/>
        <w:ind w:firstLine="420" w:firstLineChars="200"/>
        <w:rPr>
          <w:rFonts w:ascii="宋体" w:hAnsi="宋体" w:hint="eastAsia"/>
          <w:szCs w:val="21"/>
        </w:rPr>
      </w:pPr>
      <w:r>
        <w:rPr>
          <w:rFonts w:ascii="宋体" w:hAnsi="宋体" w:hint="eastAsia"/>
          <w:szCs w:val="21"/>
        </w:rPr>
        <w:t>3、</w:t>
      </w:r>
      <w:r>
        <w:rPr>
          <w:rFonts w:ascii="宋体" w:hAnsi="宋体"/>
          <w:szCs w:val="21"/>
        </w:rPr>
        <w:t>乙方</w:t>
      </w:r>
      <w:r>
        <w:rPr>
          <w:rFonts w:ascii="宋体" w:hAnsi="宋体" w:hint="eastAsia"/>
          <w:szCs w:val="21"/>
        </w:rPr>
        <w:t>实施项目的一切程序都应符合国家安全、保密的有关规定和标准。</w:t>
      </w:r>
    </w:p>
    <w:p>
      <w:pPr>
        <w:spacing w:line="360" w:lineRule="auto"/>
        <w:ind w:firstLine="420" w:firstLineChars="200"/>
        <w:rPr>
          <w:rFonts w:ascii="宋体" w:hAnsi="宋体" w:hint="eastAsia"/>
          <w:szCs w:val="21"/>
        </w:rPr>
      </w:pPr>
      <w:r>
        <w:rPr>
          <w:rFonts w:ascii="宋体" w:hAnsi="宋体" w:hint="eastAsia"/>
          <w:szCs w:val="21"/>
        </w:rPr>
        <w:t>4、</w:t>
      </w:r>
      <w:r>
        <w:rPr>
          <w:rFonts w:ascii="宋体" w:hAnsi="宋体"/>
          <w:szCs w:val="21"/>
        </w:rPr>
        <w:t>乙方</w:t>
      </w:r>
      <w:r>
        <w:rPr>
          <w:rFonts w:ascii="宋体" w:hAnsi="宋体" w:hint="eastAsia"/>
          <w:szCs w:val="21"/>
        </w:rPr>
        <w:t>参加项目的有关人员均需同甲方签订保密协议。</w:t>
      </w:r>
    </w:p>
    <w:p>
      <w:pPr>
        <w:spacing w:line="360" w:lineRule="auto"/>
        <w:ind w:firstLine="420" w:firstLineChars="200"/>
        <w:rPr>
          <w:rFonts w:ascii="宋体" w:hAnsi="宋体" w:hint="eastAsia"/>
          <w:b/>
          <w:bCs/>
          <w:szCs w:val="21"/>
        </w:rPr>
      </w:pPr>
      <w:r>
        <w:rPr>
          <w:rFonts w:ascii="宋体" w:hAnsi="宋体" w:hint="eastAsia"/>
          <w:b/>
          <w:bCs/>
          <w:szCs w:val="21"/>
        </w:rPr>
        <w:t>第十二条  验收</w:t>
      </w:r>
    </w:p>
    <w:p>
      <w:pPr>
        <w:spacing w:line="360" w:lineRule="auto"/>
        <w:ind w:firstLine="420" w:firstLineChars="200"/>
        <w:rPr>
          <w:rFonts w:ascii="宋体" w:hAnsi="宋体" w:hint="eastAsia"/>
          <w:szCs w:val="21"/>
        </w:rPr>
      </w:pPr>
      <w:r>
        <w:rPr>
          <w:rFonts w:ascii="宋体" w:hAnsi="宋体" w:hint="eastAsia"/>
          <w:szCs w:val="21"/>
        </w:rPr>
        <w:t>1、下列文件的验收分为</w:t>
      </w:r>
      <w:r>
        <w:rPr>
          <w:rFonts w:ascii="宋体" w:hAnsi="宋体" w:hint="eastAsia"/>
          <w:szCs w:val="21"/>
          <w:u w:val="single"/>
        </w:rPr>
        <w:t xml:space="preserve">          三</w:t>
      </w:r>
      <w:r>
        <w:rPr>
          <w:rFonts w:ascii="宋体" w:hAnsi="宋体" w:hint="eastAsia"/>
          <w:szCs w:val="21"/>
        </w:rPr>
        <w:t>个阶段:</w:t>
      </w:r>
    </w:p>
    <w:p>
      <w:pPr>
        <w:spacing w:line="360" w:lineRule="auto"/>
        <w:ind w:firstLine="420" w:firstLineChars="200"/>
        <w:rPr>
          <w:rFonts w:ascii="宋体" w:hAnsi="宋体" w:hint="eastAsia"/>
          <w:szCs w:val="21"/>
        </w:rPr>
      </w:pPr>
      <w:r>
        <w:rPr>
          <w:rFonts w:ascii="宋体" w:hAnsi="宋体" w:hint="eastAsia"/>
          <w:szCs w:val="21"/>
        </w:rPr>
        <w:t>2、其余文件和工作由用户组织有关技术人员根据国家和行业有关规范、规程、标准和用户需求直接验收。</w:t>
      </w:r>
    </w:p>
    <w:p>
      <w:pPr>
        <w:spacing w:line="360" w:lineRule="auto"/>
        <w:ind w:firstLine="420" w:firstLineChars="200"/>
        <w:rPr>
          <w:rFonts w:ascii="宋体" w:hAnsi="宋体" w:hint="eastAsia"/>
          <w:szCs w:val="21"/>
        </w:rPr>
      </w:pPr>
      <w:r>
        <w:rPr>
          <w:rFonts w:ascii="宋体" w:hAnsi="宋体" w:hint="eastAsia"/>
          <w:szCs w:val="21"/>
        </w:rPr>
        <w:t>3、验收依据为</w:t>
      </w:r>
      <w:r>
        <w:rPr>
          <w:rFonts w:ascii="宋体" w:hAnsi="宋体" w:hint="eastAsia"/>
          <w:szCs w:val="21"/>
          <w:u w:val="single"/>
        </w:rPr>
        <w:t xml:space="preserve">           </w:t>
      </w:r>
      <w:r>
        <w:rPr>
          <w:rFonts w:ascii="宋体" w:hAnsi="宋体" w:hint="eastAsia"/>
          <w:szCs w:val="21"/>
        </w:rPr>
        <w:t>号招标文件、乙方投标文件，国家和行业有关规范、规程和标准。</w:t>
      </w:r>
    </w:p>
    <w:p>
      <w:pPr>
        <w:spacing w:line="360" w:lineRule="auto"/>
        <w:ind w:firstLine="420" w:firstLineChars="200"/>
        <w:rPr>
          <w:rFonts w:ascii="宋体" w:hAnsi="宋体" w:hint="eastAsia"/>
          <w:b/>
          <w:bCs/>
          <w:szCs w:val="21"/>
        </w:rPr>
      </w:pPr>
      <w:r>
        <w:rPr>
          <w:rFonts w:ascii="宋体" w:hAnsi="宋体" w:hint="eastAsia"/>
          <w:b/>
          <w:bCs/>
          <w:szCs w:val="21"/>
        </w:rPr>
        <w:t>第十三条  付款方式</w:t>
      </w:r>
    </w:p>
    <w:p>
      <w:pPr>
        <w:spacing w:line="360" w:lineRule="auto"/>
        <w:ind w:firstLine="420" w:firstLineChars="200"/>
        <w:rPr>
          <w:rFonts w:ascii="宋体" w:hAnsi="宋体" w:hint="eastAsia"/>
          <w:szCs w:val="21"/>
        </w:rPr>
      </w:pPr>
      <w:r>
        <w:rPr>
          <w:rFonts w:ascii="宋体" w:hAnsi="宋体" w:hint="eastAsia"/>
          <w:szCs w:val="21"/>
        </w:rPr>
        <w:t>1、合同签订后</w:t>
      </w:r>
      <w:r>
        <w:rPr>
          <w:rFonts w:ascii="宋体" w:hAnsi="宋体" w:hint="eastAsia"/>
          <w:szCs w:val="21"/>
          <w:u w:val="single"/>
        </w:rPr>
        <w:t xml:space="preserve">     </w:t>
      </w:r>
      <w:r>
        <w:rPr>
          <w:rFonts w:ascii="宋体" w:hAnsi="宋体" w:hint="eastAsia"/>
          <w:szCs w:val="21"/>
        </w:rPr>
        <w:t>日内，甲方向乙方支付合同总价</w:t>
      </w:r>
      <w:r>
        <w:rPr>
          <w:rFonts w:ascii="宋体" w:hAnsi="宋体" w:hint="eastAsia"/>
          <w:szCs w:val="21"/>
          <w:u w:val="single"/>
        </w:rPr>
        <w:t xml:space="preserve">    </w:t>
      </w:r>
      <w:r>
        <w:rPr>
          <w:rFonts w:ascii="宋体" w:hAnsi="宋体" w:hint="eastAsia"/>
          <w:szCs w:val="21"/>
        </w:rPr>
        <w:t>%的款项。</w:t>
      </w:r>
    </w:p>
    <w:p>
      <w:pPr>
        <w:spacing w:line="360" w:lineRule="auto"/>
        <w:ind w:firstLine="420" w:firstLineChars="200"/>
        <w:rPr>
          <w:rFonts w:ascii="宋体" w:hAnsi="宋体" w:hint="eastAsia"/>
          <w:szCs w:val="21"/>
        </w:rPr>
      </w:pPr>
      <w:r>
        <w:rPr>
          <w:rFonts w:ascii="宋体" w:hAnsi="宋体" w:hint="eastAsia"/>
          <w:szCs w:val="21"/>
        </w:rPr>
        <w:t>2、检测完成并提交评估报告后，甲方向乙方支付合同总价</w:t>
      </w:r>
      <w:r>
        <w:rPr>
          <w:rFonts w:ascii="宋体" w:hAnsi="宋体" w:hint="eastAsia"/>
          <w:szCs w:val="21"/>
          <w:u w:val="single"/>
        </w:rPr>
        <w:t xml:space="preserve">    </w:t>
      </w:r>
      <w:r>
        <w:rPr>
          <w:rFonts w:ascii="宋体" w:hAnsi="宋体" w:hint="eastAsia"/>
          <w:szCs w:val="21"/>
        </w:rPr>
        <w:t>%的款项。</w:t>
      </w:r>
    </w:p>
    <w:p>
      <w:pPr>
        <w:spacing w:line="360" w:lineRule="auto"/>
        <w:ind w:firstLine="420" w:firstLineChars="200"/>
        <w:rPr>
          <w:rFonts w:ascii="宋体" w:hAnsi="宋体" w:hint="eastAsia"/>
          <w:szCs w:val="21"/>
        </w:rPr>
      </w:pPr>
      <w:r>
        <w:rPr>
          <w:rFonts w:ascii="宋体" w:hAnsi="宋体" w:hint="eastAsia"/>
          <w:szCs w:val="21"/>
        </w:rPr>
        <w:t>3、报告通过专家评审后，甲方向乙方支付合同总价</w:t>
      </w:r>
      <w:r>
        <w:rPr>
          <w:rFonts w:ascii="宋体" w:hAnsi="宋体" w:hint="eastAsia"/>
          <w:szCs w:val="21"/>
          <w:u w:val="single"/>
        </w:rPr>
        <w:t xml:space="preserve">    </w:t>
      </w:r>
      <w:r>
        <w:rPr>
          <w:rFonts w:ascii="宋体" w:hAnsi="宋体" w:hint="eastAsia"/>
          <w:szCs w:val="21"/>
        </w:rPr>
        <w:t>%的款项。</w:t>
      </w:r>
    </w:p>
    <w:p>
      <w:pPr>
        <w:pStyle w:val="11"/>
      </w:pPr>
      <w:r>
        <w:rPr>
          <w:rFonts w:hint="eastAsia"/>
          <w:szCs w:val="21"/>
        </w:rPr>
        <w:t xml:space="preserve">    4、</w:t>
      </w:r>
      <w:r>
        <w:rPr>
          <w:rFonts w:cs="Times New Roman" w:hint="eastAsia"/>
          <w:szCs w:val="21"/>
        </w:rPr>
        <w:t>以合同约定为准。</w:t>
      </w:r>
    </w:p>
    <w:p>
      <w:pPr>
        <w:spacing w:line="360" w:lineRule="auto"/>
        <w:ind w:firstLine="420" w:firstLineChars="200"/>
        <w:rPr>
          <w:rFonts w:ascii="宋体" w:hAnsi="宋体" w:hint="eastAsia"/>
          <w:b/>
          <w:bCs/>
          <w:szCs w:val="21"/>
        </w:rPr>
      </w:pPr>
      <w:r>
        <w:rPr>
          <w:rFonts w:ascii="宋体" w:hAnsi="宋体" w:hint="eastAsia"/>
          <w:b/>
          <w:bCs/>
          <w:szCs w:val="21"/>
        </w:rPr>
        <w:t>第十四条  争议解决办法</w:t>
      </w:r>
    </w:p>
    <w:p>
      <w:pPr>
        <w:spacing w:line="360" w:lineRule="auto"/>
        <w:ind w:firstLine="420" w:firstLineChars="200"/>
        <w:rPr>
          <w:rFonts w:ascii="宋体" w:hAnsi="宋体" w:hint="eastAsia"/>
          <w:b/>
          <w:bCs/>
          <w:szCs w:val="21"/>
        </w:rPr>
      </w:pPr>
      <w:r>
        <w:rPr>
          <w:rFonts w:ascii="宋体" w:hAnsi="宋体" w:hint="eastAsia"/>
          <w:szCs w:val="21"/>
        </w:rPr>
        <w:t>执行本合同发生的争议，由甲乙双方协商解决。</w:t>
      </w:r>
    </w:p>
    <w:p>
      <w:pPr>
        <w:spacing w:line="360" w:lineRule="auto"/>
        <w:ind w:firstLine="420" w:firstLineChars="200"/>
        <w:rPr>
          <w:rFonts w:ascii="宋体" w:hAnsi="宋体" w:hint="eastAsia"/>
          <w:b/>
          <w:bCs/>
          <w:szCs w:val="21"/>
        </w:rPr>
      </w:pPr>
      <w:r>
        <w:rPr>
          <w:rFonts w:ascii="宋体" w:hAnsi="宋体" w:hint="eastAsia"/>
          <w:b/>
          <w:bCs/>
          <w:szCs w:val="21"/>
        </w:rPr>
        <w:t>第十五条  风险责任</w:t>
      </w:r>
    </w:p>
    <w:p>
      <w:pPr>
        <w:spacing w:line="360" w:lineRule="auto"/>
        <w:ind w:firstLine="420" w:firstLineChars="200"/>
        <w:rPr>
          <w:rFonts w:ascii="宋体" w:hAnsi="宋体" w:hint="eastAsia"/>
          <w:szCs w:val="21"/>
        </w:rPr>
      </w:pPr>
      <w:r>
        <w:rPr>
          <w:rFonts w:ascii="宋体" w:hAnsi="宋体" w:hint="eastAsia"/>
          <w:szCs w:val="21"/>
        </w:rPr>
        <w:t>１、乙方应完全地按照</w:t>
      </w:r>
      <w:r>
        <w:rPr>
          <w:rFonts w:ascii="宋体" w:hAnsi="宋体" w:hint="eastAsia"/>
          <w:szCs w:val="21"/>
          <w:u w:val="single"/>
        </w:rPr>
        <w:t xml:space="preserve">           </w:t>
      </w:r>
      <w:r>
        <w:rPr>
          <w:rFonts w:ascii="宋体" w:hAnsi="宋体" w:hint="eastAsia"/>
          <w:szCs w:val="21"/>
        </w:rPr>
        <w:t>号招标文件的要求和乙方投标文件的承诺完成本项目，出于自身财务、技术、人力等原因导致项目失败的，应承担全部责任。</w:t>
      </w:r>
    </w:p>
    <w:p>
      <w:pPr>
        <w:spacing w:line="360" w:lineRule="auto"/>
        <w:ind w:firstLine="420" w:firstLineChars="200"/>
        <w:rPr>
          <w:rFonts w:ascii="宋体" w:hAnsi="宋体" w:hint="eastAsia"/>
          <w:szCs w:val="21"/>
        </w:rPr>
      </w:pPr>
      <w:r>
        <w:rPr>
          <w:rFonts w:ascii="宋体" w:hAnsi="宋体" w:hint="eastAsia"/>
          <w:szCs w:val="21"/>
        </w:rPr>
        <w:t>2、乙方在实施荷载试验过程中应对自身的安全生产负责，若由乙方原因发生的各种事故甲方不承担任何责任。</w:t>
      </w:r>
    </w:p>
    <w:p>
      <w:pPr>
        <w:spacing w:line="360" w:lineRule="auto"/>
        <w:ind w:firstLine="420" w:firstLineChars="200"/>
        <w:rPr>
          <w:rFonts w:ascii="宋体" w:hAnsi="宋体" w:hint="eastAsia"/>
          <w:b/>
          <w:bCs/>
          <w:szCs w:val="21"/>
        </w:rPr>
      </w:pPr>
      <w:r>
        <w:rPr>
          <w:rFonts w:ascii="宋体" w:hAnsi="宋体" w:hint="eastAsia"/>
          <w:b/>
          <w:bCs/>
          <w:szCs w:val="21"/>
        </w:rPr>
        <w:t>第十六条  违约责任</w:t>
      </w:r>
    </w:p>
    <w:p>
      <w:pPr>
        <w:pStyle w:val="BodyTextIndent0"/>
        <w:rPr>
          <w:rFonts w:ascii="宋体" w:hAnsi="宋体" w:hint="eastAsia"/>
          <w:color w:val="auto"/>
          <w:sz w:val="21"/>
          <w:szCs w:val="21"/>
        </w:rPr>
      </w:pPr>
      <w:r>
        <w:rPr>
          <w:rFonts w:ascii="宋体" w:hAnsi="宋体" w:hint="eastAsia"/>
          <w:color w:val="auto"/>
          <w:sz w:val="21"/>
          <w:szCs w:val="21"/>
        </w:rPr>
        <w:t>１、因乙方原因，未能按规定时间完成有关工作的，每延误一日，甲方可在支付合同余款中扣除合同价款千分之一且金额不得超过损失额的30%。</w:t>
      </w:r>
    </w:p>
    <w:p>
      <w:pPr>
        <w:spacing w:line="360" w:lineRule="auto"/>
        <w:ind w:firstLine="420" w:firstLineChars="200"/>
        <w:rPr>
          <w:rFonts w:ascii="宋体" w:hAnsi="宋体" w:hint="eastAsia"/>
          <w:szCs w:val="21"/>
        </w:rPr>
      </w:pPr>
      <w:r>
        <w:rPr>
          <w:rFonts w:ascii="宋体" w:hAnsi="宋体" w:hint="eastAsia"/>
          <w:szCs w:val="21"/>
        </w:rPr>
        <w:t>2、由于乙方原因造成试验成果质量低劣，不能满足大纲要求时，应继续完善试验工作，其费用由乙方承担。</w:t>
      </w:r>
    </w:p>
    <w:p>
      <w:pPr>
        <w:spacing w:line="360" w:lineRule="auto"/>
        <w:ind w:firstLine="420" w:firstLineChars="200"/>
        <w:rPr>
          <w:rFonts w:ascii="宋体" w:hAnsi="宋体" w:hint="eastAsia"/>
          <w:szCs w:val="21"/>
        </w:rPr>
      </w:pPr>
      <w:r>
        <w:rPr>
          <w:rFonts w:ascii="宋体" w:hAnsi="宋体" w:hint="eastAsia"/>
          <w:szCs w:val="21"/>
        </w:rPr>
        <w:t>3、如乙方提供的咨询服务文件不符合质量要求，必须在甲方提出要求后7日内无条件修改，其费用由乙方承担。</w:t>
      </w:r>
    </w:p>
    <w:p>
      <w:pPr>
        <w:spacing w:line="360" w:lineRule="auto"/>
        <w:ind w:firstLine="420" w:firstLineChars="200"/>
        <w:rPr>
          <w:rFonts w:ascii="宋体" w:hAnsi="宋体" w:hint="eastAsia"/>
          <w:szCs w:val="21"/>
        </w:rPr>
      </w:pPr>
      <w:r>
        <w:rPr>
          <w:rFonts w:ascii="宋体" w:hAnsi="宋体" w:hint="eastAsia"/>
          <w:szCs w:val="21"/>
        </w:rPr>
        <w:t>4、若甲方发现乙方派出的试验服务人员或提供的试验仪器设备不符合合同要求，乙方应在3日之内按要求派出人员或提供满足投标文件承诺的仪器设备，否则甲方有权终止合同，并保留追究乙方责任及要求赔偿损失的权利。</w:t>
      </w:r>
    </w:p>
    <w:p>
      <w:pPr>
        <w:pStyle w:val="11"/>
        <w:ind w:firstLine="210" w:firstLineChars="100"/>
        <w:rPr>
          <w:rFonts w:hint="eastAsia"/>
        </w:rPr>
      </w:pPr>
      <w:r>
        <w:rPr>
          <w:rFonts w:hint="eastAsia"/>
          <w:szCs w:val="21"/>
        </w:rPr>
        <w:t>5、</w:t>
      </w:r>
      <w:r>
        <w:rPr>
          <w:rFonts w:cs="Times New Roman" w:hint="eastAsia"/>
          <w:szCs w:val="21"/>
        </w:rPr>
        <w:t>具体以合同约定为准。</w:t>
      </w:r>
    </w:p>
    <w:p>
      <w:pPr>
        <w:spacing w:line="360" w:lineRule="auto"/>
        <w:ind w:firstLine="420" w:firstLineChars="200"/>
        <w:rPr>
          <w:rFonts w:ascii="宋体" w:hAnsi="宋体" w:hint="eastAsia"/>
          <w:b/>
          <w:bCs/>
          <w:szCs w:val="21"/>
        </w:rPr>
      </w:pPr>
      <w:r>
        <w:rPr>
          <w:rFonts w:ascii="宋体" w:hAnsi="宋体" w:hint="eastAsia"/>
          <w:b/>
          <w:bCs/>
          <w:szCs w:val="21"/>
        </w:rPr>
        <w:t>第十七条  其他</w:t>
      </w:r>
    </w:p>
    <w:p>
      <w:pPr>
        <w:spacing w:line="360" w:lineRule="auto"/>
        <w:ind w:firstLine="420" w:firstLineChars="200"/>
        <w:rPr>
          <w:rFonts w:ascii="宋体" w:hAnsi="宋体" w:hint="eastAsia"/>
          <w:szCs w:val="21"/>
        </w:rPr>
      </w:pPr>
      <w:r>
        <w:rPr>
          <w:rFonts w:ascii="宋体" w:hAnsi="宋体" w:hint="eastAsia"/>
          <w:szCs w:val="21"/>
        </w:rPr>
        <w:t>1、本合同与</w:t>
      </w:r>
      <w:r>
        <w:rPr>
          <w:rFonts w:ascii="宋体" w:hAnsi="宋体" w:hint="eastAsia"/>
          <w:szCs w:val="21"/>
          <w:u w:val="single"/>
        </w:rPr>
        <w:t xml:space="preserve">        </w:t>
      </w:r>
      <w:r>
        <w:rPr>
          <w:rFonts w:ascii="宋体" w:hAnsi="宋体" w:hint="eastAsia"/>
          <w:szCs w:val="21"/>
        </w:rPr>
        <w:t>号招标文件、乙方投标文件如有抵触之处，以本合同条款为准。</w:t>
      </w:r>
    </w:p>
    <w:p>
      <w:pPr>
        <w:spacing w:line="360" w:lineRule="auto"/>
        <w:ind w:firstLine="420" w:firstLineChars="200"/>
        <w:rPr>
          <w:rFonts w:ascii="宋体" w:hAnsi="宋体" w:hint="eastAsia"/>
          <w:szCs w:val="21"/>
        </w:rPr>
      </w:pPr>
      <w:r>
        <w:rPr>
          <w:rFonts w:ascii="宋体" w:hAnsi="宋体" w:hint="eastAsia"/>
          <w:szCs w:val="21"/>
        </w:rPr>
        <w:t>2、下列文件均为本合同的组成部分：</w:t>
      </w:r>
    </w:p>
    <w:p>
      <w:pPr>
        <w:spacing w:line="360" w:lineRule="auto"/>
        <w:ind w:firstLine="420" w:firstLineChars="200"/>
        <w:rPr>
          <w:rFonts w:ascii="宋体" w:hAnsi="宋体" w:hint="eastAsia"/>
          <w:szCs w:val="21"/>
        </w:rPr>
      </w:pPr>
      <w:r>
        <w:rPr>
          <w:rFonts w:ascii="宋体" w:hAnsi="宋体" w:hint="eastAsia"/>
          <w:szCs w:val="21"/>
        </w:rPr>
        <w:t>（1）</w:t>
      </w:r>
      <w:r>
        <w:rPr>
          <w:rFonts w:ascii="宋体" w:hAnsi="宋体" w:hint="eastAsia"/>
          <w:szCs w:val="21"/>
          <w:u w:val="single"/>
        </w:rPr>
        <w:t xml:space="preserve">         </w:t>
      </w:r>
      <w:r>
        <w:rPr>
          <w:rFonts w:ascii="宋体" w:hAnsi="宋体" w:hint="eastAsia"/>
          <w:szCs w:val="21"/>
        </w:rPr>
        <w:t>号招标文件、答疑及补充通知；</w:t>
      </w:r>
    </w:p>
    <w:p>
      <w:pPr>
        <w:spacing w:line="360" w:lineRule="auto"/>
        <w:ind w:firstLine="420" w:firstLineChars="200"/>
        <w:rPr>
          <w:rFonts w:ascii="宋体" w:hAnsi="宋体" w:hint="eastAsia"/>
          <w:szCs w:val="21"/>
        </w:rPr>
      </w:pPr>
      <w:r>
        <w:rPr>
          <w:rFonts w:ascii="宋体" w:hAnsi="宋体" w:hint="eastAsia"/>
          <w:szCs w:val="21"/>
        </w:rPr>
        <w:t>（2）投标文件；</w:t>
      </w:r>
    </w:p>
    <w:p>
      <w:pPr>
        <w:spacing w:line="360" w:lineRule="auto"/>
        <w:ind w:firstLine="420" w:firstLineChars="200"/>
        <w:rPr>
          <w:rFonts w:ascii="宋体" w:hAnsi="宋体" w:hint="eastAsia"/>
          <w:szCs w:val="21"/>
        </w:rPr>
      </w:pPr>
      <w:r>
        <w:rPr>
          <w:rFonts w:ascii="宋体" w:hAnsi="宋体" w:hint="eastAsia"/>
          <w:szCs w:val="21"/>
        </w:rPr>
        <w:t>（3）本合同执行中共同签署的补充与修正文件。</w:t>
      </w:r>
    </w:p>
    <w:p>
      <w:pPr>
        <w:spacing w:line="360" w:lineRule="auto"/>
        <w:ind w:firstLine="420" w:firstLineChars="200"/>
        <w:rPr>
          <w:rFonts w:ascii="宋体" w:hAnsi="宋体" w:hint="eastAsia"/>
          <w:szCs w:val="21"/>
        </w:rPr>
      </w:pPr>
      <w:r>
        <w:rPr>
          <w:rFonts w:ascii="宋体" w:hAnsi="宋体" w:hint="eastAsia"/>
          <w:szCs w:val="21"/>
        </w:rPr>
        <w:t>本合同一式</w:t>
      </w:r>
      <w:r>
        <w:rPr>
          <w:rFonts w:ascii="宋体" w:hAnsi="宋体" w:hint="eastAsia"/>
          <w:szCs w:val="21"/>
          <w:u w:val="single"/>
        </w:rPr>
        <w:t xml:space="preserve">     </w:t>
      </w:r>
      <w:r>
        <w:rPr>
          <w:rFonts w:ascii="宋体" w:hAnsi="宋体" w:hint="eastAsia"/>
          <w:szCs w:val="21"/>
        </w:rPr>
        <w:t>份，甲、乙方双方各执</w:t>
      </w:r>
      <w:r>
        <w:rPr>
          <w:rFonts w:ascii="宋体" w:hAnsi="宋体" w:hint="eastAsia"/>
          <w:szCs w:val="21"/>
          <w:u w:val="single"/>
        </w:rPr>
        <w:t xml:space="preserve">     </w:t>
      </w:r>
      <w:r>
        <w:rPr>
          <w:rFonts w:ascii="宋体" w:hAnsi="宋体" w:hint="eastAsia"/>
          <w:szCs w:val="21"/>
        </w:rPr>
        <w:t>份，具有同等法律效力。本合同自双方法人代表签字（盖章）认可之日起生效。</w:t>
      </w:r>
    </w:p>
    <w:p>
      <w:pPr>
        <w:spacing w:line="360" w:lineRule="auto"/>
        <w:ind w:firstLine="420" w:firstLineChars="200"/>
        <w:rPr>
          <w:rFonts w:ascii="宋体" w:hAnsi="宋体" w:hint="eastAsia"/>
          <w:szCs w:val="21"/>
        </w:rPr>
      </w:pPr>
      <w:r>
        <w:rPr>
          <w:rFonts w:ascii="宋体" w:hAnsi="宋体" w:hint="eastAsia"/>
          <w:szCs w:val="21"/>
        </w:rPr>
        <w:t>本合同未尽事宜，双方友好协商，达成解决方案，经双方签字后，可作为本合同的有效附件。</w:t>
      </w:r>
    </w:p>
    <w:p>
      <w:pPr>
        <w:pStyle w:val="BodyText"/>
        <w:rPr>
          <w:rFonts w:hint="eastAsia"/>
        </w:rPr>
      </w:pPr>
    </w:p>
    <w:p>
      <w:pPr>
        <w:spacing w:line="360" w:lineRule="auto"/>
        <w:rPr>
          <w:rFonts w:ascii="宋体" w:hAnsi="宋体" w:hint="eastAsia"/>
          <w:szCs w:val="21"/>
        </w:rPr>
      </w:pPr>
    </w:p>
    <w:p>
      <w:pPr>
        <w:spacing w:line="360" w:lineRule="auto"/>
        <w:rPr>
          <w:rFonts w:ascii="宋体" w:hAnsi="宋体" w:hint="eastAsia"/>
          <w:szCs w:val="21"/>
        </w:rPr>
      </w:pPr>
    </w:p>
    <w:p>
      <w:pPr>
        <w:spacing w:line="360" w:lineRule="auto"/>
        <w:rPr>
          <w:rFonts w:ascii="宋体" w:hAnsi="宋体" w:hint="eastAsia"/>
          <w:szCs w:val="21"/>
          <w:u w:val="single"/>
        </w:rPr>
      </w:pPr>
      <w:r>
        <w:rPr>
          <w:rFonts w:ascii="宋体" w:hAnsi="宋体" w:hint="eastAsia"/>
          <w:szCs w:val="21"/>
        </w:rPr>
        <w:t>甲方：</w:t>
      </w:r>
      <w:r>
        <w:rPr>
          <w:rFonts w:ascii="宋体" w:hAnsi="宋体" w:hint="eastAsia"/>
          <w:szCs w:val="21"/>
          <w:u w:val="single"/>
        </w:rPr>
        <w:t xml:space="preserve">                                </w:t>
      </w:r>
      <w:r>
        <w:rPr>
          <w:rFonts w:ascii="宋体" w:hAnsi="宋体" w:hint="eastAsia"/>
          <w:szCs w:val="21"/>
        </w:rPr>
        <w:t xml:space="preserve">    乙方：</w:t>
      </w:r>
      <w:r>
        <w:rPr>
          <w:rFonts w:ascii="宋体" w:hAnsi="宋体" w:hint="eastAsia"/>
          <w:szCs w:val="21"/>
          <w:u w:val="single"/>
        </w:rPr>
        <w:t xml:space="preserve">                            </w:t>
      </w:r>
    </w:p>
    <w:p>
      <w:pPr>
        <w:spacing w:line="360" w:lineRule="auto"/>
        <w:ind w:firstLine="1890" w:firstLineChars="900"/>
        <w:rPr>
          <w:rFonts w:ascii="宋体" w:hAnsi="宋体" w:hint="eastAsia"/>
          <w:szCs w:val="21"/>
        </w:rPr>
      </w:pPr>
      <w:r>
        <w:rPr>
          <w:rFonts w:ascii="宋体" w:hAnsi="宋体" w:hint="eastAsia"/>
          <w:szCs w:val="21"/>
        </w:rPr>
        <w:t xml:space="preserve">（签章）                 </w:t>
      </w:r>
      <w:r>
        <w:rPr>
          <w:rFonts w:ascii="宋体" w:hAnsi="宋体"/>
          <w:szCs w:val="21"/>
        </w:rPr>
        <w:t xml:space="preserve">        </w:t>
      </w:r>
      <w:r>
        <w:rPr>
          <w:rFonts w:ascii="宋体" w:hAnsi="宋体" w:hint="eastAsia"/>
          <w:szCs w:val="21"/>
        </w:rPr>
        <w:t xml:space="preserve">        （签章）</w:t>
      </w:r>
    </w:p>
    <w:p>
      <w:pPr>
        <w:spacing w:line="360" w:lineRule="auto"/>
        <w:ind w:firstLine="2730" w:firstLineChars="1300"/>
        <w:rPr>
          <w:rFonts w:ascii="宋体" w:hAnsi="宋体" w:hint="eastAsia"/>
          <w:szCs w:val="21"/>
        </w:rPr>
      </w:pPr>
      <w:r>
        <w:rPr>
          <w:rFonts w:ascii="宋体" w:hAnsi="宋体" w:hint="eastAsia"/>
          <w:szCs w:val="21"/>
        </w:rPr>
        <w:t xml:space="preserve">              </w:t>
      </w:r>
      <w:r>
        <w:rPr>
          <w:rFonts w:ascii="宋体" w:hAnsi="宋体"/>
          <w:szCs w:val="21"/>
        </w:rPr>
        <w:t xml:space="preserve"> </w:t>
      </w:r>
    </w:p>
    <w:p>
      <w:pPr>
        <w:spacing w:line="360" w:lineRule="auto"/>
        <w:rPr>
          <w:rFonts w:ascii="宋体" w:hAnsi="宋体" w:hint="eastAsia"/>
          <w:szCs w:val="21"/>
        </w:rPr>
      </w:pPr>
      <w:r>
        <w:rPr>
          <w:rFonts w:ascii="宋体" w:hAnsi="宋体" w:hint="eastAsia"/>
          <w:szCs w:val="21"/>
        </w:rPr>
        <w:t xml:space="preserve">地址：                        </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地址： </w:t>
      </w:r>
    </w:p>
    <w:p>
      <w:pPr>
        <w:spacing w:line="360" w:lineRule="auto"/>
        <w:rPr>
          <w:rFonts w:ascii="宋体" w:hAnsi="宋体" w:hint="eastAsia"/>
          <w:szCs w:val="21"/>
        </w:rPr>
      </w:pPr>
      <w:r>
        <w:rPr>
          <w:rFonts w:ascii="宋体" w:hAnsi="宋体" w:hint="eastAsia"/>
          <w:szCs w:val="21"/>
        </w:rPr>
        <w:t>法定代表人：（签章）</w:t>
      </w:r>
      <w:r>
        <w:rPr>
          <w:rFonts w:ascii="宋体" w:hAnsi="宋体"/>
          <w:szCs w:val="21"/>
        </w:rPr>
        <w:t xml:space="preserve">        </w:t>
      </w:r>
      <w:r>
        <w:rPr>
          <w:rFonts w:ascii="宋体" w:hAnsi="宋体" w:hint="eastAsia"/>
          <w:szCs w:val="21"/>
        </w:rPr>
        <w:t xml:space="preserve">              法定代表人：（签章）</w:t>
      </w:r>
    </w:p>
    <w:p>
      <w:pPr>
        <w:spacing w:line="360" w:lineRule="auto"/>
        <w:rPr>
          <w:rFonts w:ascii="宋体" w:hAnsi="宋体" w:hint="eastAsia"/>
          <w:szCs w:val="21"/>
        </w:rPr>
      </w:pPr>
      <w:r>
        <w:rPr>
          <w:rFonts w:ascii="宋体" w:hAnsi="宋体" w:hint="eastAsia"/>
          <w:szCs w:val="21"/>
        </w:rPr>
        <w:t xml:space="preserve">开户行：                   </w:t>
      </w:r>
      <w:r>
        <w:rPr>
          <w:rFonts w:ascii="宋体" w:hAnsi="宋体"/>
          <w:szCs w:val="21"/>
        </w:rPr>
        <w:t xml:space="preserve">        </w:t>
      </w:r>
      <w:r>
        <w:rPr>
          <w:rFonts w:ascii="宋体" w:hAnsi="宋体" w:hint="eastAsia"/>
          <w:szCs w:val="21"/>
        </w:rPr>
        <w:t xml:space="preserve">       开户行：</w:t>
      </w:r>
    </w:p>
    <w:p>
      <w:pPr>
        <w:spacing w:line="360" w:lineRule="auto"/>
        <w:rPr>
          <w:rFonts w:ascii="宋体" w:hAnsi="宋体" w:hint="eastAsia"/>
          <w:szCs w:val="21"/>
        </w:rPr>
      </w:pPr>
      <w:r>
        <w:rPr>
          <w:rFonts w:ascii="宋体" w:hAnsi="宋体" w:hint="eastAsia"/>
          <w:szCs w:val="21"/>
        </w:rPr>
        <w:t>人民币账号：</w:t>
      </w:r>
      <w:r>
        <w:rPr>
          <w:rFonts w:ascii="宋体" w:hAnsi="宋体"/>
          <w:szCs w:val="21"/>
        </w:rPr>
        <w:t xml:space="preserve">        </w:t>
      </w:r>
      <w:r>
        <w:rPr>
          <w:rFonts w:ascii="宋体" w:hAnsi="宋体" w:hint="eastAsia"/>
          <w:szCs w:val="21"/>
        </w:rPr>
        <w:t xml:space="preserve">                      人民币账号：</w:t>
      </w:r>
    </w:p>
    <w:p>
      <w:pPr>
        <w:spacing w:line="360" w:lineRule="auto"/>
        <w:rPr>
          <w:rFonts w:ascii="宋体" w:hAnsi="宋体" w:hint="eastAsia"/>
          <w:szCs w:val="21"/>
        </w:rPr>
      </w:pPr>
      <w:r>
        <w:rPr>
          <w:rFonts w:ascii="宋体" w:hAnsi="宋体" w:hint="eastAsia"/>
          <w:szCs w:val="21"/>
        </w:rPr>
        <w:t xml:space="preserve">联系人：            </w:t>
      </w:r>
      <w:r>
        <w:rPr>
          <w:rFonts w:ascii="宋体" w:hAnsi="宋体"/>
          <w:szCs w:val="21"/>
        </w:rPr>
        <w:t xml:space="preserve">        </w:t>
      </w:r>
      <w:r>
        <w:rPr>
          <w:rFonts w:ascii="宋体" w:hAnsi="宋体" w:hint="eastAsia"/>
          <w:szCs w:val="21"/>
        </w:rPr>
        <w:t xml:space="preserve">              联系人：</w:t>
      </w:r>
    </w:p>
    <w:p>
      <w:pPr>
        <w:spacing w:line="360" w:lineRule="auto"/>
        <w:rPr>
          <w:rFonts w:ascii="宋体" w:hAnsi="宋体" w:hint="eastAsia"/>
          <w:szCs w:val="21"/>
        </w:rPr>
      </w:pPr>
      <w:r>
        <w:rPr>
          <w:rFonts w:ascii="宋体" w:hAnsi="宋体" w:hint="eastAsia"/>
          <w:szCs w:val="21"/>
        </w:rPr>
        <w:t xml:space="preserve">电话：                      </w:t>
      </w:r>
      <w:r>
        <w:rPr>
          <w:rFonts w:ascii="宋体" w:hAnsi="宋体"/>
          <w:szCs w:val="21"/>
        </w:rPr>
        <w:t xml:space="preserve">        </w:t>
      </w:r>
      <w:r>
        <w:rPr>
          <w:rFonts w:ascii="宋体" w:hAnsi="宋体" w:hint="eastAsia"/>
          <w:szCs w:val="21"/>
        </w:rPr>
        <w:t xml:space="preserve">      电话：</w:t>
      </w:r>
    </w:p>
    <w:p>
      <w:pPr>
        <w:spacing w:line="360" w:lineRule="auto"/>
        <w:rPr>
          <w:rFonts w:ascii="宋体" w:hAnsi="宋体"/>
          <w:szCs w:val="21"/>
        </w:rPr>
      </w:pPr>
      <w:r>
        <w:rPr>
          <w:rFonts w:ascii="宋体" w:hAnsi="宋体" w:hint="eastAsia"/>
          <w:szCs w:val="21"/>
        </w:rPr>
        <w:t xml:space="preserve">日期：           </w:t>
      </w:r>
      <w:r>
        <w:rPr>
          <w:rFonts w:ascii="宋体" w:hAnsi="宋体"/>
          <w:szCs w:val="21"/>
        </w:rPr>
        <w:t xml:space="preserve">        </w:t>
      </w:r>
      <w:r>
        <w:rPr>
          <w:rFonts w:ascii="宋体" w:hAnsi="宋体" w:hint="eastAsia"/>
          <w:szCs w:val="21"/>
        </w:rPr>
        <w:t xml:space="preserve">                 日期：</w:t>
      </w:r>
    </w:p>
    <w:p>
      <w:pPr>
        <w:adjustRightInd w:val="0"/>
        <w:snapToGrid w:val="0"/>
        <w:spacing w:after="156" w:afterLines="50" w:line="560" w:lineRule="exact"/>
        <w:jc w:val="center"/>
        <w:rPr>
          <w:rFonts w:ascii="黑体" w:eastAsia="黑体" w:hint="eastAsia"/>
          <w:bCs/>
          <w:sz w:val="36"/>
          <w:szCs w:val="36"/>
        </w:rPr>
      </w:pPr>
    </w:p>
    <w:p>
      <w:pPr>
        <w:adjustRightInd w:val="0"/>
        <w:snapToGrid w:val="0"/>
        <w:spacing w:before="156" w:beforeLines="50" w:after="156" w:afterLines="50" w:line="300" w:lineRule="auto"/>
        <w:rPr>
          <w:sz w:val="24"/>
        </w:rPr>
      </w:pPr>
    </w:p>
    <w:p>
      <w:pPr>
        <w:adjustRightInd w:val="0"/>
        <w:snapToGrid w:val="0"/>
        <w:spacing w:before="156" w:beforeLines="50" w:after="156" w:afterLines="50" w:line="300" w:lineRule="auto"/>
        <w:rPr>
          <w:sz w:val="24"/>
        </w:rPr>
      </w:pPr>
    </w:p>
    <w:p>
      <w:pPr>
        <w:adjustRightInd w:val="0"/>
        <w:snapToGrid w:val="0"/>
        <w:spacing w:before="156" w:beforeLines="50" w:after="156" w:afterLines="50" w:line="300" w:lineRule="auto"/>
        <w:rPr>
          <w:sz w:val="24"/>
        </w:rPr>
      </w:pPr>
    </w:p>
    <w:p>
      <w:pPr>
        <w:adjustRightInd w:val="0"/>
        <w:snapToGrid w:val="0"/>
        <w:spacing w:before="156" w:beforeLines="50" w:after="156" w:afterLines="50" w:line="300" w:lineRule="auto"/>
        <w:rPr>
          <w:sz w:val="24"/>
        </w:rPr>
      </w:pPr>
    </w:p>
    <w:p>
      <w:pPr>
        <w:adjustRightInd w:val="0"/>
        <w:snapToGrid w:val="0"/>
        <w:spacing w:before="156" w:beforeLines="50" w:after="156" w:afterLines="50" w:line="300" w:lineRule="auto"/>
        <w:rPr>
          <w:sz w:val="24"/>
        </w:rPr>
      </w:pPr>
    </w:p>
    <w:p>
      <w:pPr>
        <w:adjustRightInd w:val="0"/>
        <w:snapToGrid w:val="0"/>
        <w:spacing w:before="156" w:beforeLines="50" w:after="156" w:afterLines="50" w:line="300" w:lineRule="auto"/>
        <w:rPr>
          <w:sz w:val="24"/>
        </w:rPr>
      </w:pPr>
    </w:p>
    <w:p>
      <w:pPr>
        <w:adjustRightInd w:val="0"/>
        <w:snapToGrid w:val="0"/>
        <w:spacing w:before="156" w:beforeLines="50" w:after="156" w:afterLines="50" w:line="300" w:lineRule="auto"/>
        <w:rPr>
          <w:sz w:val="24"/>
        </w:rPr>
      </w:pPr>
    </w:p>
    <w:p>
      <w:pPr>
        <w:adjustRightInd w:val="0"/>
        <w:snapToGrid w:val="0"/>
        <w:spacing w:before="156" w:beforeLines="50" w:after="156" w:afterLines="50" w:line="300" w:lineRule="auto"/>
        <w:rPr>
          <w:sz w:val="24"/>
        </w:rPr>
      </w:pPr>
    </w:p>
    <w:p>
      <w:pPr>
        <w:adjustRightInd w:val="0"/>
        <w:snapToGrid w:val="0"/>
        <w:spacing w:before="156" w:beforeLines="50" w:after="156" w:afterLines="50" w:line="300" w:lineRule="auto"/>
        <w:rPr>
          <w:sz w:val="24"/>
        </w:rPr>
      </w:pPr>
    </w:p>
    <w:p>
      <w:pPr>
        <w:adjustRightInd w:val="0"/>
        <w:snapToGrid w:val="0"/>
        <w:spacing w:before="156" w:beforeLines="50" w:after="156" w:afterLines="50" w:line="300" w:lineRule="auto"/>
        <w:rPr>
          <w:sz w:val="24"/>
        </w:rPr>
      </w:pPr>
    </w:p>
    <w:p>
      <w:pPr>
        <w:adjustRightInd w:val="0"/>
        <w:snapToGrid w:val="0"/>
        <w:spacing w:before="156" w:beforeLines="50" w:after="156" w:afterLines="50" w:line="300" w:lineRule="auto"/>
        <w:rPr>
          <w:sz w:val="24"/>
        </w:rPr>
      </w:pPr>
    </w:p>
    <w:p>
      <w:pPr>
        <w:adjustRightInd w:val="0"/>
        <w:snapToGrid w:val="0"/>
        <w:spacing w:before="156" w:beforeLines="50" w:after="156" w:afterLines="50" w:line="300" w:lineRule="auto"/>
        <w:rPr>
          <w:sz w:val="24"/>
        </w:rPr>
      </w:pPr>
    </w:p>
    <w:p>
      <w:pPr>
        <w:adjustRightInd w:val="0"/>
        <w:snapToGrid w:val="0"/>
        <w:spacing w:before="156" w:beforeLines="50" w:after="156" w:afterLines="50" w:line="300" w:lineRule="auto"/>
        <w:rPr>
          <w:sz w:val="24"/>
        </w:rPr>
      </w:pPr>
    </w:p>
    <w:p>
      <w:pPr>
        <w:pStyle w:val="Heading2"/>
        <w:jc w:val="center"/>
      </w:pPr>
      <w:r>
        <w:rPr>
          <w:rFonts w:cs="宋体" w:hint="eastAsia"/>
          <w:b w:val="0"/>
          <w:sz w:val="24"/>
        </w:rPr>
        <w:br w:type="page"/>
      </w:r>
      <w:bookmarkStart w:id="369" w:name="_Toc23434"/>
      <w:bookmarkStart w:id="370" w:name="_Toc3289"/>
      <w:bookmarkStart w:id="371" w:name="_Toc30638"/>
      <w:bookmarkStart w:id="372" w:name="_Toc5399"/>
      <w:bookmarkStart w:id="373" w:name="_Toc256000029"/>
      <w:r>
        <w:rPr>
          <w:rFonts w:hint="eastAsia"/>
        </w:rPr>
        <w:t>第五章  投标文件的格式、附件</w:t>
      </w:r>
      <w:bookmarkEnd w:id="373"/>
      <w:bookmarkEnd w:id="369"/>
      <w:bookmarkEnd w:id="370"/>
      <w:bookmarkEnd w:id="371"/>
      <w:bookmarkEnd w:id="372"/>
    </w:p>
    <w:p>
      <w:pPr>
        <w:spacing w:line="480" w:lineRule="auto"/>
        <w:rPr>
          <w:rFonts w:ascii="宋体" w:hAnsi="宋体" w:cs="Arial" w:hint="eastAsia"/>
          <w:b/>
          <w:bCs/>
          <w:sz w:val="24"/>
        </w:rPr>
      </w:pPr>
      <w:bookmarkEnd w:id="368"/>
      <w:bookmarkStart w:id="374" w:name="_Toc22923"/>
      <w:bookmarkStart w:id="375" w:name="_Toc528574688"/>
      <w:r>
        <w:rPr>
          <w:rFonts w:ascii="宋体" w:hAnsi="宋体" w:cs="Arial" w:hint="eastAsia"/>
          <w:b/>
          <w:bCs/>
          <w:sz w:val="24"/>
        </w:rPr>
        <w:t>特别提醒：</w:t>
      </w:r>
    </w:p>
    <w:p>
      <w:pPr>
        <w:spacing w:line="360" w:lineRule="auto"/>
        <w:ind w:firstLine="420" w:firstLineChars="200"/>
        <w:rPr>
          <w:rFonts w:ascii="宋体" w:hAnsi="宋体" w:cs="宋体" w:hint="eastAsia"/>
          <w:szCs w:val="21"/>
        </w:rPr>
      </w:pPr>
      <w:r>
        <w:rPr>
          <w:rFonts w:ascii="宋体" w:hAnsi="宋体" w:cs="宋体" w:hint="eastAsia"/>
          <w:szCs w:val="21"/>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spacing w:line="360" w:lineRule="auto"/>
        <w:ind w:firstLine="420" w:firstLineChars="200"/>
        <w:rPr>
          <w:rFonts w:ascii="宋体" w:hAnsi="宋体" w:cs="宋体" w:hint="eastAsia"/>
          <w:szCs w:val="21"/>
        </w:rPr>
      </w:pPr>
      <w:r>
        <w:rPr>
          <w:rFonts w:ascii="宋体" w:hAnsi="宋体" w:cs="宋体" w:hint="eastAsia"/>
          <w:szCs w:val="21"/>
        </w:rPr>
        <w:t>投标文件正文（信息公开部分）必须编制于“投标书目录”，投标文件附件（非信息公开部分）必须编制于“投标书附件”，如下图所示。</w:t>
      </w:r>
    </w:p>
    <w:p>
      <w:pPr>
        <w:spacing w:line="360" w:lineRule="auto"/>
        <w:rPr>
          <w:rFonts w:ascii="宋体" w:hAnsi="宋体" w:cs="宋体" w:hint="eastAsia"/>
          <w:szCs w:val="21"/>
        </w:rPr>
      </w:pPr>
      <w:r>
        <w:rPr>
          <w:rFonts w:ascii="宋体" w:hAnsi="宋体" w:cs="宋体" w:hint="eastAsia"/>
          <w:szCs w:val="21"/>
        </w:rPr>
        <w:drawing>
          <wp:inline distT="0" distB="0" distL="114300" distR="114300">
            <wp:extent cx="5274310" cy="4122420"/>
            <wp:effectExtent l="0" t="0" r="2540" b="1143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xmlns:r="http://schemas.openxmlformats.org/officeDocument/2006/relationships" r:embed="rId6"/>
                    <a:stretch>
                      <a:fillRect/>
                    </a:stretch>
                  </pic:blipFill>
                  <pic:spPr>
                    <a:xfrm>
                      <a:off x="0" y="0"/>
                      <a:ext cx="5274310" cy="4122420"/>
                    </a:xfrm>
                    <a:prstGeom prst="rect">
                      <a:avLst/>
                    </a:prstGeom>
                    <a:noFill/>
                    <a:ln>
                      <a:noFill/>
                    </a:ln>
                  </pic:spPr>
                </pic:pic>
              </a:graphicData>
            </a:graphic>
          </wp:inline>
        </w:drawing>
      </w:r>
    </w:p>
    <w:p>
      <w:pPr>
        <w:spacing w:line="360" w:lineRule="auto"/>
        <w:ind w:firstLine="420" w:firstLineChars="200"/>
        <w:rPr>
          <w:rFonts w:ascii="宋体" w:hAnsi="宋体" w:cs="宋体" w:hint="eastAsia"/>
          <w:bCs/>
          <w:szCs w:val="21"/>
        </w:rPr>
      </w:pPr>
      <w:r>
        <w:rPr>
          <w:rFonts w:ascii="宋体" w:hAnsi="宋体" w:cs="宋体" w:hint="eastAsia"/>
          <w:szCs w:val="21"/>
        </w:rPr>
        <w:t>政府采购代理机构公布投标文件正文（信息公开部分）时为计算机截取信息自动公布，</w:t>
      </w:r>
      <w:r>
        <w:rPr>
          <w:rFonts w:ascii="宋体" w:hAnsi="宋体" w:cs="宋体" w:hint="eastAsia"/>
          <w:b/>
          <w:bCs/>
          <w:szCs w:val="21"/>
        </w:rPr>
        <w:t>如投标人误将涉及个人隐私的信息放入投标文件正文，相关后果由投标人自负；</w:t>
      </w:r>
      <w:r>
        <w:rPr>
          <w:rFonts w:ascii="宋体" w:hAnsi="宋体" w:cs="宋体" w:hint="eastAsia"/>
          <w:b/>
          <w:bCs/>
          <w:color w:val="FF0000"/>
          <w:szCs w:val="21"/>
        </w:rPr>
        <w:t>如投标人将必须放于投标文件正文（信息公开部分）的内容放入投标文件附件（非信息公开部分），将作投标无效处理。</w:t>
      </w:r>
    </w:p>
    <w:p>
      <w:pPr>
        <w:spacing w:line="480" w:lineRule="auto"/>
        <w:rPr>
          <w:rFonts w:ascii="宋体" w:hAnsi="宋体" w:cs="Arial" w:hint="eastAsia"/>
          <w:b/>
          <w:bCs/>
          <w:sz w:val="24"/>
        </w:rPr>
      </w:pPr>
      <w:r>
        <w:rPr>
          <w:rFonts w:ascii="宋体" w:hAnsi="宋体" w:cs="Arial" w:hint="eastAsia"/>
          <w:b/>
          <w:bCs/>
          <w:sz w:val="24"/>
        </w:rPr>
        <w:t>投标文件组成：</w:t>
      </w:r>
    </w:p>
    <w:p>
      <w:pPr>
        <w:spacing w:line="480" w:lineRule="auto"/>
        <w:ind w:firstLine="200"/>
        <w:rPr>
          <w:rFonts w:ascii="宋体" w:hAnsi="宋体" w:cs="Arial" w:hint="eastAsia"/>
          <w:bCs/>
          <w:sz w:val="24"/>
        </w:rPr>
      </w:pPr>
      <w:r>
        <w:rPr>
          <w:rFonts w:ascii="宋体" w:hAnsi="宋体" w:cs="Arial" w:hint="eastAsia"/>
          <w:bCs/>
          <w:sz w:val="24"/>
        </w:rPr>
        <w:t>1.投标文件正文（</w:t>
      </w:r>
      <w:r>
        <w:rPr>
          <w:rFonts w:ascii="宋体" w:hAnsi="宋体" w:cs="Arial" w:hint="eastAsia"/>
          <w:b/>
          <w:bCs/>
          <w:sz w:val="24"/>
        </w:rPr>
        <w:t>信息公开部分</w:t>
      </w:r>
      <w:r>
        <w:rPr>
          <w:rFonts w:ascii="宋体" w:hAnsi="宋体" w:cs="Arial" w:hint="eastAsia"/>
          <w:bCs/>
          <w:sz w:val="24"/>
        </w:rPr>
        <w:t>），主要包括以下内容：</w:t>
      </w:r>
    </w:p>
    <w:p>
      <w:pPr>
        <w:spacing w:line="480" w:lineRule="auto"/>
        <w:ind w:firstLine="200"/>
        <w:rPr>
          <w:rFonts w:ascii="宋体" w:hAnsi="宋体" w:cs="Arial" w:hint="eastAsia"/>
          <w:bCs/>
          <w:sz w:val="24"/>
        </w:rPr>
      </w:pPr>
      <w:r>
        <w:rPr>
          <w:rFonts w:ascii="宋体" w:hAnsi="宋体" w:cs="Arial" w:hint="eastAsia"/>
          <w:bCs/>
          <w:sz w:val="24"/>
        </w:rPr>
        <w:t>（1）投标函</w:t>
      </w:r>
    </w:p>
    <w:p>
      <w:pPr>
        <w:spacing w:line="480" w:lineRule="auto"/>
        <w:ind w:firstLine="200"/>
        <w:rPr>
          <w:rFonts w:ascii="宋体" w:hAnsi="宋体" w:cs="Arial" w:hint="eastAsia"/>
          <w:bCs/>
          <w:sz w:val="24"/>
        </w:rPr>
      </w:pPr>
      <w:r>
        <w:rPr>
          <w:rFonts w:ascii="宋体" w:hAnsi="宋体" w:cs="Arial" w:hint="eastAsia"/>
          <w:bCs/>
          <w:sz w:val="24"/>
        </w:rPr>
        <w:t>（2）政府采购投标及履约承诺函</w:t>
      </w:r>
    </w:p>
    <w:p>
      <w:pPr>
        <w:spacing w:line="480" w:lineRule="auto"/>
        <w:ind w:firstLine="200"/>
        <w:rPr>
          <w:rFonts w:ascii="宋体" w:hAnsi="宋体" w:cs="Arial" w:hint="eastAsia"/>
          <w:bCs/>
          <w:sz w:val="24"/>
        </w:rPr>
      </w:pPr>
      <w:r>
        <w:rPr>
          <w:rFonts w:ascii="宋体" w:hAnsi="宋体" w:cs="Arial" w:hint="eastAsia"/>
          <w:bCs/>
          <w:sz w:val="24"/>
        </w:rPr>
        <w:t>（3）供应商情况介绍及相关资格资质</w:t>
      </w:r>
    </w:p>
    <w:p>
      <w:pPr>
        <w:spacing w:line="480" w:lineRule="auto"/>
        <w:ind w:firstLine="200"/>
        <w:rPr>
          <w:rFonts w:ascii="宋体" w:hAnsi="宋体" w:cs="Arial" w:hint="eastAsia"/>
          <w:bCs/>
          <w:sz w:val="24"/>
        </w:rPr>
      </w:pPr>
      <w:r>
        <w:rPr>
          <w:rFonts w:ascii="宋体" w:hAnsi="宋体" w:cs="Arial" w:hint="eastAsia"/>
          <w:bCs/>
          <w:sz w:val="24"/>
        </w:rPr>
        <w:t>（4）项目报价表</w:t>
      </w:r>
    </w:p>
    <w:p>
      <w:pPr>
        <w:spacing w:line="480" w:lineRule="auto"/>
        <w:ind w:firstLine="200"/>
        <w:rPr>
          <w:rFonts w:ascii="宋体" w:hAnsi="宋体" w:cs="Arial" w:hint="eastAsia"/>
          <w:bCs/>
          <w:sz w:val="24"/>
        </w:rPr>
      </w:pPr>
      <w:r>
        <w:rPr>
          <w:rFonts w:ascii="宋体" w:hAnsi="宋体" w:cs="Arial" w:hint="eastAsia"/>
          <w:bCs/>
          <w:sz w:val="24"/>
        </w:rPr>
        <w:t>（5）应急医疗服务点（格式自定）</w:t>
      </w:r>
    </w:p>
    <w:p>
      <w:pPr>
        <w:spacing w:line="480" w:lineRule="auto"/>
        <w:ind w:firstLine="200"/>
        <w:rPr>
          <w:rFonts w:ascii="宋体" w:hAnsi="宋体" w:cs="Arial"/>
          <w:bCs/>
          <w:sz w:val="24"/>
        </w:rPr>
      </w:pPr>
      <w:r>
        <w:rPr>
          <w:rFonts w:ascii="宋体" w:hAnsi="宋体" w:cs="Arial" w:hint="eastAsia"/>
          <w:bCs/>
          <w:sz w:val="24"/>
        </w:rPr>
        <w:t>（6）拟安排的项目负责人情况（仅限一人）（格式自定）</w:t>
      </w:r>
    </w:p>
    <w:p>
      <w:pPr>
        <w:spacing w:line="480" w:lineRule="auto"/>
        <w:ind w:firstLine="200"/>
        <w:rPr>
          <w:rFonts w:ascii="宋体" w:hAnsi="宋体" w:cs="Arial" w:hint="eastAsia"/>
          <w:bCs/>
          <w:sz w:val="24"/>
        </w:rPr>
      </w:pPr>
      <w:r>
        <w:rPr>
          <w:rFonts w:ascii="宋体" w:hAnsi="宋体" w:cs="Arial" w:hint="eastAsia"/>
          <w:bCs/>
          <w:sz w:val="24"/>
        </w:rPr>
        <w:t>（</w:t>
      </w:r>
      <w:r>
        <w:rPr>
          <w:rFonts w:ascii="宋体" w:hAnsi="宋体" w:cs="Arial" w:hint="eastAsia"/>
          <w:bCs/>
          <w:sz w:val="24"/>
          <w:lang w:val="en-US" w:eastAsia="zh-CN"/>
        </w:rPr>
        <w:t>7</w:t>
      </w:r>
      <w:r>
        <w:rPr>
          <w:rFonts w:ascii="宋体" w:hAnsi="宋体" w:cs="Arial" w:hint="eastAsia"/>
          <w:bCs/>
          <w:sz w:val="24"/>
        </w:rPr>
        <w:t>）拟安排的项目主要团队成员（主要技术人员）情况（项目负责人除外）（格式自定）</w:t>
      </w:r>
      <w:r>
        <w:rPr>
          <w:rFonts w:ascii="宋体" w:hAnsi="宋体" w:cs="Arial" w:hint="eastAsia"/>
          <w:bCs/>
          <w:sz w:val="24"/>
        </w:rPr>
        <w:br/>
      </w:r>
      <w:r>
        <w:rPr>
          <w:rFonts w:ascii="宋体" w:hAnsi="宋体" w:cs="Arial" w:hint="eastAsia"/>
          <w:bCs/>
          <w:sz w:val="24"/>
          <w:lang w:val="en-US" w:eastAsia="zh-CN"/>
        </w:rPr>
        <w:t xml:space="preserve">  </w:t>
      </w:r>
      <w:r>
        <w:rPr>
          <w:rFonts w:ascii="宋体" w:hAnsi="宋体" w:cs="Arial" w:hint="eastAsia"/>
          <w:bCs/>
          <w:sz w:val="24"/>
          <w:lang w:eastAsia="zh-CN"/>
        </w:rPr>
        <w:t>（</w:t>
      </w:r>
      <w:r>
        <w:rPr>
          <w:rFonts w:ascii="宋体" w:hAnsi="宋体" w:cs="Arial" w:hint="eastAsia"/>
          <w:bCs/>
          <w:sz w:val="24"/>
          <w:lang w:val="en-US" w:eastAsia="zh-CN"/>
        </w:rPr>
        <w:t>8</w:t>
      </w:r>
      <w:r>
        <w:rPr>
          <w:rFonts w:ascii="宋体" w:hAnsi="宋体" w:cs="Arial" w:hint="eastAsia"/>
          <w:bCs/>
          <w:sz w:val="24"/>
          <w:lang w:eastAsia="zh-CN"/>
        </w:rPr>
        <w:t>）项目拟使用的车辆、场地、工具、机器等情况</w:t>
      </w:r>
      <w:r>
        <w:rPr>
          <w:rFonts w:ascii="宋体" w:hAnsi="宋体" w:cs="Arial" w:hint="eastAsia"/>
          <w:bCs/>
          <w:sz w:val="24"/>
        </w:rPr>
        <w:t>（格式自定）</w:t>
      </w:r>
    </w:p>
    <w:p>
      <w:pPr>
        <w:spacing w:line="480" w:lineRule="auto"/>
        <w:ind w:left="247" w:hanging="8" w:leftChars="114" w:hangingChars="4"/>
        <w:rPr>
          <w:rFonts w:ascii="宋体" w:hAnsi="宋体" w:cs="Arial" w:hint="eastAsia"/>
          <w:bCs/>
          <w:sz w:val="24"/>
        </w:rPr>
      </w:pPr>
      <w:r>
        <w:rPr>
          <w:rFonts w:ascii="宋体" w:hAnsi="宋体" w:cs="Arial" w:hint="eastAsia"/>
          <w:bCs/>
          <w:sz w:val="24"/>
        </w:rPr>
        <w:t>（</w:t>
      </w:r>
      <w:r>
        <w:rPr>
          <w:rFonts w:ascii="宋体" w:hAnsi="宋体" w:cs="Arial" w:hint="eastAsia"/>
          <w:bCs/>
          <w:sz w:val="24"/>
          <w:lang w:val="en-US" w:eastAsia="zh-CN"/>
        </w:rPr>
        <w:t>9</w:t>
      </w:r>
      <w:r>
        <w:rPr>
          <w:rFonts w:ascii="宋体" w:hAnsi="宋体" w:cs="Arial" w:hint="eastAsia"/>
          <w:bCs/>
          <w:sz w:val="24"/>
        </w:rPr>
        <w:t>）投标人认为需要加以说明的其他内容（公开部分）（格式自定）</w:t>
      </w:r>
    </w:p>
    <w:p>
      <w:pPr>
        <w:spacing w:line="480" w:lineRule="auto"/>
        <w:ind w:firstLine="200"/>
        <w:rPr>
          <w:rFonts w:hint="eastAsia"/>
          <w:sz w:val="24"/>
        </w:rPr>
      </w:pPr>
      <w:r>
        <w:rPr>
          <w:rFonts w:ascii="宋体" w:hAnsi="宋体" w:cs="Arial" w:hint="eastAsia"/>
          <w:bCs/>
          <w:sz w:val="24"/>
        </w:rPr>
        <w:t>2.</w:t>
      </w:r>
      <w:r>
        <w:rPr>
          <w:rFonts w:hint="eastAsia"/>
          <w:sz w:val="24"/>
        </w:rPr>
        <w:t>投标文件附件（</w:t>
      </w:r>
      <w:r>
        <w:rPr>
          <w:rFonts w:hint="eastAsia"/>
          <w:b/>
          <w:sz w:val="24"/>
        </w:rPr>
        <w:t>信息不公开部分</w:t>
      </w:r>
      <w:r>
        <w:rPr>
          <w:rFonts w:hint="eastAsia"/>
          <w:sz w:val="24"/>
        </w:rPr>
        <w:t>）：主要包括以下内容：</w:t>
      </w:r>
    </w:p>
    <w:p>
      <w:pPr>
        <w:spacing w:line="480" w:lineRule="auto"/>
        <w:ind w:firstLine="200"/>
        <w:rPr>
          <w:rFonts w:ascii="宋体" w:hAnsi="宋体" w:cs="宋体" w:hint="eastAsia"/>
          <w:bCs/>
          <w:sz w:val="24"/>
        </w:rPr>
      </w:pPr>
      <w:r>
        <w:rPr>
          <w:rFonts w:ascii="宋体" w:hAnsi="宋体" w:cs="宋体" w:hint="eastAsia"/>
          <w:sz w:val="24"/>
        </w:rPr>
        <w:t>（1）</w:t>
      </w:r>
      <w:r>
        <w:rPr>
          <w:rFonts w:ascii="宋体" w:hAnsi="宋体" w:cs="宋体" w:hint="eastAsia"/>
          <w:bCs/>
          <w:sz w:val="24"/>
        </w:rPr>
        <w:t>法定代表人（单位负责人）证明书</w:t>
      </w:r>
    </w:p>
    <w:p>
      <w:pPr>
        <w:spacing w:line="480" w:lineRule="auto"/>
        <w:ind w:firstLine="200"/>
        <w:rPr>
          <w:rFonts w:ascii="宋体" w:hAnsi="宋体" w:cs="宋体" w:hint="eastAsia"/>
          <w:bCs/>
          <w:sz w:val="24"/>
        </w:rPr>
      </w:pPr>
      <w:r>
        <w:rPr>
          <w:rFonts w:ascii="宋体" w:hAnsi="宋体" w:cs="宋体" w:hint="eastAsia"/>
          <w:sz w:val="24"/>
        </w:rPr>
        <w:t>（2）</w:t>
      </w:r>
      <w:r>
        <w:rPr>
          <w:rFonts w:ascii="宋体" w:hAnsi="宋体" w:cs="宋体" w:hint="eastAsia"/>
          <w:bCs/>
          <w:sz w:val="24"/>
        </w:rPr>
        <w:t>授权委托书</w:t>
      </w:r>
    </w:p>
    <w:p>
      <w:pPr>
        <w:spacing w:line="480" w:lineRule="auto"/>
        <w:ind w:firstLine="200"/>
        <w:rPr>
          <w:rFonts w:ascii="宋体" w:hAnsi="宋体" w:cs="宋体"/>
          <w:bCs/>
          <w:sz w:val="24"/>
        </w:rPr>
      </w:pPr>
      <w:r>
        <w:rPr>
          <w:rFonts w:ascii="宋体" w:hAnsi="宋体" w:cs="宋体" w:hint="eastAsia"/>
          <w:bCs/>
          <w:sz w:val="24"/>
        </w:rPr>
        <w:t>（3）供应商基本情况表</w:t>
      </w:r>
    </w:p>
    <w:p>
      <w:pPr>
        <w:spacing w:line="480" w:lineRule="auto"/>
        <w:ind w:firstLine="200"/>
        <w:rPr>
          <w:rFonts w:ascii="宋体" w:hAnsi="宋体" w:cs="宋体" w:hint="eastAsia"/>
          <w:bCs/>
          <w:sz w:val="24"/>
        </w:rPr>
      </w:pPr>
      <w:r>
        <w:rPr>
          <w:rFonts w:ascii="宋体" w:hAnsi="宋体" w:cs="宋体" w:hint="eastAsia"/>
          <w:bCs/>
          <w:sz w:val="24"/>
        </w:rPr>
        <w:t>（4）实质性条款响应情况表</w:t>
      </w:r>
    </w:p>
    <w:p>
      <w:pPr>
        <w:spacing w:line="480" w:lineRule="auto"/>
        <w:ind w:firstLine="200"/>
        <w:rPr>
          <w:rFonts w:ascii="宋体" w:hAnsi="宋体" w:cs="宋体" w:hint="eastAsia"/>
          <w:bCs/>
          <w:sz w:val="24"/>
        </w:rPr>
      </w:pPr>
      <w:r>
        <w:rPr>
          <w:rFonts w:ascii="宋体" w:hAnsi="宋体" w:cs="宋体" w:hint="eastAsia"/>
          <w:bCs/>
          <w:sz w:val="24"/>
        </w:rPr>
        <w:t>（5）项目需求偏离表</w:t>
      </w:r>
    </w:p>
    <w:p>
      <w:pPr>
        <w:spacing w:line="480" w:lineRule="auto"/>
        <w:ind w:firstLine="200"/>
        <w:rPr>
          <w:rFonts w:ascii="宋体" w:hAnsi="宋体" w:cs="宋体" w:hint="eastAsia"/>
          <w:bCs/>
          <w:sz w:val="24"/>
        </w:rPr>
      </w:pPr>
      <w:r>
        <w:rPr>
          <w:rFonts w:ascii="宋体" w:hAnsi="宋体" w:cs="宋体" w:hint="eastAsia"/>
          <w:bCs/>
          <w:sz w:val="24"/>
        </w:rPr>
        <w:t>（6）政府采购违法行为风险知悉确认书</w:t>
      </w:r>
    </w:p>
    <w:p>
      <w:pPr>
        <w:spacing w:line="480" w:lineRule="auto"/>
        <w:ind w:firstLine="200"/>
        <w:rPr>
          <w:rFonts w:ascii="宋体" w:hAnsi="宋体" w:cs="宋体" w:hint="eastAsia"/>
          <w:bCs/>
          <w:sz w:val="24"/>
        </w:rPr>
      </w:pPr>
      <w:r>
        <w:rPr>
          <w:rFonts w:ascii="宋体" w:hAnsi="宋体" w:cs="宋体" w:hint="eastAsia"/>
          <w:bCs/>
          <w:sz w:val="24"/>
        </w:rPr>
        <w:t>（7）知识产权合规性承诺</w:t>
      </w:r>
    </w:p>
    <w:p>
      <w:pPr>
        <w:spacing w:line="480" w:lineRule="auto"/>
        <w:ind w:firstLine="200"/>
        <w:rPr>
          <w:rFonts w:ascii="宋体" w:hAnsi="宋体" w:cs="宋体" w:hint="eastAsia"/>
          <w:bCs/>
          <w:sz w:val="24"/>
        </w:rPr>
      </w:pPr>
      <w:r>
        <w:rPr>
          <w:rFonts w:ascii="宋体" w:hAnsi="宋体" w:cs="宋体" w:hint="eastAsia"/>
          <w:bCs/>
          <w:sz w:val="24"/>
          <w:lang w:eastAsia="zh-CN"/>
        </w:rPr>
        <w:t>（</w:t>
      </w:r>
      <w:r>
        <w:rPr>
          <w:rFonts w:ascii="宋体" w:hAnsi="宋体" w:cs="宋体" w:hint="eastAsia"/>
          <w:bCs/>
          <w:sz w:val="24"/>
          <w:lang w:val="en-US" w:eastAsia="zh-CN"/>
        </w:rPr>
        <w:t>8）</w:t>
      </w:r>
      <w:r>
        <w:rPr>
          <w:rFonts w:ascii="宋体" w:hAnsi="宋体" w:cs="宋体" w:hint="eastAsia"/>
          <w:bCs/>
          <w:sz w:val="24"/>
        </w:rPr>
        <w:t>实施方案（格式自定）</w:t>
      </w:r>
    </w:p>
    <w:p>
      <w:pPr>
        <w:spacing w:line="480" w:lineRule="auto"/>
        <w:ind w:firstLine="200"/>
        <w:rPr>
          <w:rFonts w:ascii="宋体" w:hAnsi="宋体" w:cs="宋体" w:hint="eastAsia"/>
          <w:bCs/>
          <w:sz w:val="24"/>
        </w:rPr>
      </w:pPr>
      <w:r>
        <w:rPr>
          <w:rFonts w:ascii="宋体" w:hAnsi="宋体" w:cs="宋体" w:hint="eastAsia"/>
          <w:bCs/>
          <w:sz w:val="24"/>
        </w:rPr>
        <w:t>（</w:t>
      </w:r>
      <w:r>
        <w:rPr>
          <w:rFonts w:ascii="宋体" w:hAnsi="宋体" w:cs="宋体" w:hint="eastAsia"/>
          <w:bCs/>
          <w:sz w:val="24"/>
          <w:lang w:val="en-US" w:eastAsia="zh-CN"/>
        </w:rPr>
        <w:t>9</w:t>
      </w:r>
      <w:r>
        <w:rPr>
          <w:rFonts w:ascii="宋体" w:hAnsi="宋体" w:cs="宋体" w:hint="eastAsia"/>
          <w:bCs/>
          <w:sz w:val="24"/>
        </w:rPr>
        <w:t>）项目重点难点分析、应对措施及相关的合理化建议（格式自定）</w:t>
      </w:r>
    </w:p>
    <w:p>
      <w:pPr>
        <w:spacing w:line="480" w:lineRule="auto"/>
        <w:ind w:firstLine="200"/>
        <w:rPr>
          <w:rFonts w:ascii="宋体" w:hAnsi="宋体" w:cs="宋体" w:hint="eastAsia"/>
          <w:bCs/>
          <w:sz w:val="24"/>
        </w:rPr>
      </w:pPr>
      <w:r>
        <w:rPr>
          <w:rFonts w:ascii="宋体" w:hAnsi="宋体" w:cs="宋体" w:hint="eastAsia"/>
          <w:bCs/>
          <w:sz w:val="24"/>
        </w:rPr>
        <w:t>（1</w:t>
      </w:r>
      <w:r>
        <w:rPr>
          <w:rFonts w:ascii="宋体" w:hAnsi="宋体" w:cs="宋体" w:hint="eastAsia"/>
          <w:bCs/>
          <w:sz w:val="24"/>
          <w:lang w:val="en-US" w:eastAsia="zh-CN"/>
        </w:rPr>
        <w:t>0</w:t>
      </w:r>
      <w:r>
        <w:rPr>
          <w:rFonts w:ascii="宋体" w:hAnsi="宋体" w:cs="宋体" w:hint="eastAsia"/>
          <w:bCs/>
          <w:sz w:val="24"/>
        </w:rPr>
        <w:t>）质量（完成时间、安全、环保）保障措施及方案（格式自定）</w:t>
      </w:r>
    </w:p>
    <w:p>
      <w:pPr>
        <w:spacing w:line="480" w:lineRule="auto"/>
        <w:ind w:firstLine="200"/>
        <w:rPr>
          <w:rFonts w:ascii="宋体" w:hAnsi="宋体" w:cs="宋体" w:hint="eastAsia"/>
          <w:bCs/>
          <w:sz w:val="24"/>
        </w:rPr>
      </w:pPr>
      <w:r>
        <w:rPr>
          <w:rFonts w:ascii="宋体" w:hAnsi="宋体" w:cs="宋体" w:hint="eastAsia"/>
          <w:bCs/>
          <w:sz w:val="24"/>
        </w:rPr>
        <w:t>（1</w:t>
      </w:r>
      <w:r>
        <w:rPr>
          <w:rFonts w:ascii="宋体" w:hAnsi="宋体" w:cs="宋体" w:hint="eastAsia"/>
          <w:bCs/>
          <w:sz w:val="24"/>
          <w:lang w:val="en-US" w:eastAsia="zh-CN"/>
        </w:rPr>
        <w:t>1</w:t>
      </w:r>
      <w:r>
        <w:rPr>
          <w:rFonts w:ascii="宋体" w:hAnsi="宋体" w:cs="宋体" w:hint="eastAsia"/>
          <w:bCs/>
          <w:sz w:val="24"/>
        </w:rPr>
        <w:t>）项目完成（服务期满）后的服务承诺（格式自定）</w:t>
      </w:r>
    </w:p>
    <w:p>
      <w:pPr>
        <w:spacing w:line="480" w:lineRule="auto"/>
        <w:ind w:left="247" w:hanging="8" w:leftChars="114" w:hangingChars="4"/>
        <w:rPr>
          <w:rFonts w:ascii="宋体" w:hAnsi="宋体" w:cs="宋体" w:hint="eastAsia"/>
          <w:sz w:val="24"/>
        </w:rPr>
      </w:pPr>
      <w:r>
        <w:rPr>
          <w:rFonts w:ascii="宋体" w:hAnsi="宋体" w:cs="宋体" w:hint="eastAsia"/>
          <w:bCs/>
          <w:sz w:val="24"/>
        </w:rPr>
        <w:t>（1</w:t>
      </w:r>
      <w:r>
        <w:rPr>
          <w:rFonts w:ascii="宋体" w:hAnsi="宋体" w:cs="宋体" w:hint="eastAsia"/>
          <w:bCs/>
          <w:sz w:val="24"/>
          <w:lang w:val="en-US" w:eastAsia="zh-CN"/>
        </w:rPr>
        <w:t>2</w:t>
      </w:r>
      <w:r>
        <w:rPr>
          <w:rFonts w:ascii="宋体" w:hAnsi="宋体" w:cs="宋体" w:hint="eastAsia"/>
          <w:bCs/>
          <w:sz w:val="24"/>
        </w:rPr>
        <w:t>）违约承诺（格式自定）</w:t>
      </w:r>
      <w:r>
        <w:rPr>
          <w:rFonts w:ascii="宋体" w:hAnsi="宋体" w:cs="宋体" w:hint="eastAsia"/>
          <w:bCs/>
          <w:sz w:val="24"/>
        </w:rPr>
        <w:br/>
      </w:r>
      <w:r>
        <w:rPr>
          <w:rFonts w:ascii="宋体" w:hAnsi="宋体" w:cs="宋体" w:hint="eastAsia"/>
          <w:bCs/>
          <w:sz w:val="24"/>
          <w:lang w:eastAsia="zh-CN"/>
        </w:rPr>
        <w:t>（</w:t>
      </w:r>
      <w:r>
        <w:rPr>
          <w:rFonts w:ascii="宋体" w:hAnsi="宋体" w:cs="宋体" w:hint="eastAsia"/>
          <w:bCs/>
          <w:sz w:val="24"/>
          <w:lang w:val="en-US" w:eastAsia="zh-CN"/>
        </w:rPr>
        <w:t>13</w:t>
      </w:r>
      <w:r>
        <w:rPr>
          <w:rFonts w:ascii="宋体" w:hAnsi="宋体" w:cs="宋体" w:hint="eastAsia"/>
          <w:bCs/>
          <w:sz w:val="24"/>
          <w:lang w:eastAsia="zh-CN"/>
        </w:rPr>
        <w:t>）</w:t>
      </w:r>
      <w:r>
        <w:rPr>
          <w:rFonts w:ascii="宋体" w:hAnsi="宋体" w:cs="宋体" w:hint="eastAsia"/>
          <w:bCs/>
          <w:sz w:val="24"/>
        </w:rPr>
        <w:t>投标人认为需要加以说明的其他内容（非公开部分）（格式自定）</w:t>
      </w:r>
    </w:p>
    <w:p>
      <w:pPr>
        <w:pStyle w:val="Heading2"/>
        <w:rPr>
          <w:rFonts w:hint="eastAsia"/>
        </w:rPr>
      </w:pPr>
      <w:r>
        <w:rPr>
          <w:sz w:val="24"/>
        </w:rPr>
        <w:br w:type="page"/>
      </w:r>
      <w:bookmarkStart w:id="376" w:name="_Toc11243197"/>
      <w:bookmarkStart w:id="377" w:name="_Toc24691"/>
      <w:bookmarkStart w:id="378" w:name="_Toc25505"/>
      <w:bookmarkStart w:id="379" w:name="_Toc24969"/>
      <w:bookmarkStart w:id="380" w:name="_Toc6784"/>
      <w:bookmarkStart w:id="381" w:name="_Toc528574664"/>
      <w:bookmarkStart w:id="382" w:name="_Toc19687"/>
      <w:bookmarkStart w:id="383" w:name="_Toc28958"/>
      <w:bookmarkStart w:id="384" w:name="_Toc1598"/>
      <w:bookmarkStart w:id="385" w:name="_Toc256000030"/>
      <w:r>
        <w:rPr>
          <w:rFonts w:hint="eastAsia"/>
        </w:rPr>
        <w:t>信息公开部分</w:t>
      </w:r>
      <w:bookmarkEnd w:id="385"/>
      <w:bookmarkEnd w:id="376"/>
      <w:bookmarkEnd w:id="377"/>
      <w:bookmarkEnd w:id="378"/>
      <w:bookmarkEnd w:id="379"/>
      <w:bookmarkEnd w:id="380"/>
    </w:p>
    <w:p>
      <w:pPr>
        <w:pStyle w:val="Heading3"/>
        <w:spacing w:line="400" w:lineRule="exact"/>
        <w:jc w:val="center"/>
        <w:rPr>
          <w:rFonts w:hint="eastAsia"/>
        </w:rPr>
      </w:pPr>
      <w:bookmarkStart w:id="386" w:name="_Toc3646"/>
      <w:bookmarkStart w:id="387" w:name="_Toc1988"/>
      <w:bookmarkStart w:id="388" w:name="_Toc8987"/>
      <w:bookmarkStart w:id="389" w:name="_Toc11243198"/>
      <w:bookmarkStart w:id="390" w:name="_Toc26004"/>
      <w:bookmarkStart w:id="391" w:name="_Toc256000031"/>
      <w:r>
        <w:rPr>
          <w:rFonts w:hint="eastAsia"/>
        </w:rPr>
        <w:t>一、投标函</w:t>
      </w:r>
      <w:bookmarkEnd w:id="391"/>
      <w:bookmarkEnd w:id="381"/>
      <w:bookmarkEnd w:id="382"/>
      <w:bookmarkEnd w:id="383"/>
      <w:bookmarkEnd w:id="384"/>
      <w:bookmarkEnd w:id="386"/>
      <w:bookmarkEnd w:id="387"/>
      <w:bookmarkEnd w:id="388"/>
      <w:bookmarkEnd w:id="389"/>
      <w:bookmarkEnd w:id="390"/>
    </w:p>
    <w:p>
      <w:pPr>
        <w:spacing w:line="400" w:lineRule="exact"/>
      </w:pPr>
      <w:r>
        <w:rPr>
          <w:rFonts w:hint="eastAsia"/>
        </w:rPr>
        <w:t>致：深圳华仑诚工程管理有限公司</w:t>
      </w:r>
    </w:p>
    <w:p>
      <w:pPr>
        <w:spacing w:line="400" w:lineRule="exact"/>
        <w:ind w:firstLine="420" w:firstLineChars="200"/>
      </w:pPr>
      <w:r>
        <w:rPr>
          <w:rFonts w:hint="eastAsia"/>
        </w:rPr>
        <w:t>根据贵方为</w:t>
      </w:r>
      <w:r>
        <w:rPr>
          <w:rFonts w:hint="eastAsia"/>
          <w:u w:val="single"/>
        </w:rPr>
        <w:t>（项目名称）（项目编号）</w:t>
      </w:r>
      <w:r>
        <w:rPr>
          <w:rFonts w:hint="eastAsia"/>
        </w:rPr>
        <w:t>项目投标邀请，签字代表</w:t>
      </w:r>
      <w:r>
        <w:rPr>
          <w:rFonts w:hint="eastAsia"/>
          <w:u w:val="single"/>
        </w:rPr>
        <w:t>（姓名、职务）</w:t>
      </w:r>
      <w:r>
        <w:rPr>
          <w:rFonts w:hint="eastAsia"/>
        </w:rPr>
        <w:t>经正式授权并代表投标人</w:t>
      </w:r>
      <w:r>
        <w:rPr>
          <w:rFonts w:hint="eastAsia"/>
          <w:u w:val="single"/>
        </w:rPr>
        <w:t>（投标人名称）</w:t>
      </w:r>
      <w:r>
        <w:rPr>
          <w:rFonts w:hint="eastAsia"/>
        </w:rPr>
        <w:t>提交投标文件。</w:t>
      </w:r>
    </w:p>
    <w:p>
      <w:pPr>
        <w:spacing w:line="400" w:lineRule="exact"/>
        <w:ind w:firstLine="420" w:firstLineChars="200"/>
      </w:pPr>
      <w:r>
        <w:rPr>
          <w:rFonts w:hint="eastAsia"/>
        </w:rPr>
        <w:t>在此，我方声明如下：</w:t>
      </w:r>
    </w:p>
    <w:p>
      <w:pPr>
        <w:spacing w:line="400" w:lineRule="exact"/>
        <w:ind w:firstLine="420" w:firstLineChars="200"/>
      </w:pPr>
      <w:r>
        <w:rPr>
          <w:rFonts w:hint="eastAsia"/>
        </w:rPr>
        <w:t>1.同意并接受招标文件的各项要求，遵守招标文件中的各项规定，按招标文件的要求提交投标文件。</w:t>
      </w:r>
    </w:p>
    <w:p>
      <w:pPr>
        <w:spacing w:line="400" w:lineRule="exact"/>
        <w:ind w:firstLine="420" w:firstLineChars="200"/>
      </w:pPr>
      <w:r>
        <w:rPr>
          <w:rFonts w:hint="eastAsia"/>
        </w:rPr>
        <w:t>2.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pPr>
        <w:spacing w:line="400" w:lineRule="exact"/>
        <w:ind w:firstLine="420" w:firstLineChars="200"/>
      </w:pPr>
      <w:r>
        <w:rPr>
          <w:rFonts w:hint="eastAsia"/>
        </w:rPr>
        <w:t>3.本投标有效期为自开标日起</w:t>
      </w:r>
      <w:r>
        <w:rPr>
          <w:rFonts w:hint="eastAsia"/>
          <w:u w:val="single"/>
        </w:rPr>
        <w:t>90</w:t>
      </w:r>
      <w:r>
        <w:rPr>
          <w:rFonts w:hint="eastAsia"/>
        </w:rPr>
        <w:t>个日历日，中标人投标有效期延至合同验收之日。</w:t>
      </w:r>
    </w:p>
    <w:p>
      <w:pPr>
        <w:spacing w:line="400" w:lineRule="exact"/>
        <w:ind w:firstLine="420" w:firstLineChars="200"/>
      </w:pPr>
      <w:r>
        <w:rPr>
          <w:rFonts w:hint="eastAsia"/>
        </w:rPr>
        <w:t>4.投标人保证遵守招标文件中关于不予退还投标保证金的规定。</w:t>
      </w:r>
    </w:p>
    <w:p>
      <w:pPr>
        <w:spacing w:line="400" w:lineRule="exact"/>
        <w:ind w:firstLine="420" w:firstLineChars="200"/>
      </w:pPr>
      <w:r>
        <w:rPr>
          <w:rFonts w:hint="eastAsia"/>
        </w:rPr>
        <w:t>5.根据招标文件规定，投标人承诺，我方无招标文件规定禁止性情形。</w:t>
      </w:r>
    </w:p>
    <w:p>
      <w:pPr>
        <w:spacing w:line="400" w:lineRule="exact"/>
        <w:ind w:firstLine="420" w:firstLineChars="200"/>
      </w:pPr>
      <w:r>
        <w:rPr>
          <w:rFonts w:hint="eastAsia"/>
        </w:rPr>
        <w:t>6.投标人同意提供按照贵方可能要求的与其投标有关的一切数据或资料。我方承诺在本次投标中提供的一切文件，无论是原件还是扫描件均为真实和准确的，绝无任何虚假、伪造和夸大的成份，否则，愿承担相应的后果和法律责任。</w:t>
      </w:r>
    </w:p>
    <w:p>
      <w:pPr>
        <w:spacing w:line="400" w:lineRule="exact"/>
        <w:ind w:firstLine="420" w:firstLineChars="200"/>
      </w:pPr>
      <w:r>
        <w:rPr>
          <w:rFonts w:hint="eastAsia"/>
        </w:rPr>
        <w:t>7.我方完全服从和尊重评标委员会所作的评定结果，同时清楚理解到报价最低并非意味着必定获得中标资格。</w:t>
      </w:r>
    </w:p>
    <w:p>
      <w:pPr>
        <w:spacing w:line="400" w:lineRule="exact"/>
        <w:ind w:firstLine="420" w:firstLineChars="200"/>
      </w:pPr>
      <w:r>
        <w:rPr>
          <w:rFonts w:hint="eastAsia"/>
        </w:rPr>
        <w:t>8.如我方中标，我方承诺：</w:t>
      </w:r>
    </w:p>
    <w:p>
      <w:pPr>
        <w:spacing w:line="400" w:lineRule="exact"/>
        <w:ind w:firstLine="420" w:firstLineChars="200"/>
      </w:pPr>
      <w:r>
        <w:rPr>
          <w:rFonts w:hint="eastAsia"/>
        </w:rPr>
        <w:t>（1）在收到中标通知书后，在中标通知书规定的期限内与采购人签订合同；</w:t>
      </w:r>
    </w:p>
    <w:p>
      <w:pPr>
        <w:spacing w:line="400" w:lineRule="exact"/>
        <w:ind w:firstLine="420" w:firstLineChars="200"/>
      </w:pPr>
      <w:r>
        <w:rPr>
          <w:rFonts w:hint="eastAsia"/>
        </w:rPr>
        <w:t>（2）在签订合同时不向采购人提出附加条件；</w:t>
      </w:r>
    </w:p>
    <w:p>
      <w:pPr>
        <w:spacing w:line="400" w:lineRule="exact"/>
        <w:ind w:firstLine="420" w:firstLineChars="200"/>
      </w:pPr>
      <w:r>
        <w:rPr>
          <w:rFonts w:hint="eastAsia"/>
        </w:rPr>
        <w:t>（3）按照招标文件要求提交履约担保（如果招标文件有约定）；</w:t>
      </w:r>
    </w:p>
    <w:p>
      <w:pPr>
        <w:spacing w:line="400" w:lineRule="exact"/>
        <w:ind w:firstLine="420" w:firstLineChars="200"/>
      </w:pPr>
      <w:r>
        <w:rPr>
          <w:rFonts w:hint="eastAsia"/>
        </w:rPr>
        <w:t>（4）在合同约定的期限内完成合同规定的全部义务。</w:t>
      </w:r>
    </w:p>
    <w:p>
      <w:pPr>
        <w:spacing w:line="400" w:lineRule="exact"/>
        <w:ind w:firstLine="420" w:firstLineChars="200"/>
      </w:pPr>
      <w:r>
        <w:rPr>
          <w:rFonts w:hint="eastAsia"/>
        </w:rPr>
        <w:t>9.我方同意按招标文件规定向政府采购代理机构缴纳招标代理服务费。</w:t>
      </w:r>
    </w:p>
    <w:p>
      <w:pPr>
        <w:spacing w:line="400" w:lineRule="exact"/>
        <w:ind w:firstLine="420" w:firstLineChars="200"/>
      </w:pPr>
      <w:r>
        <w:rPr>
          <w:rFonts w:hint="eastAsia"/>
        </w:rPr>
        <w:t>10.与本投标有关的一切正式信函请寄：</w:t>
      </w:r>
    </w:p>
    <w:p>
      <w:pPr>
        <w:spacing w:line="400" w:lineRule="exact"/>
        <w:ind w:firstLine="420" w:firstLineChars="200"/>
      </w:pPr>
      <w:r>
        <w:rPr>
          <w:rFonts w:hint="eastAsia"/>
        </w:rPr>
        <w:t>投标人名称：</w:t>
      </w:r>
      <w:r>
        <w:rPr>
          <w:rFonts w:hint="eastAsia"/>
          <w:u w:val="single"/>
        </w:rPr>
        <w:t xml:space="preserve">                      </w:t>
      </w:r>
      <w:r>
        <w:rPr>
          <w:rFonts w:hint="eastAsia"/>
        </w:rPr>
        <w:t xml:space="preserve">    </w:t>
      </w:r>
    </w:p>
    <w:p>
      <w:pPr>
        <w:spacing w:line="400" w:lineRule="exact"/>
        <w:ind w:firstLine="420" w:firstLineChars="200"/>
      </w:pPr>
      <w:r>
        <w:rPr>
          <w:rFonts w:hint="eastAsia"/>
        </w:rPr>
        <w:t>法定代表人（单位负责人）或其委托代理人：</w:t>
      </w:r>
      <w:r>
        <w:rPr>
          <w:rFonts w:hint="eastAsia"/>
          <w:u w:val="single"/>
        </w:rPr>
        <w:t xml:space="preserve">                             </w:t>
      </w:r>
    </w:p>
    <w:p>
      <w:pPr>
        <w:spacing w:line="400" w:lineRule="exact"/>
        <w:ind w:firstLine="420" w:firstLineChars="200"/>
        <w:rPr>
          <w:rFonts w:hint="eastAsia"/>
        </w:rPr>
      </w:pPr>
      <w:r>
        <w:rPr>
          <w:rFonts w:hint="eastAsia"/>
        </w:rPr>
        <w:t>地址：</w:t>
      </w:r>
      <w:r>
        <w:rPr>
          <w:rFonts w:hint="eastAsia"/>
          <w:u w:val="single"/>
        </w:rPr>
        <w:t xml:space="preserve">                             </w:t>
      </w:r>
      <w:r>
        <w:rPr>
          <w:rFonts w:hint="eastAsia"/>
        </w:rPr>
        <w:t>电子邮件：</w:t>
      </w:r>
      <w:r>
        <w:rPr>
          <w:rFonts w:hint="eastAsia"/>
          <w:u w:val="single"/>
        </w:rPr>
        <w:t xml:space="preserve">                        </w:t>
      </w:r>
    </w:p>
    <w:p>
      <w:pPr>
        <w:spacing w:line="400" w:lineRule="exact"/>
        <w:ind w:firstLine="420" w:firstLineChars="200"/>
      </w:pPr>
      <w:r>
        <w:rPr>
          <w:rFonts w:hint="eastAsia"/>
        </w:rPr>
        <w:t>电话/移动电话：</w:t>
      </w:r>
      <w:r>
        <w:rPr>
          <w:rFonts w:hint="eastAsia"/>
          <w:u w:val="single"/>
        </w:rPr>
        <w:t xml:space="preserve">                    </w:t>
      </w:r>
      <w:r>
        <w:rPr>
          <w:rFonts w:hint="eastAsia"/>
        </w:rPr>
        <w:t>传真：邮政编码：</w:t>
      </w:r>
      <w:r>
        <w:rPr>
          <w:rFonts w:hint="eastAsia"/>
          <w:u w:val="single"/>
        </w:rPr>
        <w:t xml:space="preserve">                   </w:t>
      </w:r>
      <w:r>
        <w:rPr>
          <w:rFonts w:hint="eastAsia"/>
        </w:rPr>
        <w:t xml:space="preserve">        </w:t>
      </w:r>
    </w:p>
    <w:p>
      <w:pPr>
        <w:spacing w:line="400" w:lineRule="exact"/>
        <w:ind w:firstLine="420" w:firstLineChars="200"/>
      </w:pPr>
      <w:r>
        <w:rPr>
          <w:rFonts w:hint="eastAsia"/>
        </w:rPr>
        <w:t>日期：   年  月  日</w:t>
      </w:r>
    </w:p>
    <w:p>
      <w:pPr>
        <w:pStyle w:val="Heading3"/>
        <w:spacing w:before="0" w:after="0" w:line="400" w:lineRule="exact"/>
        <w:jc w:val="center"/>
      </w:pPr>
      <w:r>
        <w:br w:type="page"/>
      </w:r>
      <w:bookmarkStart w:id="392" w:name="_Toc30533"/>
      <w:bookmarkStart w:id="393" w:name="_Toc19734"/>
      <w:bookmarkStart w:id="394" w:name="_Toc11243200"/>
      <w:bookmarkStart w:id="395" w:name="_Toc27302"/>
      <w:bookmarkStart w:id="396" w:name="_Toc30627"/>
      <w:bookmarkStart w:id="397" w:name="_Toc256000032"/>
      <w:r>
        <w:rPr>
          <w:rFonts w:hint="eastAsia"/>
        </w:rPr>
        <w:t>二、</w:t>
      </w:r>
      <w:r>
        <w:rPr>
          <w:rFonts w:ascii="宋体" w:hAnsi="宋体" w:cs="宋体" w:hint="eastAsia"/>
          <w:kern w:val="0"/>
          <w:szCs w:val="21"/>
        </w:rPr>
        <w:t>政府采购投标及履约承诺函</w:t>
      </w:r>
      <w:bookmarkEnd w:id="397"/>
      <w:bookmarkEnd w:id="392"/>
      <w:bookmarkEnd w:id="393"/>
      <w:bookmarkEnd w:id="394"/>
      <w:bookmarkEnd w:id="395"/>
      <w:bookmarkEnd w:id="396"/>
    </w:p>
    <w:p>
      <w:pPr>
        <w:spacing w:line="400" w:lineRule="exact"/>
        <w:jc w:val="left"/>
        <w:rPr>
          <w:rFonts w:hint="eastAsia"/>
        </w:rPr>
      </w:pPr>
      <w:r>
        <w:rPr>
          <w:rFonts w:hint="eastAsia"/>
        </w:rPr>
        <w:t>致：深圳华仑诚工程管理有限公司：</w:t>
      </w:r>
    </w:p>
    <w:p>
      <w:pPr>
        <w:spacing w:line="400" w:lineRule="exact"/>
        <w:jc w:val="left"/>
        <w:rPr>
          <w:rFonts w:hint="eastAsia"/>
        </w:rPr>
      </w:pPr>
      <w:r>
        <w:rPr>
          <w:rFonts w:hint="eastAsia"/>
        </w:rPr>
        <w:t>我单位承诺：</w:t>
      </w:r>
    </w:p>
    <w:p>
      <w:pPr>
        <w:spacing w:line="400" w:lineRule="exact"/>
        <w:ind w:firstLine="420"/>
        <w:jc w:val="left"/>
      </w:pPr>
      <w:bookmarkStart w:id="398" w:name="_Toc11243205"/>
      <w:r>
        <w:rPr>
          <w:rFonts w:hint="eastAsia"/>
        </w:rPr>
        <w:t>1.我单位本招标项目所提供的货物或服务未侵犯知识产权。</w:t>
      </w:r>
    </w:p>
    <w:p>
      <w:pPr>
        <w:spacing w:line="400" w:lineRule="exact"/>
        <w:ind w:firstLine="420"/>
        <w:jc w:val="left"/>
        <w:rPr>
          <w:rFonts w:hint="eastAsia"/>
        </w:rPr>
      </w:pPr>
      <w:r>
        <w:rPr>
          <w:rFonts w:hint="eastAsia"/>
        </w:rPr>
        <w:t>2.我单位参与本项目投标前三年内，在经营活动中没有重大违法记录。</w:t>
      </w:r>
    </w:p>
    <w:p>
      <w:pPr>
        <w:spacing w:line="400" w:lineRule="exact"/>
        <w:ind w:firstLine="420"/>
        <w:jc w:val="left"/>
        <w:rPr>
          <w:rFonts w:hint="eastAsia"/>
        </w:rPr>
      </w:pPr>
      <w:r>
        <w:rPr>
          <w:rFonts w:hint="eastAsia"/>
        </w:rPr>
        <w:t>3.我单位近三年内（投标人成立不足三年的从成立之日起算）无行贿犯罪记录。</w:t>
      </w:r>
    </w:p>
    <w:p>
      <w:pPr>
        <w:spacing w:line="400" w:lineRule="exact"/>
        <w:ind w:firstLine="420"/>
        <w:jc w:val="left"/>
      </w:pPr>
      <w:r>
        <w:rPr>
          <w:rFonts w:hint="eastAsia"/>
        </w:rPr>
        <w:t>4.我单位参与本项目政府采购活动时不存在被有关部门禁止参与政府采购活动且在有效期内的情况。</w:t>
      </w:r>
    </w:p>
    <w:p>
      <w:pPr>
        <w:spacing w:line="400" w:lineRule="exact"/>
        <w:ind w:firstLine="420"/>
        <w:jc w:val="left"/>
      </w:pPr>
      <w:r>
        <w:rPr>
          <w:rFonts w:hint="eastAsia"/>
        </w:rPr>
        <w:t>5.我单位具备《中华人民共和国政府采购法》第二十二条的条件。</w:t>
      </w:r>
    </w:p>
    <w:p>
      <w:pPr>
        <w:spacing w:line="400" w:lineRule="exact"/>
        <w:ind w:firstLine="420"/>
        <w:jc w:val="left"/>
        <w:rPr>
          <w:rFonts w:hint="eastAsia"/>
        </w:rPr>
      </w:pPr>
      <w:r>
        <w:rPr>
          <w:rFonts w:hint="eastAsia"/>
        </w:rPr>
        <w:t>6.我单位未被列入失信被执行人、重大税收违法案件当事人名单、政府采购严重违法失信行为记录名单。</w:t>
      </w:r>
    </w:p>
    <w:p>
      <w:pPr>
        <w:spacing w:line="400" w:lineRule="exact"/>
        <w:ind w:firstLine="420"/>
        <w:jc w:val="left"/>
        <w:rPr>
          <w:rFonts w:hint="eastAsia"/>
        </w:rPr>
      </w:pPr>
      <w:r>
        <w:rPr>
          <w:rFonts w:hint="eastAsia"/>
        </w:rPr>
        <w:t>7.</w:t>
      </w:r>
      <w:r>
        <w:rPr>
          <w:rFonts w:hAnsi="宋体" w:cs="宋体" w:hint="eastAsia"/>
          <w:szCs w:val="21"/>
        </w:rPr>
        <w:t>我单位不存在《深圳市财政局政府采购供应商信用信息管理办法》（深财规〔2023〕3号）列明的严重违法失信行为。</w:t>
      </w:r>
    </w:p>
    <w:p>
      <w:pPr>
        <w:spacing w:line="400" w:lineRule="exact"/>
        <w:ind w:firstLine="420"/>
        <w:jc w:val="left"/>
      </w:pPr>
      <w:r>
        <w:rPr>
          <w:rFonts w:hint="eastAsia"/>
        </w:rPr>
        <w:t>8.我单位未为本项目提供</w:t>
      </w:r>
      <w:r>
        <w:rPr>
          <w:rFonts w:ascii="宋体" w:hAnsi="宋体" w:cs="宋体" w:hint="eastAsia"/>
          <w:kern w:val="0"/>
          <w:szCs w:val="21"/>
        </w:rPr>
        <w:t>整体设计、规范编制或者项目管理、监理、检测等服务。</w:t>
      </w:r>
    </w:p>
    <w:p>
      <w:pPr>
        <w:spacing w:line="400" w:lineRule="exact"/>
        <w:ind w:firstLine="420"/>
        <w:jc w:val="left"/>
      </w:pPr>
      <w:r>
        <w:rPr>
          <w:rFonts w:hint="eastAsia"/>
        </w:rPr>
        <w:t>9.我单位参与该项目投标，严格遵循公平竞争的原则，不恶意串通，不妨碍其他投标人的竞争行为，不损害采购人或者其他投标人的合法权益，</w:t>
      </w:r>
      <w:r>
        <w:rPr>
          <w:rFonts w:ascii="宋体" w:hAnsi="宋体" w:cs="仿宋" w:hint="eastAsia"/>
          <w:szCs w:val="21"/>
        </w:rPr>
        <w:t>与其他投标供应商不存在“单位负责人为同一人或者存在直接控股、管理关系”的情况</w:t>
      </w:r>
      <w:r>
        <w:rPr>
          <w:rFonts w:hint="eastAsia"/>
        </w:rPr>
        <w:t>。我单位已清楚，如违反上述要求，将作投标无效处理。</w:t>
      </w:r>
    </w:p>
    <w:p>
      <w:pPr>
        <w:spacing w:line="400" w:lineRule="exact"/>
        <w:ind w:firstLine="420"/>
        <w:jc w:val="left"/>
      </w:pPr>
      <w:r>
        <w:rPr>
          <w:rFonts w:hint="eastAsia"/>
        </w:rPr>
        <w:t>10.我单位如果中标，做到守信，不偷工减料，依照本项目招标文件需求内容、签署的采购合同及本单位在投标中所作的一切承诺履约。</w:t>
      </w:r>
    </w:p>
    <w:p>
      <w:pPr>
        <w:spacing w:line="400" w:lineRule="exact"/>
        <w:ind w:firstLine="420"/>
        <w:jc w:val="left"/>
      </w:pPr>
      <w:r>
        <w:rPr>
          <w:rFonts w:hint="eastAsia"/>
        </w:rPr>
        <w:t>11.我单位承诺本项目的报价不低于我单位的成本价，否则，我单位清楚将面临投标无效的风险；我单位承诺不恶意低价谋取中标；我单位对本项目的报价负责，中标后将严格按照本项目招标文件需求、签署的采购合同及我单位在投标中所作的全部承诺履行。我单位清楚，若我单位以“报价太低而无法履约”为理由放弃本项目中标资格时，投标保证金（如有）将不被退还，且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spacing w:line="400" w:lineRule="exact"/>
        <w:ind w:firstLine="420"/>
        <w:jc w:val="left"/>
      </w:pPr>
      <w:r>
        <w:rPr>
          <w:rFonts w:hint="eastAsia"/>
        </w:rPr>
        <w:t>12.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spacing w:line="400" w:lineRule="exact"/>
        <w:ind w:firstLine="420"/>
        <w:jc w:val="left"/>
      </w:pPr>
      <w:r>
        <w:rPr>
          <w:rFonts w:hint="eastAsia"/>
        </w:rPr>
        <w:t>13.我单位承诺不非法转包、分包。</w:t>
      </w:r>
    </w:p>
    <w:p>
      <w:pPr>
        <w:spacing w:line="400" w:lineRule="exact"/>
        <w:ind w:firstLine="420"/>
        <w:jc w:val="left"/>
        <w:rPr>
          <w:rFonts w:hint="eastAsia"/>
        </w:rPr>
      </w:pPr>
      <w:r>
        <w:rPr>
          <w:rFonts w:hint="eastAsia"/>
        </w:rPr>
        <w:t>特此承诺！</w:t>
      </w:r>
    </w:p>
    <w:p>
      <w:pPr>
        <w:spacing w:line="400" w:lineRule="exact"/>
        <w:jc w:val="left"/>
        <w:rPr>
          <w:rFonts w:hint="eastAsia"/>
        </w:rPr>
      </w:pPr>
      <w:r>
        <w:rPr>
          <w:rFonts w:hint="eastAsia"/>
        </w:rPr>
        <w:t>投标人名称：</w:t>
      </w:r>
    </w:p>
    <w:p>
      <w:pPr>
        <w:spacing w:line="400" w:lineRule="exact"/>
        <w:jc w:val="left"/>
        <w:rPr>
          <w:rFonts w:hint="eastAsia"/>
        </w:rPr>
      </w:pPr>
      <w:r>
        <w:rPr>
          <w:rFonts w:hint="eastAsia"/>
        </w:rPr>
        <w:t xml:space="preserve">法定代表人（或其委托的全权代表人）：           </w:t>
      </w:r>
    </w:p>
    <w:p>
      <w:pPr>
        <w:spacing w:line="400" w:lineRule="exact"/>
        <w:jc w:val="left"/>
        <w:rPr>
          <w:rFonts w:hint="eastAsia"/>
        </w:rPr>
      </w:pPr>
      <w:r>
        <w:rPr>
          <w:rFonts w:hint="eastAsia"/>
        </w:rPr>
        <w:t>日期：年   月   日</w:t>
      </w:r>
    </w:p>
    <w:p>
      <w:pPr>
        <w:jc w:val="center"/>
        <w:outlineLvl w:val="2"/>
        <w:rPr>
          <w:rFonts w:ascii="黑体"/>
          <w:sz w:val="28"/>
          <w:szCs w:val="28"/>
        </w:rPr>
      </w:pPr>
      <w:r>
        <w:br w:type="page"/>
      </w:r>
      <w:bookmarkStart w:id="399" w:name="_Toc9185"/>
      <w:bookmarkStart w:id="400" w:name="_Toc3535"/>
      <w:bookmarkStart w:id="401" w:name="_Toc13706"/>
      <w:bookmarkStart w:id="402" w:name="_Toc5766"/>
      <w:bookmarkStart w:id="403" w:name="_Toc256000033"/>
      <w:r>
        <w:rPr>
          <w:rFonts w:ascii="Arial" w:eastAsia="黑体" w:hAnsi="Arial" w:hint="eastAsia"/>
          <w:b/>
          <w:bCs/>
          <w:color w:val="000000"/>
          <w:sz w:val="32"/>
          <w:szCs w:val="32"/>
        </w:rPr>
        <w:t>三、供应商情况介绍</w:t>
      </w:r>
      <w:bookmarkEnd w:id="398"/>
      <w:r>
        <w:rPr>
          <w:rFonts w:ascii="Arial" w:eastAsia="黑体" w:hAnsi="Arial" w:hint="eastAsia"/>
          <w:b/>
          <w:bCs/>
          <w:color w:val="000000"/>
          <w:sz w:val="32"/>
          <w:szCs w:val="32"/>
        </w:rPr>
        <w:t>及相关资格资质</w:t>
      </w:r>
      <w:bookmarkEnd w:id="403"/>
      <w:bookmarkEnd w:id="399"/>
      <w:bookmarkEnd w:id="400"/>
      <w:bookmarkEnd w:id="401"/>
      <w:bookmarkEnd w:id="402"/>
    </w:p>
    <w:p>
      <w:pPr>
        <w:spacing w:line="360" w:lineRule="auto"/>
        <w:rPr>
          <w:rFonts w:ascii="宋体" w:hAnsi="宋体" w:cs="Arial" w:hint="eastAsia"/>
          <w:b/>
          <w:szCs w:val="21"/>
        </w:rPr>
      </w:pPr>
      <w:r>
        <w:rPr>
          <w:rFonts w:ascii="宋体" w:hAnsi="宋体" w:cs="Arial" w:hint="eastAsia"/>
          <w:b/>
          <w:szCs w:val="21"/>
        </w:rPr>
        <w:t>（一）供应商情况介绍：</w:t>
      </w:r>
    </w:p>
    <w:p>
      <w:pPr>
        <w:pStyle w:val="BodyText"/>
        <w:rPr>
          <w:rFonts w:ascii="宋体" w:hAnsi="宋体" w:cs="Arial" w:hint="eastAsia"/>
          <w:b/>
          <w:szCs w:val="21"/>
        </w:rPr>
      </w:pPr>
    </w:p>
    <w:p>
      <w:pPr>
        <w:rPr>
          <w:rFonts w:hint="eastAsia"/>
        </w:rPr>
      </w:pPr>
      <w:r>
        <w:rPr>
          <w:rFonts w:ascii="宋体" w:hAnsi="宋体" w:cs="Arial" w:hint="eastAsia"/>
          <w:b/>
          <w:szCs w:val="21"/>
        </w:rPr>
        <w:t>（二）供应商</w:t>
      </w:r>
      <w:r>
        <w:rPr>
          <w:rFonts w:hint="eastAsia"/>
          <w:b/>
          <w:bCs/>
        </w:rPr>
        <w:t>资格证明材料</w:t>
      </w:r>
    </w:p>
    <w:p>
      <w:pPr>
        <w:ind w:firstLine="420" w:firstLineChars="200"/>
        <w:rPr>
          <w:b/>
          <w:bCs/>
        </w:rPr>
      </w:pPr>
      <w:r>
        <w:rPr>
          <w:rFonts w:hint="eastAsia"/>
          <w:b/>
          <w:bCs/>
        </w:rPr>
        <w:t>（须按本招标文件第一章招标公告中“投标人资格要求”提供相关证明文件扫描件。投标文件中未提供或提供不完整、不符合要求的，将按投标无效处理。在政府采购系统响应报名的单位，不代表资格审查通过。）</w:t>
      </w:r>
    </w:p>
    <w:p>
      <w:pPr>
        <w:tabs>
          <w:tab w:val="left" w:pos="414"/>
          <w:tab w:val="left" w:pos="1974"/>
          <w:tab w:val="left" w:pos="3414"/>
          <w:tab w:val="left" w:pos="4854"/>
          <w:tab w:val="left" w:pos="6174"/>
          <w:tab w:val="left" w:pos="7614"/>
          <w:tab w:val="left" w:pos="9414"/>
        </w:tabs>
        <w:spacing w:line="240" w:lineRule="atLeast"/>
        <w:rPr>
          <w:rFonts w:ascii="宋体" w:hAnsi="宋体"/>
          <w:szCs w:val="21"/>
        </w:rPr>
      </w:pPr>
    </w:p>
    <w:p>
      <w:pPr>
        <w:rPr>
          <w:rFonts w:ascii="宋体" w:hAnsi="宋体" w:cs="Arial" w:hint="eastAsia"/>
          <w:b/>
          <w:szCs w:val="21"/>
        </w:rPr>
      </w:pPr>
      <w:r>
        <w:rPr>
          <w:rFonts w:ascii="宋体" w:hAnsi="宋体" w:cs="Arial" w:hint="eastAsia"/>
          <w:b/>
          <w:szCs w:val="21"/>
        </w:rPr>
        <w:t>（三）供应商信用信息查询记录截图</w:t>
      </w:r>
    </w:p>
    <w:p>
      <w:pPr>
        <w:spacing w:line="400" w:lineRule="exact"/>
        <w:ind w:firstLine="420"/>
        <w:rPr>
          <w:szCs w:val="21"/>
        </w:rPr>
      </w:pPr>
      <w:r>
        <w:rPr>
          <w:rFonts w:hint="eastAsia"/>
          <w:szCs w:val="21"/>
        </w:rPr>
        <w:t>1、“信用中国”（www.creditchina.gov.cn ）查询记录截图：</w:t>
      </w:r>
    </w:p>
    <w:p>
      <w:pPr>
        <w:spacing w:line="400" w:lineRule="exact"/>
        <w:ind w:firstLine="420"/>
        <w:rPr>
          <w:rFonts w:hint="eastAsia"/>
        </w:rPr>
      </w:pPr>
      <w:r>
        <w:rPr>
          <w:rFonts w:ascii="宋体" w:hAnsi="宋体" w:cs="仿宋" w:hint="eastAsia"/>
          <w:szCs w:val="21"/>
        </w:rPr>
        <w:t>2、“中国政府采购”（www.ccgp.gov.cn）</w:t>
      </w:r>
      <w:r>
        <w:rPr>
          <w:rFonts w:hint="eastAsia"/>
          <w:szCs w:val="21"/>
        </w:rPr>
        <w:t>查询记录截图：</w:t>
      </w:r>
    </w:p>
    <w:p>
      <w:pPr>
        <w:spacing w:line="400" w:lineRule="exact"/>
        <w:ind w:firstLine="420"/>
        <w:rPr>
          <w:rFonts w:hint="eastAsia"/>
          <w:szCs w:val="21"/>
        </w:rPr>
      </w:pPr>
      <w:r>
        <w:rPr>
          <w:rFonts w:hint="eastAsia"/>
          <w:szCs w:val="21"/>
        </w:rPr>
        <w:t>3、“</w:t>
      </w:r>
      <w:r>
        <w:rPr>
          <w:rFonts w:hAnsi="宋体" w:cs="宋体" w:hint="eastAsia"/>
          <w:szCs w:val="21"/>
        </w:rPr>
        <w:t>深圳信用网</w:t>
      </w:r>
      <w:r>
        <w:rPr>
          <w:rFonts w:hint="eastAsia"/>
          <w:szCs w:val="21"/>
        </w:rPr>
        <w:t>”（www.szcredit.org.cn）查询记录截图：</w:t>
      </w:r>
    </w:p>
    <w:p>
      <w:pPr>
        <w:spacing w:line="400" w:lineRule="exact"/>
        <w:ind w:firstLine="420"/>
        <w:rPr>
          <w:rFonts w:hint="eastAsia"/>
          <w:szCs w:val="21"/>
        </w:rPr>
      </w:pPr>
      <w:r>
        <w:rPr>
          <w:rFonts w:hint="eastAsia"/>
          <w:szCs w:val="21"/>
        </w:rPr>
        <w:t>4、“深圳市政府采购监督管理网”（</w:t>
      </w:r>
      <w:r>
        <w:rPr>
          <w:rFonts w:ascii="宋体" w:hAnsi="宋体" w:cs="仿宋" w:hint="eastAsia"/>
          <w:szCs w:val="21"/>
        </w:rPr>
        <w:t xml:space="preserve"> http://zfcg.sz.gov.cn</w:t>
      </w:r>
      <w:r>
        <w:rPr>
          <w:rFonts w:hint="eastAsia"/>
          <w:szCs w:val="21"/>
        </w:rPr>
        <w:t xml:space="preserve"> ）查询记录截图：</w:t>
      </w:r>
    </w:p>
    <w:p>
      <w:pPr>
        <w:pStyle w:val="BodyText"/>
        <w:rPr>
          <w:rFonts w:hint="eastAsia"/>
          <w:szCs w:val="21"/>
        </w:rPr>
      </w:pPr>
    </w:p>
    <w:p>
      <w:pPr>
        <w:rPr>
          <w:rFonts w:ascii="宋体" w:hAnsi="宋体" w:cs="Arial" w:hint="eastAsia"/>
          <w:b/>
          <w:szCs w:val="21"/>
        </w:rPr>
      </w:pPr>
      <w:r>
        <w:rPr>
          <w:rFonts w:ascii="宋体" w:hAnsi="宋体" w:cs="Arial" w:hint="eastAsia"/>
          <w:b/>
          <w:szCs w:val="21"/>
        </w:rPr>
        <w:t>（四）中小企业声明函及残疾人福利性单位声明函</w:t>
      </w:r>
    </w:p>
    <w:p>
      <w:pPr>
        <w:ind w:firstLine="420" w:firstLineChars="200"/>
        <w:rPr>
          <w:rFonts w:ascii="宋体" w:hAnsi="宋体" w:cs="宋体" w:hint="eastAsia"/>
          <w:bCs/>
        </w:rPr>
      </w:pPr>
      <w:r>
        <w:rPr>
          <w:rFonts w:ascii="宋体" w:hAnsi="宋体" w:cs="宋体" w:hint="eastAsia"/>
          <w:bCs/>
        </w:rPr>
        <w:t>填写指引：</w:t>
      </w:r>
    </w:p>
    <w:p>
      <w:pPr>
        <w:ind w:firstLine="420" w:firstLineChars="200"/>
        <w:rPr>
          <w:rFonts w:ascii="宋体" w:hAnsi="宋体" w:cs="宋体" w:hint="eastAsia"/>
        </w:rPr>
      </w:pPr>
      <w:r>
        <w:rPr>
          <w:rFonts w:ascii="宋体" w:hAnsi="宋体" w:cs="宋体" w:hint="eastAsia"/>
          <w:bCs/>
        </w:rPr>
        <w:t>1、该部分内容由投标人根据自身实际情况填写，</w:t>
      </w:r>
      <w:r>
        <w:rPr>
          <w:rFonts w:ascii="宋体" w:hAnsi="宋体" w:cs="宋体" w:hint="eastAsia"/>
          <w:bCs/>
          <w:color w:val="FF0000"/>
        </w:rPr>
        <w:t>不符合要求的投标人可以不填写或直接删除相应的声明函</w:t>
      </w:r>
      <w:r>
        <w:rPr>
          <w:rFonts w:ascii="宋体" w:hAnsi="宋体" w:cs="宋体" w:hint="eastAsia"/>
          <w:bCs/>
        </w:rPr>
        <w:t>。</w:t>
      </w:r>
      <w:r>
        <w:rPr>
          <w:rFonts w:ascii="宋体" w:hAnsi="宋体" w:cs="宋体" w:hint="eastAsia"/>
        </w:rPr>
        <w:t>投标人提供的声明函不属实的，属于提供虚假资料谋取中标，依照《中华人民共和国政府采购法》等国家有关规定追究相应责任。</w:t>
      </w:r>
    </w:p>
    <w:p>
      <w:pPr>
        <w:ind w:firstLine="420" w:firstLineChars="200"/>
        <w:rPr>
          <w:rFonts w:ascii="宋体" w:hAnsi="宋体" w:cs="宋体" w:hint="eastAsia"/>
        </w:rPr>
      </w:pPr>
      <w:r>
        <w:rPr>
          <w:rFonts w:ascii="宋体" w:hAnsi="宋体" w:cs="宋体" w:hint="eastAsia"/>
        </w:rPr>
        <w:t>2、该部分内容填写需要参考的相关文件：(1)财政部《政府采购促进中小企业发展管理办法》（财库〔2020〕46号）；(2)《工业和信息化部、国家统计局、国家发展和改革委员会、财政部关于印发中小企业划型标准规定的通知》（工信部联企业〔2011〕300号，以下简称300号文）。</w:t>
      </w:r>
    </w:p>
    <w:p>
      <w:pPr>
        <w:ind w:firstLine="420" w:firstLineChars="200"/>
        <w:rPr>
          <w:rFonts w:ascii="宋体" w:hAnsi="宋体" w:cs="宋体" w:hint="eastAsia"/>
        </w:rPr>
      </w:pPr>
      <w:r>
        <w:rPr>
          <w:rFonts w:ascii="宋体" w:hAnsi="宋体" w:cs="宋体" w:hint="eastAsia"/>
        </w:rPr>
        <w:t>(1)《政府采购促进中小企业发展管理办法》（财库〔2020〕46号），链接：</w:t>
      </w:r>
      <w:r>
        <w:rPr>
          <w:rFonts w:ascii="宋体" w:hAnsi="宋体" w:cs="宋体" w:hint="eastAsia"/>
        </w:rPr>
        <w:fldChar w:fldCharType="begin"/>
      </w:r>
      <w:r>
        <w:rPr>
          <w:rFonts w:ascii="宋体" w:hAnsi="宋体" w:cs="宋体" w:hint="eastAsia"/>
        </w:rPr>
        <w:instrText xml:space="preserve"> HYPERLINK "http://www.ccgp.gov.cn/news/202012/t20201229_15715888.htm" </w:instrText>
      </w:r>
      <w:r>
        <w:rPr>
          <w:rFonts w:ascii="宋体" w:hAnsi="宋体" w:cs="宋体" w:hint="eastAsia"/>
        </w:rPr>
        <w:fldChar w:fldCharType="separate"/>
      </w:r>
      <w:r>
        <w:rPr>
          <w:rStyle w:val="Hyperlink"/>
          <w:rFonts w:ascii="宋体" w:hAnsi="宋体" w:cs="宋体" w:hint="eastAsia"/>
          <w:color w:val="auto"/>
        </w:rPr>
        <w:t>www.ccgp.gov.cn/news/202012/t20201229_15715888.htm</w:t>
      </w:r>
      <w:r>
        <w:rPr>
          <w:rFonts w:ascii="宋体" w:hAnsi="宋体" w:cs="宋体" w:hint="eastAsia"/>
        </w:rPr>
        <w:fldChar w:fldCharType="end"/>
      </w:r>
    </w:p>
    <w:p>
      <w:pPr>
        <w:ind w:firstLine="420" w:firstLineChars="200"/>
        <w:rPr>
          <w:rFonts w:ascii="宋体" w:hAnsi="宋体" w:cs="宋体" w:hint="eastAsia"/>
        </w:rPr>
      </w:pPr>
      <w:r>
        <w:rPr>
          <w:rFonts w:ascii="宋体" w:hAnsi="宋体" w:cs="宋体" w:hint="eastAsia"/>
        </w:rPr>
        <w:t>(2)《关于印发中小企业划型标准规定的通知》（工信部联企业〔2011〕300号），链接：</w:t>
      </w:r>
      <w:r>
        <w:rPr>
          <w:rFonts w:ascii="宋体" w:hAnsi="宋体" w:cs="宋体" w:hint="eastAsia"/>
        </w:rPr>
        <w:fldChar w:fldCharType="begin"/>
      </w:r>
      <w:r>
        <w:rPr>
          <w:rFonts w:ascii="宋体" w:hAnsi="宋体" w:cs="宋体" w:hint="eastAsia"/>
        </w:rPr>
        <w:instrText xml:space="preserve"> HYPERLINK "http://www.gov.cn/zwgk/2011-07/04/content_1898747.htm" </w:instrText>
      </w:r>
      <w:r>
        <w:rPr>
          <w:rFonts w:ascii="宋体" w:hAnsi="宋体" w:cs="宋体" w:hint="eastAsia"/>
        </w:rPr>
        <w:fldChar w:fldCharType="separate"/>
      </w:r>
      <w:r>
        <w:rPr>
          <w:rStyle w:val="Hyperlink"/>
          <w:rFonts w:ascii="宋体" w:hAnsi="宋体" w:cs="宋体" w:hint="eastAsia"/>
          <w:color w:val="auto"/>
        </w:rPr>
        <w:t>www.gov.cn/zwgk/2011-07/04/content_1898747.htm</w:t>
      </w:r>
      <w:r>
        <w:rPr>
          <w:rFonts w:ascii="宋体" w:hAnsi="宋体" w:cs="宋体" w:hint="eastAsia"/>
        </w:rPr>
        <w:fldChar w:fldCharType="end"/>
      </w:r>
    </w:p>
    <w:p>
      <w:pPr>
        <w:ind w:firstLine="420" w:firstLineChars="200"/>
        <w:rPr>
          <w:rFonts w:ascii="宋体" w:hAnsi="宋体" w:cs="宋体" w:hint="eastAsia"/>
        </w:rPr>
      </w:pPr>
      <w:r>
        <w:rPr>
          <w:rFonts w:ascii="宋体" w:hAnsi="宋体" w:cs="宋体" w:hint="eastAsia"/>
        </w:rPr>
        <w:t>(3)《统计上大中小微型企业划分办法(2017)》（国统字〔2017〕213号），链接：</w:t>
      </w:r>
      <w:r>
        <w:rPr>
          <w:rFonts w:ascii="宋体" w:hAnsi="宋体" w:cs="宋体" w:hint="eastAsia"/>
        </w:rPr>
        <w:fldChar w:fldCharType="begin"/>
      </w:r>
      <w:r>
        <w:rPr>
          <w:rFonts w:ascii="宋体" w:hAnsi="宋体" w:cs="宋体" w:hint="eastAsia"/>
        </w:rPr>
        <w:instrText xml:space="preserve"> HYPERLINK "http://www.stats.gov.cn/tjsj/tjbz/201801/t20180103_1569357.html" </w:instrText>
      </w:r>
      <w:r>
        <w:rPr>
          <w:rFonts w:ascii="宋体" w:hAnsi="宋体" w:cs="宋体" w:hint="eastAsia"/>
        </w:rPr>
        <w:fldChar w:fldCharType="separate"/>
      </w:r>
      <w:r>
        <w:rPr>
          <w:rStyle w:val="Hyperlink"/>
          <w:rFonts w:ascii="宋体" w:hAnsi="宋体" w:cs="宋体" w:hint="eastAsia"/>
          <w:color w:val="auto"/>
        </w:rPr>
        <w:t>www.stats.gov.cn/tjsj/tjbz/201801/t20180103_1569357.html</w:t>
      </w:r>
      <w:r>
        <w:rPr>
          <w:rFonts w:ascii="宋体" w:hAnsi="宋体" w:cs="宋体" w:hint="eastAsia"/>
        </w:rPr>
        <w:fldChar w:fldCharType="end"/>
      </w:r>
    </w:p>
    <w:p>
      <w:pPr>
        <w:ind w:firstLine="420" w:firstLineChars="200"/>
        <w:rPr>
          <w:rFonts w:ascii="宋体" w:hAnsi="宋体" w:cs="宋体" w:hint="eastAsia"/>
        </w:rPr>
      </w:pPr>
      <w:r>
        <w:rPr>
          <w:rFonts w:ascii="宋体" w:hAnsi="宋体" w:cs="宋体" w:hint="eastAsia"/>
        </w:rPr>
        <w:t>(4)《关于促进残疾人就业政府采购政策的通知》（财库〔2017〕141号），链接：</w:t>
      </w:r>
      <w:r>
        <w:rPr>
          <w:rFonts w:ascii="宋体" w:hAnsi="宋体" w:cs="宋体" w:hint="eastAsia"/>
        </w:rPr>
        <w:fldChar w:fldCharType="begin"/>
      </w:r>
      <w:r>
        <w:rPr>
          <w:rFonts w:ascii="宋体" w:hAnsi="宋体" w:cs="宋体" w:hint="eastAsia"/>
        </w:rPr>
        <w:instrText xml:space="preserve"> HYPERLINK "http://www.ccgp.gov.cn/zcfg/mof/201709/t20170904_8787205.shtml" </w:instrText>
      </w:r>
      <w:r>
        <w:rPr>
          <w:rFonts w:ascii="宋体" w:hAnsi="宋体" w:cs="宋体" w:hint="eastAsia"/>
        </w:rPr>
        <w:fldChar w:fldCharType="separate"/>
      </w:r>
      <w:r>
        <w:rPr>
          <w:rStyle w:val="Hyperlink"/>
          <w:rFonts w:ascii="宋体" w:hAnsi="宋体" w:cs="宋体" w:hint="eastAsia"/>
          <w:color w:val="auto"/>
        </w:rPr>
        <w:t>www.ccgp.gov.cn/zcfg/mof/201709/t20170904_8787205.shtml</w:t>
      </w:r>
      <w:r>
        <w:rPr>
          <w:rFonts w:ascii="宋体" w:hAnsi="宋体" w:cs="宋体" w:hint="eastAsia"/>
        </w:rPr>
        <w:fldChar w:fldCharType="end"/>
      </w:r>
    </w:p>
    <w:p>
      <w:pPr>
        <w:ind w:firstLine="420" w:firstLineChars="200"/>
        <w:rPr>
          <w:rFonts w:ascii="宋体" w:hAnsi="宋体" w:cs="宋体" w:hint="eastAsia"/>
        </w:rPr>
      </w:pPr>
      <w:r>
        <w:rPr>
          <w:rFonts w:ascii="宋体" w:hAnsi="宋体" w:cs="宋体" w:hint="eastAsia"/>
        </w:rPr>
        <w:t>(5)《关于政府采购支持监狱企业发展有关问题的通知》（财库〔2014〕68号），链接：</w:t>
      </w:r>
      <w:r>
        <w:rPr>
          <w:rFonts w:ascii="宋体" w:hAnsi="宋体" w:cs="宋体" w:hint="eastAsia"/>
        </w:rPr>
        <w:fldChar w:fldCharType="begin"/>
      </w:r>
      <w:r>
        <w:rPr>
          <w:rFonts w:ascii="宋体" w:hAnsi="宋体" w:cs="宋体" w:hint="eastAsia"/>
        </w:rPr>
        <w:instrText xml:space="preserve"> HYPERLINK "http://www.ccgp.gov.cn/zcfg/mof/201406/t20140616_4619272.htm" </w:instrText>
      </w:r>
      <w:r>
        <w:rPr>
          <w:rFonts w:ascii="宋体" w:hAnsi="宋体" w:cs="宋体" w:hint="eastAsia"/>
        </w:rPr>
        <w:fldChar w:fldCharType="separate"/>
      </w:r>
      <w:r>
        <w:rPr>
          <w:rStyle w:val="Hyperlink"/>
          <w:rFonts w:ascii="宋体" w:hAnsi="宋体" w:cs="宋体" w:hint="eastAsia"/>
          <w:color w:val="auto"/>
        </w:rPr>
        <w:t>www.ccgp.gov.cn/zcfg/mof/201406/t20140616_4619272.htm</w:t>
      </w:r>
      <w:r>
        <w:rPr>
          <w:rFonts w:ascii="宋体" w:hAnsi="宋体" w:cs="宋体" w:hint="eastAsia"/>
        </w:rPr>
        <w:fldChar w:fldCharType="end"/>
      </w:r>
    </w:p>
    <w:p>
      <w:pPr>
        <w:ind w:firstLine="420" w:firstLineChars="200"/>
        <w:rPr>
          <w:rFonts w:ascii="宋体" w:hAnsi="宋体" w:cs="宋体" w:hint="eastAsia"/>
          <w:bCs/>
        </w:rPr>
      </w:pPr>
      <w:r>
        <w:rPr>
          <w:rFonts w:ascii="宋体" w:hAnsi="宋体" w:cs="宋体" w:hint="eastAsia"/>
          <w:bCs/>
        </w:rPr>
        <w:t>3、请依照提供的格式和内容填写声明函，不要随意变更格式；声明函不需要盖章或签字；</w:t>
      </w:r>
      <w:r>
        <w:rPr>
          <w:rFonts w:ascii="宋体" w:hAnsi="宋体" w:cs="宋体" w:hint="eastAsia"/>
        </w:rPr>
        <w:t>满足多项优惠政策的投标人，不重复享受多项价格扣除政策。</w:t>
      </w:r>
    </w:p>
    <w:p>
      <w:pPr>
        <w:ind w:firstLine="420" w:firstLineChars="200"/>
        <w:rPr>
          <w:rFonts w:ascii="宋体" w:hAnsi="宋体" w:cs="宋体" w:hint="eastAsia"/>
          <w:bCs/>
        </w:rPr>
      </w:pPr>
      <w:r>
        <w:rPr>
          <w:rFonts w:ascii="宋体" w:hAnsi="宋体" w:cs="宋体" w:hint="eastAsia"/>
          <w:bCs/>
        </w:rPr>
        <w:t>4、声明函具体填写要求：</w:t>
      </w:r>
    </w:p>
    <w:p>
      <w:pPr>
        <w:ind w:firstLine="420" w:firstLineChars="200"/>
        <w:rPr>
          <w:rFonts w:ascii="宋体" w:hAnsi="宋体" w:cs="宋体" w:hint="eastAsia"/>
          <w:bCs/>
        </w:rPr>
      </w:pPr>
      <w:r>
        <w:rPr>
          <w:rFonts w:ascii="宋体" w:hAnsi="宋体" w:cs="宋体" w:hint="eastAsia"/>
          <w:bCs/>
        </w:rPr>
        <w:t>（1）声明是中小企业须填写《中小企业声明函》的以下内容：</w:t>
      </w:r>
    </w:p>
    <w:p>
      <w:pPr>
        <w:ind w:firstLine="420" w:firstLineChars="200"/>
        <w:rPr>
          <w:rFonts w:ascii="宋体" w:hAnsi="宋体" w:cs="宋体" w:hint="eastAsia"/>
          <w:bCs/>
        </w:rPr>
      </w:pPr>
      <w:r>
        <w:rPr>
          <w:rFonts w:ascii="宋体" w:hAnsi="宋体" w:cs="宋体" w:hint="eastAsia"/>
          <w:bCs/>
        </w:rPr>
        <w:t>第一处，</w:t>
      </w:r>
      <w:r>
        <w:rPr>
          <w:rFonts w:ascii="宋体" w:hAnsi="宋体" w:cs="宋体" w:hint="eastAsia"/>
          <w:bCs/>
          <w:color w:val="FF0000"/>
        </w:rPr>
        <w:t>在“采购人名称”下划线处如实填写采购人名称</w:t>
      </w:r>
      <w:r>
        <w:rPr>
          <w:rFonts w:ascii="宋体" w:hAnsi="宋体" w:cs="宋体" w:hint="eastAsia"/>
          <w:bCs/>
        </w:rPr>
        <w:t>（深圳华仑诚工程管理有限公司不是本项目的采购人，而是组织实施机构）；</w:t>
      </w:r>
    </w:p>
    <w:p>
      <w:pPr>
        <w:ind w:firstLine="420" w:firstLineChars="200"/>
        <w:rPr>
          <w:rFonts w:ascii="宋体" w:hAnsi="宋体" w:cs="宋体" w:hint="eastAsia"/>
          <w:bCs/>
        </w:rPr>
      </w:pPr>
      <w:r>
        <w:rPr>
          <w:rFonts w:ascii="宋体" w:hAnsi="宋体" w:cs="宋体" w:hint="eastAsia"/>
          <w:bCs/>
        </w:rPr>
        <w:t>第二处，在“项目名称”下划线处如实填写采购项目名称；</w:t>
      </w:r>
    </w:p>
    <w:p>
      <w:pPr>
        <w:ind w:firstLine="420" w:firstLineChars="200"/>
        <w:rPr>
          <w:rFonts w:ascii="宋体" w:hAnsi="宋体" w:cs="宋体" w:hint="eastAsia"/>
          <w:bCs/>
        </w:rPr>
      </w:pPr>
      <w:r>
        <w:rPr>
          <w:rFonts w:ascii="宋体" w:hAnsi="宋体" w:cs="宋体" w:hint="eastAsia"/>
          <w:bCs/>
        </w:rPr>
        <w:t>第三处，在“标的名称”下划线处填写所采购服务（标的）的具体名称（以招标文件第一册第三章用户需求书“服务需求明细”的“服务需求名称”一栏为准）；如果涉及多个服务需求（标的）由同一企业承接，“标的名称”下划线处可以如实填写多个服务需求（标的）；</w:t>
      </w:r>
    </w:p>
    <w:p>
      <w:pPr>
        <w:ind w:firstLine="420" w:firstLineChars="200"/>
        <w:rPr>
          <w:rFonts w:ascii="宋体" w:hAnsi="宋体" w:cs="宋体" w:hint="eastAsia"/>
          <w:bCs/>
        </w:rPr>
      </w:pPr>
      <w:r>
        <w:rPr>
          <w:rFonts w:ascii="宋体" w:hAnsi="宋体" w:cs="宋体" w:hint="eastAsia"/>
          <w:bCs/>
        </w:rPr>
        <w:t>第四处，在“招标文件中明确的所属行业”下划线处填写采购标的对应的中小企业划分标准所属行业（所属行业可在招标文件第一册第二章“对通用条款的补充内容及其他关键信息”章节查看）；</w:t>
      </w:r>
    </w:p>
    <w:p>
      <w:pPr>
        <w:ind w:firstLine="420" w:firstLineChars="200"/>
        <w:rPr>
          <w:rFonts w:ascii="宋体" w:hAnsi="宋体" w:cs="宋体" w:hint="eastAsia"/>
          <w:bCs/>
        </w:rPr>
      </w:pPr>
      <w:r>
        <w:rPr>
          <w:rFonts w:ascii="宋体" w:hAnsi="宋体" w:cs="宋体" w:hint="eastAsia"/>
          <w:bCs/>
        </w:rPr>
        <w:t>第五处，在“企业名称”下划线处如实填写承接企业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w:t>
      </w:r>
    </w:p>
    <w:p>
      <w:pPr>
        <w:ind w:firstLine="420" w:firstLineChars="200"/>
        <w:rPr>
          <w:rFonts w:ascii="宋体" w:hAnsi="宋体" w:cs="宋体" w:hint="eastAsia"/>
          <w:bCs/>
        </w:rPr>
      </w:pPr>
      <w:r>
        <w:rPr>
          <w:rFonts w:ascii="宋体" w:hAnsi="宋体" w:cs="宋体" w:hint="eastAsia"/>
          <w:bCs/>
        </w:rPr>
        <w:t>（2）声明是残疾人福利性单位须填写《残疾人福利性单位声明函》的相关内容（填写位置的字体已加粗），具体参照以上《中小企业声明函》填写要求执行。</w:t>
      </w:r>
    </w:p>
    <w:p>
      <w:pPr>
        <w:ind w:firstLine="420" w:firstLineChars="200"/>
        <w:rPr>
          <w:rFonts w:ascii="宋体" w:hAnsi="宋体" w:cs="宋体" w:hint="eastAsia"/>
          <w:bCs/>
        </w:rPr>
      </w:pPr>
      <w:r>
        <w:rPr>
          <w:rFonts w:ascii="宋体" w:hAnsi="宋体" w:cs="宋体" w:hint="eastAsia"/>
          <w:bCs/>
        </w:rPr>
        <w:t>（3）声明是监狱企业须填写《监狱企业声明函》的相关内容（填写位置的字体已加粗），具体参照以上《中小企业声明函》填写要求执行。</w:t>
      </w:r>
    </w:p>
    <w:p>
      <w:pPr>
        <w:ind w:firstLine="420" w:firstLineChars="200"/>
        <w:rPr>
          <w:rFonts w:ascii="宋体" w:hAnsi="宋体" w:cs="宋体" w:hint="eastAsia"/>
        </w:rPr>
      </w:pPr>
      <w:r>
        <w:rPr>
          <w:rFonts w:ascii="宋体" w:hAnsi="宋体" w:cs="宋体" w:hint="eastAsia"/>
          <w:bCs/>
        </w:rPr>
        <w:t>5、声明函的有效性最终由评审委员会判定。</w:t>
      </w:r>
    </w:p>
    <w:p>
      <w:pPr>
        <w:ind w:firstLine="420" w:firstLineChars="200"/>
      </w:pPr>
    </w:p>
    <w:p>
      <w:pPr>
        <w:jc w:val="center"/>
        <w:rPr>
          <w:rFonts w:hint="eastAsia"/>
          <w:b/>
        </w:rPr>
      </w:pPr>
    </w:p>
    <w:p>
      <w:pPr>
        <w:jc w:val="center"/>
        <w:rPr>
          <w:b/>
        </w:rPr>
      </w:pPr>
      <w:r>
        <w:rPr>
          <w:rFonts w:hint="eastAsia"/>
          <w:b/>
        </w:rPr>
        <w:t>1、</w:t>
      </w:r>
      <w:r>
        <w:rPr>
          <w:b/>
        </w:rPr>
        <w:t>中小企业声明函（</w:t>
      </w:r>
      <w:r>
        <w:rPr>
          <w:rFonts w:hint="eastAsia"/>
          <w:b/>
        </w:rPr>
        <w:t>服务类</w:t>
      </w:r>
      <w:r>
        <w:rPr>
          <w:b/>
        </w:rPr>
        <w:t>）</w:t>
      </w:r>
    </w:p>
    <w:p>
      <w:pPr>
        <w:ind w:firstLine="420" w:firstLineChars="200"/>
        <w:rPr>
          <w:rFonts w:ascii="宋体" w:hAnsi="宋体"/>
        </w:rPr>
      </w:pPr>
      <w:r>
        <w:rPr>
          <w:rFonts w:ascii="宋体" w:hAnsi="宋体"/>
        </w:rPr>
        <w:t>本</w:t>
      </w:r>
      <w:r>
        <w:rPr>
          <w:rFonts w:ascii="宋体" w:hAnsi="宋体" w:hint="eastAsia"/>
        </w:rPr>
        <w:t>投标人</w:t>
      </w:r>
      <w:r>
        <w:rPr>
          <w:rFonts w:ascii="宋体" w:hAnsi="宋体"/>
        </w:rPr>
        <w:t>郑重声明，根据《政府采购促进中小企业发展管理办法》（财库</w:t>
      </w:r>
      <w:r>
        <w:rPr>
          <w:rFonts w:ascii="宋体" w:hAnsi="宋体" w:cs="微软雅黑" w:hint="eastAsia"/>
        </w:rPr>
        <w:t>﹝</w:t>
      </w:r>
      <w:r>
        <w:rPr>
          <w:rFonts w:ascii="宋体" w:hAnsi="宋体"/>
        </w:rPr>
        <w:t>2020</w:t>
      </w:r>
      <w:r>
        <w:rPr>
          <w:rFonts w:ascii="宋体" w:hAnsi="宋体" w:cs="微软雅黑" w:hint="eastAsia"/>
        </w:rPr>
        <w:t>﹞</w:t>
      </w:r>
      <w:r>
        <w:rPr>
          <w:rFonts w:ascii="宋体" w:hAnsi="宋体"/>
        </w:rPr>
        <w:t>46号）的规定，本</w:t>
      </w:r>
      <w:r>
        <w:rPr>
          <w:rFonts w:ascii="宋体" w:hAnsi="宋体" w:hint="eastAsia"/>
        </w:rPr>
        <w:t>投标人</w:t>
      </w:r>
      <w:r>
        <w:rPr>
          <w:rFonts w:ascii="宋体" w:hAnsi="宋体"/>
        </w:rPr>
        <w:t>参加</w:t>
      </w:r>
      <w:r>
        <w:rPr>
          <w:rFonts w:ascii="宋体" w:hAnsi="宋体"/>
          <w:b/>
          <w:bCs/>
          <w:u w:val="single"/>
        </w:rPr>
        <w:t>（</w:t>
      </w:r>
      <w:r>
        <w:rPr>
          <w:rFonts w:ascii="宋体" w:hAnsi="宋体" w:hint="eastAsia"/>
          <w:b/>
          <w:bCs/>
          <w:u w:val="single"/>
        </w:rPr>
        <w:t>采购人</w:t>
      </w:r>
      <w:r>
        <w:rPr>
          <w:rFonts w:ascii="宋体" w:hAnsi="宋体"/>
          <w:b/>
          <w:bCs/>
          <w:u w:val="single"/>
        </w:rPr>
        <w:t>名称）</w:t>
      </w:r>
      <w:r>
        <w:rPr>
          <w:rFonts w:ascii="宋体" w:hAnsi="宋体"/>
        </w:rPr>
        <w:t>的</w:t>
      </w:r>
      <w:r>
        <w:rPr>
          <w:rFonts w:ascii="宋体" w:hAnsi="宋体"/>
          <w:b/>
          <w:bCs/>
          <w:u w:val="single"/>
        </w:rPr>
        <w:t>（项目名称）</w:t>
      </w:r>
      <w:r>
        <w:rPr>
          <w:rFonts w:ascii="宋体" w:hAnsi="宋体"/>
        </w:rPr>
        <w:t>采购活动，</w:t>
      </w:r>
      <w:r>
        <w:rPr>
          <w:rFonts w:ascii="宋体" w:hAnsi="宋体" w:hint="eastAsia"/>
        </w:rPr>
        <w:t>服务</w:t>
      </w:r>
      <w:r>
        <w:rPr>
          <w:rFonts w:ascii="宋体" w:hAnsi="宋体"/>
        </w:rPr>
        <w:t>全部由符合政策要求的中小企业</w:t>
      </w:r>
      <w:r>
        <w:rPr>
          <w:rFonts w:ascii="宋体" w:hAnsi="宋体" w:hint="eastAsia"/>
        </w:rPr>
        <w:t>承接</w:t>
      </w:r>
      <w:r>
        <w:rPr>
          <w:rFonts w:ascii="宋体" w:hAnsi="宋体"/>
        </w:rPr>
        <w:t>。相关企业的具体情况如下：</w:t>
      </w:r>
    </w:p>
    <w:p>
      <w:pPr>
        <w:ind w:firstLine="420" w:firstLineChars="200"/>
        <w:rPr>
          <w:rFonts w:ascii="宋体" w:hAnsi="宋体"/>
        </w:rPr>
      </w:pPr>
      <w:r>
        <w:rPr>
          <w:rFonts w:ascii="宋体" w:hAnsi="宋体"/>
        </w:rPr>
        <w:t>1.</w:t>
      </w:r>
      <w:r>
        <w:rPr>
          <w:rFonts w:ascii="宋体" w:hAnsi="宋体"/>
          <w:b/>
          <w:bCs/>
          <w:u w:val="single"/>
        </w:rPr>
        <w:t>（标的名称）</w:t>
      </w:r>
      <w:r>
        <w:rPr>
          <w:rFonts w:ascii="宋体" w:hAnsi="宋体"/>
        </w:rPr>
        <w:t>，属于</w:t>
      </w:r>
      <w:r>
        <w:rPr>
          <w:rFonts w:ascii="宋体" w:hAnsi="宋体"/>
          <w:b/>
          <w:bCs/>
          <w:u w:val="single"/>
        </w:rPr>
        <w:t>（</w:t>
      </w:r>
      <w:r>
        <w:rPr>
          <w:rFonts w:ascii="宋体" w:hAnsi="宋体" w:hint="eastAsia"/>
          <w:b/>
          <w:bCs/>
          <w:u w:val="single"/>
        </w:rPr>
        <w:t>招标</w:t>
      </w:r>
      <w:r>
        <w:rPr>
          <w:rFonts w:ascii="宋体" w:hAnsi="宋体"/>
          <w:b/>
          <w:bCs/>
          <w:u w:val="single"/>
        </w:rPr>
        <w:t>文件中明确的所属行业）</w:t>
      </w:r>
      <w:r>
        <w:rPr>
          <w:rFonts w:ascii="宋体" w:hAnsi="宋体"/>
        </w:rPr>
        <w:t>行业；</w:t>
      </w:r>
      <w:r>
        <w:rPr>
          <w:rFonts w:ascii="宋体" w:hAnsi="宋体" w:hint="eastAsia"/>
        </w:rPr>
        <w:t>承接企业</w:t>
      </w:r>
      <w:r>
        <w:rPr>
          <w:rFonts w:ascii="宋体" w:hAnsi="宋体"/>
        </w:rPr>
        <w:t>为</w:t>
      </w:r>
      <w:r>
        <w:rPr>
          <w:rFonts w:ascii="宋体" w:hAnsi="宋体"/>
          <w:b/>
          <w:bCs/>
          <w:u w:val="single"/>
        </w:rPr>
        <w:t>（企业名称）</w:t>
      </w:r>
      <w:r>
        <w:rPr>
          <w:rFonts w:ascii="宋体" w:hAnsi="宋体"/>
        </w:rPr>
        <w:t>，从业人员</w:t>
      </w:r>
      <w:r>
        <w:rPr>
          <w:rFonts w:ascii="宋体" w:hAnsi="宋体"/>
          <w:b/>
          <w:bCs/>
          <w:u w:val="single"/>
        </w:rPr>
        <w:t xml:space="preserve">  </w:t>
      </w:r>
      <w:r>
        <w:rPr>
          <w:rFonts w:ascii="宋体" w:hAnsi="宋体"/>
        </w:rPr>
        <w:t>人，营业收入为</w:t>
      </w:r>
      <w:r>
        <w:rPr>
          <w:rFonts w:ascii="宋体" w:hAnsi="宋体"/>
          <w:b/>
          <w:bCs/>
          <w:u w:val="single"/>
        </w:rPr>
        <w:t xml:space="preserve">  </w:t>
      </w:r>
      <w:r>
        <w:rPr>
          <w:rFonts w:ascii="宋体" w:hAnsi="宋体"/>
        </w:rPr>
        <w:t>万元，资产总额为</w:t>
      </w:r>
      <w:r>
        <w:rPr>
          <w:rFonts w:ascii="宋体" w:hAnsi="宋体" w:hint="eastAsia"/>
          <w:b/>
          <w:bCs/>
          <w:u w:val="single"/>
        </w:rPr>
        <w:t xml:space="preserve"> </w:t>
      </w:r>
      <w:r>
        <w:rPr>
          <w:rFonts w:ascii="宋体" w:hAnsi="宋体"/>
          <w:b/>
          <w:bCs/>
          <w:u w:val="single"/>
        </w:rPr>
        <w:t xml:space="preserve"> </w:t>
      </w:r>
      <w:r>
        <w:rPr>
          <w:rFonts w:ascii="宋体" w:hAnsi="宋体"/>
        </w:rPr>
        <w:t>万元，属于</w:t>
      </w:r>
      <w:r>
        <w:rPr>
          <w:rFonts w:ascii="宋体" w:hAnsi="宋体"/>
          <w:b/>
          <w:bCs/>
          <w:u w:val="single"/>
        </w:rPr>
        <w:t>（中型企业、小型企业、微型企业）</w:t>
      </w:r>
      <w:r>
        <w:rPr>
          <w:rFonts w:ascii="宋体" w:hAnsi="宋体"/>
        </w:rPr>
        <w:t>；</w:t>
      </w:r>
    </w:p>
    <w:p>
      <w:pPr>
        <w:ind w:firstLine="420" w:firstLineChars="200"/>
        <w:rPr>
          <w:rFonts w:ascii="宋体" w:hAnsi="宋体"/>
          <w:u w:val="single"/>
        </w:rPr>
      </w:pPr>
      <w:r>
        <w:rPr>
          <w:rFonts w:ascii="宋体" w:hAnsi="宋体"/>
        </w:rPr>
        <w:t>2.</w:t>
      </w:r>
      <w:r>
        <w:rPr>
          <w:rFonts w:ascii="宋体" w:hAnsi="宋体"/>
          <w:b/>
          <w:bCs/>
          <w:u w:val="single"/>
        </w:rPr>
        <w:t>（标的名称）</w:t>
      </w:r>
      <w:r>
        <w:rPr>
          <w:rFonts w:ascii="宋体" w:hAnsi="宋体"/>
        </w:rPr>
        <w:t>，属于</w:t>
      </w:r>
      <w:r>
        <w:rPr>
          <w:rFonts w:ascii="宋体" w:hAnsi="宋体"/>
          <w:b/>
          <w:bCs/>
          <w:u w:val="single"/>
        </w:rPr>
        <w:t>（</w:t>
      </w:r>
      <w:r>
        <w:rPr>
          <w:rFonts w:ascii="宋体" w:hAnsi="宋体" w:hint="eastAsia"/>
          <w:b/>
          <w:bCs/>
          <w:u w:val="single"/>
        </w:rPr>
        <w:t>招标</w:t>
      </w:r>
      <w:r>
        <w:rPr>
          <w:rFonts w:ascii="宋体" w:hAnsi="宋体"/>
          <w:b/>
          <w:bCs/>
          <w:u w:val="single"/>
        </w:rPr>
        <w:t>文件中明确的所属行业）</w:t>
      </w:r>
      <w:r>
        <w:rPr>
          <w:rFonts w:ascii="宋体" w:hAnsi="宋体"/>
        </w:rPr>
        <w:t>行业；</w:t>
      </w:r>
      <w:r>
        <w:rPr>
          <w:rFonts w:ascii="宋体" w:hAnsi="宋体" w:hint="eastAsia"/>
        </w:rPr>
        <w:t>承接企业</w:t>
      </w:r>
      <w:r>
        <w:rPr>
          <w:rFonts w:ascii="宋体" w:hAnsi="宋体"/>
        </w:rPr>
        <w:t>为</w:t>
      </w:r>
      <w:r>
        <w:rPr>
          <w:rFonts w:ascii="宋体" w:hAnsi="宋体"/>
          <w:b/>
          <w:bCs/>
          <w:u w:val="single"/>
        </w:rPr>
        <w:t>（企业名称）</w:t>
      </w:r>
      <w:r>
        <w:rPr>
          <w:rFonts w:ascii="宋体" w:hAnsi="宋体"/>
        </w:rPr>
        <w:t>，从业人员</w:t>
      </w:r>
      <w:r>
        <w:rPr>
          <w:rFonts w:ascii="宋体" w:hAnsi="宋体"/>
          <w:b/>
          <w:bCs/>
          <w:u w:val="single"/>
        </w:rPr>
        <w:t xml:space="preserve">  </w:t>
      </w:r>
      <w:r>
        <w:rPr>
          <w:rFonts w:ascii="宋体" w:hAnsi="宋体"/>
        </w:rPr>
        <w:t>人，营业收入为</w:t>
      </w:r>
      <w:r>
        <w:rPr>
          <w:rFonts w:ascii="宋体" w:hAnsi="宋体"/>
          <w:b/>
          <w:bCs/>
          <w:u w:val="single"/>
        </w:rPr>
        <w:t xml:space="preserve">  </w:t>
      </w:r>
      <w:r>
        <w:rPr>
          <w:rFonts w:ascii="宋体" w:hAnsi="宋体"/>
        </w:rPr>
        <w:t>万元，资产总额为</w:t>
      </w:r>
      <w:r>
        <w:rPr>
          <w:rFonts w:ascii="宋体" w:hAnsi="宋体" w:hint="eastAsia"/>
          <w:b/>
          <w:bCs/>
          <w:u w:val="single"/>
        </w:rPr>
        <w:t xml:space="preserve"> </w:t>
      </w:r>
      <w:r>
        <w:rPr>
          <w:rFonts w:ascii="宋体" w:hAnsi="宋体"/>
          <w:b/>
          <w:bCs/>
          <w:u w:val="single"/>
        </w:rPr>
        <w:t xml:space="preserve"> </w:t>
      </w:r>
      <w:r>
        <w:rPr>
          <w:rFonts w:ascii="宋体" w:hAnsi="宋体"/>
        </w:rPr>
        <w:t>万元，属于</w:t>
      </w:r>
      <w:r>
        <w:rPr>
          <w:rFonts w:ascii="宋体" w:hAnsi="宋体"/>
          <w:b/>
          <w:bCs/>
          <w:u w:val="single"/>
        </w:rPr>
        <w:t>（中型企业、小型企业、微型企业）</w:t>
      </w:r>
      <w:r>
        <w:rPr>
          <w:rFonts w:ascii="宋体" w:hAnsi="宋体" w:hint="eastAsia"/>
        </w:rPr>
        <w:t>；</w:t>
      </w:r>
    </w:p>
    <w:p>
      <w:pPr>
        <w:ind w:firstLine="420" w:firstLineChars="200"/>
        <w:rPr>
          <w:rFonts w:ascii="宋体" w:hAnsi="宋体"/>
        </w:rPr>
      </w:pPr>
      <w:r>
        <w:rPr>
          <w:rFonts w:ascii="宋体" w:hAnsi="宋体"/>
        </w:rPr>
        <w:t>……</w:t>
      </w:r>
    </w:p>
    <w:p>
      <w:pPr>
        <w:ind w:firstLine="420" w:firstLineChars="200"/>
        <w:rPr>
          <w:rFonts w:ascii="宋体" w:hAnsi="宋体"/>
        </w:rPr>
      </w:pPr>
      <w:r>
        <w:rPr>
          <w:rFonts w:ascii="宋体" w:hAnsi="宋体"/>
        </w:rPr>
        <w:t>以上企业，不属于大企业的分支机构，不存在控股股东为大企业的情形，也不存在与大企业的负责人为同一人的情形。</w:t>
      </w:r>
    </w:p>
    <w:p>
      <w:pPr>
        <w:ind w:firstLine="420" w:firstLineChars="200"/>
        <w:rPr>
          <w:rFonts w:ascii="宋体" w:hAnsi="宋体"/>
          <w:bCs/>
          <w:color w:val="FF0000"/>
        </w:rPr>
      </w:pPr>
      <w:r>
        <w:rPr>
          <w:rFonts w:hint="eastAsia"/>
        </w:rPr>
        <w:t>本</w:t>
      </w:r>
      <w:r>
        <w:t>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号）第二十条规定，</w:t>
      </w:r>
      <w:r>
        <w:rPr>
          <w:rFonts w:hint="eastAsia"/>
        </w:rPr>
        <w:t>投标人</w:t>
      </w:r>
      <w:r>
        <w:t>按照本办法规定提供声明函内容不实的，属于提供虚假材料谋取中标，依照《政府采购法》等政府采购有关法律法规规定追究相应责任</w:t>
      </w:r>
      <w:r>
        <w:rPr>
          <w:rFonts w:hint="eastAsia"/>
        </w:rPr>
        <w:t>。</w:t>
      </w:r>
    </w:p>
    <w:p>
      <w:pPr>
        <w:ind w:firstLine="420" w:firstLineChars="200"/>
        <w:rPr>
          <w:rFonts w:ascii="宋体" w:hAnsi="宋体"/>
        </w:rPr>
      </w:pPr>
    </w:p>
    <w:p>
      <w:pPr>
        <w:spacing w:after="78" w:afterLines="25" w:line="300" w:lineRule="auto"/>
        <w:ind w:firstLine="420" w:firstLineChars="200"/>
        <w:rPr>
          <w:rFonts w:ascii="宋体" w:hAnsi="宋体"/>
          <w:color w:val="FF0000"/>
        </w:rPr>
      </w:pPr>
      <w:r>
        <w:rPr>
          <w:rFonts w:ascii="Arial" w:hAnsi="Arial" w:hint="eastAsia"/>
          <w:b/>
          <w:color w:val="FF0000"/>
        </w:rPr>
        <w:t>说明：</w:t>
      </w:r>
      <w:r>
        <w:rPr>
          <w:rFonts w:ascii="宋体" w:hAnsi="宋体" w:hint="eastAsia"/>
          <w:color w:val="FF0000"/>
        </w:rPr>
        <w:t>对中小企业的认定，由货物制造商或者工程、服务供应商注册登记所在地的县级以上人民政府中小企业主管部门负责。</w:t>
      </w:r>
      <w:r>
        <w:rPr>
          <w:rFonts w:ascii="宋体" w:hAnsi="宋体" w:hint="eastAsia"/>
          <w:color w:val="0000FF"/>
        </w:rPr>
        <w:t>如因供应商提供的《中小企业声明函》引起的质疑、投诉、信访或其他方式情况反映等，供应商须自行澄清，并提供由中小企业主管部门出具的企业划型证明。对于不能出具企业划型证明的供应商，自行承担由此产生的一切后果，包括声明内容视为无效、不享受相关政府采购优惠政策等。</w:t>
      </w:r>
    </w:p>
    <w:p>
      <w:pPr>
        <w:ind w:firstLine="420" w:firstLineChars="200"/>
      </w:pPr>
    </w:p>
    <w:p>
      <w:pPr>
        <w:ind w:firstLine="420" w:firstLineChars="200"/>
      </w:pPr>
    </w:p>
    <w:p>
      <w:pPr>
        <w:jc w:val="center"/>
        <w:rPr>
          <w:b/>
        </w:rPr>
      </w:pPr>
      <w:r>
        <w:rPr>
          <w:rFonts w:hint="eastAsia"/>
          <w:b/>
        </w:rPr>
        <w:t>2、残疾人福利性单位声明函（服务类）</w:t>
      </w:r>
    </w:p>
    <w:p>
      <w:pPr>
        <w:ind w:firstLine="420" w:firstLineChars="200"/>
        <w:rPr>
          <w:rFonts w:ascii="宋体" w:hAnsi="宋体"/>
        </w:rPr>
      </w:pPr>
      <w:r>
        <w:rPr>
          <w:rFonts w:ascii="宋体" w:hAnsi="宋体"/>
        </w:rPr>
        <w:t>本</w:t>
      </w:r>
      <w:r>
        <w:rPr>
          <w:rFonts w:ascii="宋体" w:hAnsi="宋体" w:hint="eastAsia"/>
        </w:rPr>
        <w:t>投标人郑重声明，根据《财政部民政部中国残疾人联合会关于促进残疾人就业政府采购政策的通知》（财库〔</w:t>
      </w:r>
      <w:r>
        <w:rPr>
          <w:rFonts w:ascii="宋体" w:hAnsi="宋体"/>
        </w:rPr>
        <w:t>2017</w:t>
      </w:r>
      <w:r>
        <w:rPr>
          <w:rFonts w:ascii="宋体" w:hAnsi="宋体" w:hint="eastAsia"/>
        </w:rPr>
        <w:t>〕</w:t>
      </w:r>
      <w:r>
        <w:rPr>
          <w:rFonts w:ascii="宋体" w:hAnsi="宋体"/>
        </w:rPr>
        <w:t>141</w:t>
      </w:r>
      <w:r>
        <w:rPr>
          <w:rFonts w:ascii="宋体" w:hAnsi="宋体" w:hint="eastAsia"/>
        </w:rPr>
        <w:t>号）的规定，本投标人</w:t>
      </w:r>
      <w:r>
        <w:rPr>
          <w:rFonts w:ascii="宋体" w:hAnsi="宋体"/>
        </w:rPr>
        <w:t>参加</w:t>
      </w:r>
      <w:r>
        <w:rPr>
          <w:rFonts w:ascii="宋体" w:hAnsi="宋体"/>
          <w:b/>
          <w:bCs/>
          <w:u w:val="single"/>
        </w:rPr>
        <w:t>（</w:t>
      </w:r>
      <w:r>
        <w:rPr>
          <w:rFonts w:ascii="宋体" w:hAnsi="宋体" w:hint="eastAsia"/>
          <w:b/>
          <w:bCs/>
          <w:u w:val="single"/>
        </w:rPr>
        <w:t>采购人</w:t>
      </w:r>
      <w:r>
        <w:rPr>
          <w:rFonts w:ascii="宋体" w:hAnsi="宋体"/>
          <w:b/>
          <w:bCs/>
          <w:u w:val="single"/>
        </w:rPr>
        <w:t>名称）</w:t>
      </w:r>
      <w:r>
        <w:rPr>
          <w:rFonts w:ascii="宋体" w:hAnsi="宋体"/>
        </w:rPr>
        <w:t>的</w:t>
      </w:r>
      <w:r>
        <w:rPr>
          <w:rFonts w:ascii="宋体" w:hAnsi="宋体"/>
          <w:b/>
          <w:bCs/>
          <w:u w:val="single"/>
        </w:rPr>
        <w:t>（项目名称）</w:t>
      </w:r>
      <w:r>
        <w:rPr>
          <w:rFonts w:ascii="宋体" w:hAnsi="宋体"/>
        </w:rPr>
        <w:t>采购活动，</w:t>
      </w:r>
      <w:r>
        <w:rPr>
          <w:rFonts w:ascii="宋体" w:hAnsi="宋体" w:hint="eastAsia"/>
        </w:rPr>
        <w:t>服务</w:t>
      </w:r>
      <w:r>
        <w:rPr>
          <w:rFonts w:ascii="宋体" w:hAnsi="宋体"/>
        </w:rPr>
        <w:t>全部由符合政策要求的</w:t>
      </w:r>
      <w:r>
        <w:rPr>
          <w:rFonts w:ascii="宋体" w:hAnsi="宋体" w:hint="eastAsia"/>
        </w:rPr>
        <w:t>残疾人福利性单位承接</w:t>
      </w:r>
      <w:r>
        <w:rPr>
          <w:rFonts w:ascii="宋体" w:hAnsi="宋体"/>
        </w:rPr>
        <w:t>。相关</w:t>
      </w:r>
      <w:r>
        <w:rPr>
          <w:rFonts w:ascii="宋体" w:hAnsi="宋体" w:hint="eastAsia"/>
        </w:rPr>
        <w:t>残疾人福利性单位</w:t>
      </w:r>
      <w:r>
        <w:rPr>
          <w:rFonts w:ascii="宋体" w:hAnsi="宋体"/>
        </w:rPr>
        <w:t>的具体情况如下：</w:t>
      </w:r>
    </w:p>
    <w:p>
      <w:pPr>
        <w:ind w:firstLine="420" w:firstLineChars="200"/>
        <w:rPr>
          <w:rFonts w:ascii="宋体" w:hAnsi="宋体"/>
        </w:rPr>
      </w:pPr>
      <w:r>
        <w:rPr>
          <w:rFonts w:ascii="宋体" w:hAnsi="宋体"/>
        </w:rPr>
        <w:t>1.</w:t>
      </w:r>
      <w:r>
        <w:rPr>
          <w:rFonts w:ascii="宋体" w:hAnsi="宋体"/>
          <w:b/>
          <w:bCs/>
          <w:u w:val="single"/>
        </w:rPr>
        <w:t>（标的名称）</w:t>
      </w:r>
      <w:r>
        <w:rPr>
          <w:rFonts w:ascii="宋体" w:hAnsi="宋体" w:hint="eastAsia"/>
        </w:rPr>
        <w:t>，承接企业</w:t>
      </w:r>
      <w:r>
        <w:rPr>
          <w:rFonts w:ascii="宋体" w:hAnsi="宋体"/>
        </w:rPr>
        <w:t>为</w:t>
      </w:r>
      <w:r>
        <w:rPr>
          <w:rFonts w:ascii="宋体" w:hAnsi="宋体"/>
          <w:b/>
          <w:bCs/>
          <w:u w:val="single"/>
        </w:rPr>
        <w:t>（</w:t>
      </w:r>
      <w:r>
        <w:rPr>
          <w:rFonts w:ascii="宋体" w:hAnsi="宋体" w:hint="eastAsia"/>
          <w:b/>
          <w:bCs/>
          <w:u w:val="single"/>
        </w:rPr>
        <w:t>单位</w:t>
      </w:r>
      <w:r>
        <w:rPr>
          <w:rFonts w:ascii="宋体" w:hAnsi="宋体"/>
          <w:b/>
          <w:bCs/>
          <w:u w:val="single"/>
        </w:rPr>
        <w:t>名称）</w:t>
      </w:r>
      <w:r>
        <w:rPr>
          <w:rFonts w:ascii="宋体" w:hAnsi="宋体"/>
        </w:rPr>
        <w:t>，属于</w:t>
      </w:r>
      <w:r>
        <w:rPr>
          <w:rFonts w:ascii="宋体" w:hAnsi="宋体" w:hint="eastAsia"/>
          <w:b/>
          <w:bCs/>
          <w:u w:val="single"/>
        </w:rPr>
        <w:t>残疾人福利性单位</w:t>
      </w:r>
      <w:r>
        <w:rPr>
          <w:rFonts w:ascii="宋体" w:hAnsi="宋体"/>
        </w:rPr>
        <w:t>；</w:t>
      </w:r>
    </w:p>
    <w:p>
      <w:pPr>
        <w:ind w:firstLine="420" w:firstLineChars="200"/>
        <w:rPr>
          <w:rFonts w:ascii="宋体" w:hAnsi="宋体"/>
        </w:rPr>
      </w:pPr>
      <w:r>
        <w:rPr>
          <w:rFonts w:ascii="宋体" w:hAnsi="宋体"/>
        </w:rPr>
        <w:t>2.</w:t>
      </w:r>
      <w:r>
        <w:rPr>
          <w:rFonts w:ascii="宋体" w:hAnsi="宋体"/>
          <w:b/>
          <w:bCs/>
          <w:u w:val="single"/>
        </w:rPr>
        <w:t>（标的名称）</w:t>
      </w:r>
      <w:r>
        <w:rPr>
          <w:rFonts w:ascii="宋体" w:hAnsi="宋体" w:hint="eastAsia"/>
        </w:rPr>
        <w:t>，承接企业</w:t>
      </w:r>
      <w:r>
        <w:rPr>
          <w:rFonts w:ascii="宋体" w:hAnsi="宋体"/>
        </w:rPr>
        <w:t>为</w:t>
      </w:r>
      <w:r>
        <w:rPr>
          <w:rFonts w:ascii="宋体" w:hAnsi="宋体"/>
          <w:b/>
          <w:bCs/>
          <w:u w:val="single"/>
        </w:rPr>
        <w:t>（</w:t>
      </w:r>
      <w:r>
        <w:rPr>
          <w:rFonts w:ascii="宋体" w:hAnsi="宋体" w:hint="eastAsia"/>
          <w:b/>
          <w:bCs/>
          <w:u w:val="single"/>
        </w:rPr>
        <w:t>单位</w:t>
      </w:r>
      <w:r>
        <w:rPr>
          <w:rFonts w:ascii="宋体" w:hAnsi="宋体"/>
          <w:b/>
          <w:bCs/>
          <w:u w:val="single"/>
        </w:rPr>
        <w:t>名称）</w:t>
      </w:r>
      <w:r>
        <w:rPr>
          <w:rFonts w:ascii="宋体" w:hAnsi="宋体"/>
        </w:rPr>
        <w:t>，属于</w:t>
      </w:r>
      <w:r>
        <w:rPr>
          <w:rFonts w:ascii="宋体" w:hAnsi="宋体" w:hint="eastAsia"/>
          <w:b/>
          <w:bCs/>
          <w:u w:val="single"/>
        </w:rPr>
        <w:t>残疾人福利性单位</w:t>
      </w:r>
      <w:r>
        <w:rPr>
          <w:rFonts w:ascii="宋体" w:hAnsi="宋体" w:hint="eastAsia"/>
        </w:rPr>
        <w:t>。</w:t>
      </w:r>
    </w:p>
    <w:p>
      <w:pPr>
        <w:ind w:firstLine="420" w:firstLineChars="200"/>
        <w:rPr>
          <w:rFonts w:ascii="宋体" w:hAnsi="宋体"/>
        </w:rPr>
      </w:pPr>
      <w:r>
        <w:rPr>
          <w:rFonts w:ascii="宋体" w:hAnsi="宋体"/>
        </w:rPr>
        <w:t>……</w:t>
      </w:r>
    </w:p>
    <w:p>
      <w:pPr>
        <w:ind w:firstLine="420" w:firstLineChars="200"/>
        <w:rPr>
          <w:rFonts w:ascii="宋体" w:hAnsi="宋体"/>
        </w:rPr>
      </w:pPr>
      <w:r>
        <w:rPr>
          <w:rFonts w:hint="eastAsia"/>
        </w:rPr>
        <w:t>本</w:t>
      </w:r>
      <w:r>
        <w:t>投标人</w:t>
      </w:r>
      <w:r>
        <w:rPr>
          <w:rFonts w:hint="eastAsia"/>
        </w:rPr>
        <w:t>已</w:t>
      </w:r>
      <w:r>
        <w:t>知悉</w:t>
      </w:r>
      <w:r>
        <w:rPr>
          <w:rFonts w:hint="eastAsia"/>
        </w:rPr>
        <w:t>《财政部民政部中国残疾人联合会关于促进残疾人就业政府采购政策的通知》（财库〔2017〕141号）</w:t>
      </w:r>
      <w:r>
        <w:t>的规定，承诺提供的声明函内容是真实的，如提供声明函内容不实，则依法追究相关法律责任</w:t>
      </w:r>
      <w:r>
        <w:rPr>
          <w:rFonts w:hint="eastAsia"/>
        </w:rPr>
        <w:t>。</w:t>
      </w:r>
    </w:p>
    <w:p>
      <w:pPr>
        <w:ind w:firstLine="420" w:firstLineChars="200"/>
        <w:rPr>
          <w:rFonts w:ascii="宋体" w:hAnsi="宋体"/>
        </w:rPr>
      </w:pPr>
    </w:p>
    <w:p>
      <w:pPr>
        <w:spacing w:after="78" w:afterLines="25"/>
        <w:ind w:firstLine="420" w:firstLineChars="200"/>
        <w:rPr>
          <w:rFonts w:ascii="宋体" w:hAnsi="宋体"/>
          <w:color w:val="FF0000"/>
        </w:rPr>
      </w:pPr>
      <w:r>
        <w:rPr>
          <w:rFonts w:ascii="宋体" w:hAnsi="宋体" w:hint="eastAsia"/>
          <w:b/>
          <w:color w:val="FF0000"/>
        </w:rPr>
        <w:t>说明：</w:t>
      </w:r>
      <w:r>
        <w:rPr>
          <w:rFonts w:ascii="宋体" w:hAnsi="宋体" w:hint="eastAsia"/>
          <w:color w:val="FF0000"/>
        </w:rPr>
        <w:t>根据财库〔2017〕141号文件的规定，享受政府采购支持政策的残疾人福利性单位应当同时满足以下条件：</w:t>
      </w:r>
    </w:p>
    <w:p>
      <w:pPr>
        <w:spacing w:after="78" w:afterLines="25"/>
        <w:ind w:firstLine="420" w:firstLineChars="200"/>
        <w:rPr>
          <w:rFonts w:ascii="宋体" w:hAnsi="宋体"/>
          <w:color w:val="FF0000"/>
        </w:rPr>
      </w:pPr>
      <w:r>
        <w:rPr>
          <w:rFonts w:ascii="宋体" w:hAnsi="宋体" w:hint="eastAsia"/>
          <w:color w:val="FF0000"/>
        </w:rPr>
        <w:t>（一）</w:t>
      </w:r>
      <w:r>
        <w:rPr>
          <w:rFonts w:ascii="宋体" w:hAnsi="宋体" w:hint="eastAsia"/>
          <w:b/>
          <w:color w:val="FF0000"/>
        </w:rPr>
        <w:t>安置的残疾人占本单位在职职工人数的比例不低于25%（含25%），并且安置的残疾人人数不少于10人（含10人）</w:t>
      </w:r>
      <w:r>
        <w:rPr>
          <w:rFonts w:ascii="宋体" w:hAnsi="宋体" w:hint="eastAsia"/>
          <w:color w:val="FF0000"/>
        </w:rPr>
        <w:t>；</w:t>
      </w:r>
    </w:p>
    <w:p>
      <w:pPr>
        <w:spacing w:after="78" w:afterLines="25"/>
        <w:ind w:firstLine="420" w:firstLineChars="200"/>
        <w:rPr>
          <w:rFonts w:ascii="宋体" w:hAnsi="宋体"/>
          <w:color w:val="FF0000"/>
        </w:rPr>
      </w:pPr>
      <w:r>
        <w:rPr>
          <w:rFonts w:ascii="宋体" w:hAnsi="宋体" w:hint="eastAsia"/>
          <w:color w:val="FF0000"/>
        </w:rPr>
        <w:t>（二）依法与安置的每位残疾人签订了一年以上（含一年）的劳动合同或服务协议；</w:t>
      </w:r>
    </w:p>
    <w:p>
      <w:pPr>
        <w:spacing w:after="78" w:afterLines="25"/>
        <w:ind w:firstLine="420" w:firstLineChars="200"/>
        <w:rPr>
          <w:rFonts w:ascii="宋体" w:hAnsi="宋体"/>
          <w:color w:val="FF0000"/>
        </w:rPr>
      </w:pPr>
      <w:r>
        <w:rPr>
          <w:rFonts w:ascii="宋体" w:hAnsi="宋体" w:hint="eastAsia"/>
          <w:color w:val="FF0000"/>
        </w:rPr>
        <w:t>（三）为安置的每位残疾人按月足额缴纳了基本养老保险、基本医疗保险、失业保险、工伤保险和生育保险等社会保险费；</w:t>
      </w:r>
    </w:p>
    <w:p>
      <w:pPr>
        <w:spacing w:after="78" w:afterLines="25"/>
        <w:ind w:firstLine="420" w:firstLineChars="200"/>
        <w:rPr>
          <w:rFonts w:ascii="宋体" w:hAnsi="宋体"/>
          <w:color w:val="FF0000"/>
        </w:rPr>
      </w:pPr>
      <w:r>
        <w:rPr>
          <w:rFonts w:ascii="宋体" w:hAnsi="宋体" w:hint="eastAsia"/>
          <w:color w:val="FF0000"/>
        </w:rPr>
        <w:t>（四）通过银行等金融机构向安置的每位残疾人，按月支付了不低于单位所在区县适用的经省级人民政府批准的月最低工资标准的工资；</w:t>
      </w:r>
    </w:p>
    <w:p>
      <w:pPr>
        <w:ind w:firstLine="420" w:firstLineChars="200"/>
        <w:rPr>
          <w:rFonts w:ascii="宋体" w:hAnsi="宋体"/>
          <w:color w:val="FF0000"/>
        </w:rPr>
      </w:pPr>
      <w:r>
        <w:rPr>
          <w:rFonts w:ascii="宋体" w:hAnsi="宋体" w:hint="eastAsia"/>
          <w:color w:val="FF0000"/>
        </w:rPr>
        <w:t>（五）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rPr>
          <w:rFonts w:ascii="宋体" w:hAnsi="宋体"/>
        </w:rPr>
      </w:pPr>
    </w:p>
    <w:p>
      <w:pPr>
        <w:rPr>
          <w:rFonts w:ascii="宋体" w:hAnsi="宋体"/>
        </w:rPr>
      </w:pPr>
    </w:p>
    <w:p>
      <w:pPr>
        <w:jc w:val="center"/>
        <w:rPr>
          <w:b/>
        </w:rPr>
      </w:pPr>
      <w:r>
        <w:rPr>
          <w:rFonts w:hint="eastAsia"/>
          <w:b/>
        </w:rPr>
        <w:t>3、监狱企业声明函【服务类，监狱企业如需享受优惠政策，还须另行提供省级以上监狱管理局、戒毒管理局（含新疆生产建设兵团）出具的监狱企业证明文件】</w:t>
      </w:r>
    </w:p>
    <w:p>
      <w:pPr>
        <w:ind w:firstLine="420" w:firstLineChars="200"/>
        <w:rPr>
          <w:rFonts w:ascii="宋体" w:hAnsi="宋体"/>
        </w:rPr>
      </w:pPr>
      <w:r>
        <w:rPr>
          <w:rFonts w:ascii="宋体" w:hAnsi="宋体" w:hint="eastAsia"/>
        </w:rPr>
        <w:t>本投标人郑重声明，根据《财政部司法部关于政府采购支持监狱企业发展有关问题的通知》（财库〔</w:t>
      </w:r>
      <w:r>
        <w:rPr>
          <w:rFonts w:ascii="宋体" w:hAnsi="宋体"/>
        </w:rPr>
        <w:t>2014</w:t>
      </w:r>
      <w:r>
        <w:rPr>
          <w:rFonts w:ascii="宋体" w:hAnsi="宋体" w:hint="eastAsia"/>
        </w:rPr>
        <w:t>〕</w:t>
      </w:r>
      <w:r>
        <w:rPr>
          <w:rFonts w:ascii="宋体" w:hAnsi="宋体"/>
        </w:rPr>
        <w:t>68</w:t>
      </w:r>
      <w:r>
        <w:rPr>
          <w:rFonts w:ascii="宋体" w:hAnsi="宋体" w:hint="eastAsia"/>
        </w:rPr>
        <w:t>号）的规定，本投标人</w:t>
      </w:r>
      <w:r>
        <w:rPr>
          <w:rFonts w:ascii="宋体" w:hAnsi="宋体"/>
        </w:rPr>
        <w:t>参加</w:t>
      </w:r>
      <w:r>
        <w:rPr>
          <w:rFonts w:ascii="宋体" w:hAnsi="宋体"/>
          <w:b/>
          <w:bCs/>
          <w:u w:val="single"/>
        </w:rPr>
        <w:t>（</w:t>
      </w:r>
      <w:r>
        <w:rPr>
          <w:rFonts w:ascii="宋体" w:hAnsi="宋体" w:hint="eastAsia"/>
          <w:b/>
          <w:bCs/>
          <w:u w:val="single"/>
        </w:rPr>
        <w:t>采购人</w:t>
      </w:r>
      <w:r>
        <w:rPr>
          <w:rFonts w:ascii="宋体" w:hAnsi="宋体"/>
          <w:b/>
          <w:bCs/>
          <w:u w:val="single"/>
        </w:rPr>
        <w:t>名称）</w:t>
      </w:r>
      <w:r>
        <w:rPr>
          <w:rFonts w:ascii="宋体" w:hAnsi="宋体"/>
        </w:rPr>
        <w:t>的</w:t>
      </w:r>
      <w:r>
        <w:rPr>
          <w:rFonts w:ascii="宋体" w:hAnsi="宋体"/>
          <w:b/>
          <w:bCs/>
          <w:u w:val="single"/>
        </w:rPr>
        <w:t>（项目名称）</w:t>
      </w:r>
      <w:r>
        <w:rPr>
          <w:rFonts w:ascii="宋体" w:hAnsi="宋体"/>
        </w:rPr>
        <w:t>采购活动，</w:t>
      </w:r>
      <w:r>
        <w:rPr>
          <w:rFonts w:ascii="宋体" w:hAnsi="宋体" w:hint="eastAsia"/>
        </w:rPr>
        <w:t>服务</w:t>
      </w:r>
      <w:r>
        <w:rPr>
          <w:rFonts w:ascii="宋体" w:hAnsi="宋体"/>
        </w:rPr>
        <w:t>全部由符合政策要求的</w:t>
      </w:r>
      <w:r>
        <w:rPr>
          <w:rFonts w:ascii="宋体" w:hAnsi="宋体" w:hint="eastAsia"/>
        </w:rPr>
        <w:t>监狱企业承接</w:t>
      </w:r>
      <w:r>
        <w:rPr>
          <w:rFonts w:ascii="宋体" w:hAnsi="宋体"/>
        </w:rPr>
        <w:t>。相关</w:t>
      </w:r>
      <w:r>
        <w:rPr>
          <w:rFonts w:ascii="宋体" w:hAnsi="宋体" w:hint="eastAsia"/>
        </w:rPr>
        <w:t>监狱企业</w:t>
      </w:r>
      <w:r>
        <w:rPr>
          <w:rFonts w:ascii="宋体" w:hAnsi="宋体"/>
        </w:rPr>
        <w:t>的具体情况如下：</w:t>
      </w:r>
    </w:p>
    <w:p>
      <w:pPr>
        <w:ind w:firstLine="420" w:firstLineChars="200"/>
        <w:rPr>
          <w:rFonts w:ascii="宋体" w:hAnsi="宋体"/>
        </w:rPr>
      </w:pPr>
      <w:r>
        <w:rPr>
          <w:rFonts w:ascii="宋体" w:hAnsi="宋体"/>
        </w:rPr>
        <w:t>1.</w:t>
      </w:r>
      <w:r>
        <w:rPr>
          <w:rFonts w:ascii="宋体" w:hAnsi="宋体"/>
          <w:b/>
          <w:bCs/>
          <w:u w:val="single"/>
        </w:rPr>
        <w:t>（标的名称）</w:t>
      </w:r>
      <w:r>
        <w:rPr>
          <w:rFonts w:ascii="宋体" w:hAnsi="宋体" w:hint="eastAsia"/>
        </w:rPr>
        <w:t>，承接单位</w:t>
      </w:r>
      <w:r>
        <w:rPr>
          <w:rFonts w:ascii="宋体" w:hAnsi="宋体"/>
        </w:rPr>
        <w:t>为</w:t>
      </w:r>
      <w:r>
        <w:rPr>
          <w:rFonts w:ascii="宋体" w:hAnsi="宋体"/>
          <w:b/>
          <w:bCs/>
          <w:u w:val="single"/>
        </w:rPr>
        <w:t>（</w:t>
      </w:r>
      <w:r>
        <w:rPr>
          <w:rFonts w:ascii="宋体" w:hAnsi="宋体" w:hint="eastAsia"/>
          <w:b/>
          <w:bCs/>
          <w:u w:val="single"/>
        </w:rPr>
        <w:t>企业</w:t>
      </w:r>
      <w:r>
        <w:rPr>
          <w:rFonts w:ascii="宋体" w:hAnsi="宋体"/>
          <w:b/>
          <w:bCs/>
          <w:u w:val="single"/>
        </w:rPr>
        <w:t>名称）</w:t>
      </w:r>
      <w:r>
        <w:rPr>
          <w:rFonts w:ascii="宋体" w:hAnsi="宋体"/>
        </w:rPr>
        <w:t>，属于</w:t>
      </w:r>
      <w:r>
        <w:rPr>
          <w:rFonts w:ascii="宋体" w:hAnsi="宋体" w:hint="eastAsia"/>
          <w:b/>
          <w:bCs/>
          <w:u w:val="single"/>
        </w:rPr>
        <w:t>监狱企业</w:t>
      </w:r>
      <w:r>
        <w:rPr>
          <w:rFonts w:ascii="宋体" w:hAnsi="宋体"/>
        </w:rPr>
        <w:t>；</w:t>
      </w:r>
    </w:p>
    <w:p>
      <w:pPr>
        <w:ind w:firstLine="420" w:firstLineChars="200"/>
        <w:rPr>
          <w:rFonts w:ascii="宋体" w:hAnsi="宋体"/>
        </w:rPr>
      </w:pPr>
      <w:r>
        <w:rPr>
          <w:rFonts w:ascii="宋体" w:hAnsi="宋体"/>
        </w:rPr>
        <w:t>2.</w:t>
      </w:r>
      <w:r>
        <w:rPr>
          <w:rFonts w:ascii="宋体" w:hAnsi="宋体"/>
          <w:b/>
          <w:bCs/>
          <w:u w:val="single"/>
        </w:rPr>
        <w:t>（标的名称）</w:t>
      </w:r>
      <w:r>
        <w:rPr>
          <w:rFonts w:ascii="宋体" w:hAnsi="宋体" w:hint="eastAsia"/>
        </w:rPr>
        <w:t>，承接单位</w:t>
      </w:r>
      <w:r>
        <w:rPr>
          <w:rFonts w:ascii="宋体" w:hAnsi="宋体"/>
        </w:rPr>
        <w:t>为</w:t>
      </w:r>
      <w:r>
        <w:rPr>
          <w:rFonts w:ascii="宋体" w:hAnsi="宋体"/>
          <w:b/>
          <w:bCs/>
          <w:u w:val="single"/>
        </w:rPr>
        <w:t>（</w:t>
      </w:r>
      <w:r>
        <w:rPr>
          <w:rFonts w:ascii="宋体" w:hAnsi="宋体" w:hint="eastAsia"/>
          <w:b/>
          <w:bCs/>
          <w:u w:val="single"/>
        </w:rPr>
        <w:t>企业</w:t>
      </w:r>
      <w:r>
        <w:rPr>
          <w:rFonts w:ascii="宋体" w:hAnsi="宋体"/>
          <w:b/>
          <w:bCs/>
          <w:u w:val="single"/>
        </w:rPr>
        <w:t>名称）</w:t>
      </w:r>
      <w:r>
        <w:rPr>
          <w:rFonts w:ascii="宋体" w:hAnsi="宋体"/>
        </w:rPr>
        <w:t>，属于</w:t>
      </w:r>
      <w:r>
        <w:rPr>
          <w:rFonts w:ascii="宋体" w:hAnsi="宋体" w:hint="eastAsia"/>
          <w:b/>
          <w:bCs/>
          <w:u w:val="single"/>
        </w:rPr>
        <w:t>监狱企业</w:t>
      </w:r>
      <w:r>
        <w:rPr>
          <w:rFonts w:ascii="宋体" w:hAnsi="宋体" w:hint="eastAsia"/>
        </w:rPr>
        <w:t>。</w:t>
      </w:r>
    </w:p>
    <w:p>
      <w:pPr>
        <w:ind w:firstLine="420" w:firstLineChars="200"/>
        <w:rPr>
          <w:rFonts w:ascii="宋体" w:hAnsi="宋体"/>
        </w:rPr>
      </w:pPr>
      <w:r>
        <w:rPr>
          <w:rFonts w:ascii="宋体" w:hAnsi="宋体"/>
        </w:rPr>
        <w:t>……</w:t>
      </w:r>
    </w:p>
    <w:p>
      <w:pPr>
        <w:ind w:firstLine="420" w:firstLineChars="200"/>
        <w:rPr>
          <w:rFonts w:ascii="宋体" w:hAnsi="宋体"/>
        </w:rPr>
      </w:pPr>
      <w:r>
        <w:rPr>
          <w:rFonts w:ascii="宋体" w:hAnsi="宋体"/>
        </w:rPr>
        <w:t>本</w:t>
      </w:r>
      <w:r>
        <w:rPr>
          <w:rFonts w:ascii="宋体" w:hAnsi="宋体" w:hint="eastAsia"/>
        </w:rPr>
        <w:t>投标人</w:t>
      </w:r>
      <w:r>
        <w:rPr>
          <w:rFonts w:ascii="宋体" w:hAnsi="宋体"/>
        </w:rPr>
        <w:t>对上述声明内容的真实性负责。如有虚假，将依法承担相应责任。</w:t>
      </w:r>
    </w:p>
    <w:p>
      <w:pPr>
        <w:ind w:firstLine="420" w:firstLineChars="200"/>
        <w:rPr>
          <w:rFonts w:ascii="宋体" w:hAnsi="宋体"/>
        </w:rPr>
      </w:pPr>
      <w:r>
        <w:rPr>
          <w:rFonts w:ascii="宋体" w:hAnsi="宋体" w:hint="eastAsia"/>
        </w:rPr>
        <w:t>附：省级以上监狱管理局、戒毒管理局（含新疆生产建设兵团）出具的监狱企业证明文件。</w:t>
      </w:r>
    </w:p>
    <w:p/>
    <w:p>
      <w:pPr>
        <w:tabs>
          <w:tab w:val="left" w:pos="414"/>
          <w:tab w:val="left" w:pos="1974"/>
          <w:tab w:val="left" w:pos="3414"/>
          <w:tab w:val="left" w:pos="4854"/>
          <w:tab w:val="left" w:pos="6174"/>
          <w:tab w:val="left" w:pos="7614"/>
          <w:tab w:val="left" w:pos="9414"/>
        </w:tabs>
        <w:spacing w:line="240" w:lineRule="atLeast"/>
        <w:ind w:firstLine="420" w:firstLineChars="200"/>
        <w:rPr>
          <w:rFonts w:ascii="宋体" w:hAnsi="宋体"/>
          <w:szCs w:val="21"/>
        </w:rPr>
      </w:pPr>
    </w:p>
    <w:p>
      <w:pPr>
        <w:tabs>
          <w:tab w:val="left" w:pos="414"/>
          <w:tab w:val="left" w:pos="1974"/>
          <w:tab w:val="left" w:pos="3414"/>
          <w:tab w:val="left" w:pos="4854"/>
          <w:tab w:val="left" w:pos="6174"/>
          <w:tab w:val="left" w:pos="7614"/>
          <w:tab w:val="left" w:pos="9414"/>
        </w:tabs>
        <w:spacing w:line="240" w:lineRule="atLeast"/>
        <w:ind w:firstLine="420" w:firstLineChars="200"/>
        <w:rPr>
          <w:rFonts w:ascii="宋体" w:hAnsi="宋体"/>
          <w:szCs w:val="21"/>
        </w:rPr>
      </w:pPr>
    </w:p>
    <w:p>
      <w:pPr>
        <w:tabs>
          <w:tab w:val="left" w:pos="414"/>
          <w:tab w:val="left" w:pos="1974"/>
          <w:tab w:val="left" w:pos="3414"/>
          <w:tab w:val="left" w:pos="4854"/>
          <w:tab w:val="left" w:pos="6174"/>
          <w:tab w:val="left" w:pos="7614"/>
          <w:tab w:val="left" w:pos="9414"/>
        </w:tabs>
        <w:spacing w:line="240" w:lineRule="atLeast"/>
        <w:ind w:firstLine="420" w:firstLineChars="200"/>
        <w:rPr>
          <w:rFonts w:ascii="宋体" w:hAnsi="宋体"/>
          <w:szCs w:val="21"/>
        </w:rPr>
      </w:pPr>
    </w:p>
    <w:p>
      <w:pPr>
        <w:tabs>
          <w:tab w:val="left" w:pos="414"/>
          <w:tab w:val="left" w:pos="1974"/>
          <w:tab w:val="left" w:pos="3414"/>
          <w:tab w:val="left" w:pos="4854"/>
          <w:tab w:val="left" w:pos="6174"/>
          <w:tab w:val="left" w:pos="7614"/>
          <w:tab w:val="left" w:pos="9414"/>
        </w:tabs>
        <w:spacing w:line="240" w:lineRule="atLeast"/>
        <w:ind w:firstLine="420" w:firstLineChars="200"/>
        <w:rPr>
          <w:rFonts w:ascii="宋体" w:hAnsi="宋体"/>
          <w:szCs w:val="21"/>
        </w:rPr>
      </w:pPr>
    </w:p>
    <w:p>
      <w:pPr>
        <w:pStyle w:val="Heading3"/>
        <w:jc w:val="center"/>
        <w:rPr>
          <w:rFonts w:ascii="黑体"/>
          <w:b w:val="0"/>
          <w:sz w:val="24"/>
          <w:szCs w:val="24"/>
        </w:rPr>
      </w:pPr>
      <w:r>
        <w:rPr>
          <w:rFonts w:ascii="宋体" w:hAnsi="宋体"/>
          <w:szCs w:val="21"/>
        </w:rPr>
        <w:br w:type="page"/>
      </w:r>
      <w:bookmarkStart w:id="404" w:name="_Toc27594"/>
      <w:bookmarkStart w:id="405" w:name="_Toc4634"/>
      <w:bookmarkStart w:id="406" w:name="_Toc9031"/>
      <w:bookmarkStart w:id="407" w:name="_Toc31838"/>
      <w:bookmarkStart w:id="408" w:name="_Toc256000034"/>
      <w:r>
        <w:rPr>
          <w:rFonts w:hint="eastAsia"/>
        </w:rPr>
        <w:t>四、项目报价表</w:t>
      </w:r>
      <w:bookmarkEnd w:id="408"/>
      <w:bookmarkEnd w:id="404"/>
      <w:bookmarkEnd w:id="405"/>
      <w:bookmarkEnd w:id="406"/>
      <w:bookmarkEnd w:id="407"/>
    </w:p>
    <w:p>
      <w:pPr>
        <w:spacing w:before="156" w:beforeLines="50" w:after="156" w:afterLines="50" w:line="360" w:lineRule="auto"/>
        <w:jc w:val="center"/>
        <w:rPr>
          <w:rFonts w:hint="eastAsia"/>
          <w:b/>
          <w:bCs/>
          <w:sz w:val="24"/>
          <w:szCs w:val="32"/>
        </w:rPr>
      </w:pPr>
      <w:r>
        <w:rPr>
          <w:rFonts w:hint="eastAsia"/>
          <w:b/>
          <w:bCs/>
          <w:sz w:val="24"/>
          <w:szCs w:val="32"/>
        </w:rPr>
        <w:t>（一）项目报价总表</w:t>
      </w:r>
    </w:p>
    <w:tbl>
      <w:tblPr>
        <w:tblStyle w:val="TableNorm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3246"/>
        <w:gridCol w:w="3622"/>
        <w:gridCol w:w="2207"/>
      </w:tblGrid>
      <w:tr>
        <w:tblPrEx>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0" w:type="dxa"/>
            <w:left w:w="108" w:type="dxa"/>
            <w:bottom w:w="0" w:type="dxa"/>
            <w:right w:w="108" w:type="dxa"/>
          </w:tblCellMar>
        </w:tblPrEx>
        <w:trPr>
          <w:cantSplit/>
          <w:trHeight w:val="720"/>
          <w:jc w:val="center"/>
        </w:trPr>
        <w:tc>
          <w:tcPr>
            <w:tcW w:w="3246" w:type="dxa"/>
            <w:tcBorders>
              <w:top w:val="double" w:sz="4" w:space="0" w:color="auto"/>
              <w:bottom w:val="single" w:sz="4" w:space="0" w:color="auto"/>
            </w:tcBorders>
            <w:noWrap w:val="0"/>
            <w:vAlign w:val="center"/>
          </w:tcPr>
          <w:p>
            <w:pPr>
              <w:keepNext w:val="0"/>
              <w:keepLines w:val="0"/>
              <w:widowControl/>
              <w:suppressLineNumbers w:val="0"/>
              <w:adjustRightInd w:val="0"/>
              <w:snapToGrid w:val="0"/>
              <w:spacing w:before="0" w:beforeAutospacing="0" w:after="0" w:afterAutospacing="0" w:line="300" w:lineRule="auto"/>
              <w:ind w:left="0" w:right="0"/>
              <w:jc w:val="center"/>
              <w:rPr>
                <w:rFonts w:ascii="宋体" w:eastAsia="宋体" w:hAnsi="宋体" w:cs="Times New Roman"/>
                <w:snapToGrid w:val="0"/>
                <w:kern w:val="0"/>
                <w:sz w:val="24"/>
                <w:szCs w:val="21"/>
              </w:rPr>
            </w:pPr>
            <w:r>
              <w:rPr>
                <w:rFonts w:ascii="宋体" w:eastAsia="宋体" w:hAnsi="宋体" w:cs="Times New Roman" w:hint="eastAsia"/>
                <w:snapToGrid w:val="0"/>
                <w:kern w:val="0"/>
                <w:sz w:val="24"/>
                <w:szCs w:val="21"/>
              </w:rPr>
              <w:t>项目名称</w:t>
            </w:r>
          </w:p>
        </w:tc>
        <w:tc>
          <w:tcPr>
            <w:tcW w:w="3622" w:type="dxa"/>
            <w:tcBorders>
              <w:top w:val="double" w:sz="4" w:space="0" w:color="auto"/>
              <w:bottom w:val="single" w:sz="4" w:space="0" w:color="auto"/>
            </w:tcBorders>
            <w:noWrap w:val="0"/>
            <w:vAlign w:val="center"/>
          </w:tcPr>
          <w:p>
            <w:pPr>
              <w:keepNext w:val="0"/>
              <w:keepLines w:val="0"/>
              <w:widowControl/>
              <w:suppressLineNumbers w:val="0"/>
              <w:adjustRightInd w:val="0"/>
              <w:snapToGrid w:val="0"/>
              <w:spacing w:before="0" w:beforeAutospacing="0" w:after="0" w:afterAutospacing="0" w:line="300" w:lineRule="auto"/>
              <w:ind w:left="0" w:right="0"/>
              <w:jc w:val="center"/>
              <w:rPr>
                <w:rFonts w:ascii="宋体" w:eastAsia="宋体" w:hAnsi="宋体" w:cs="Times New Roman"/>
                <w:snapToGrid w:val="0"/>
                <w:kern w:val="0"/>
                <w:sz w:val="24"/>
                <w:szCs w:val="21"/>
              </w:rPr>
            </w:pPr>
            <w:r>
              <w:rPr>
                <w:rFonts w:ascii="宋体" w:eastAsia="宋体" w:hAnsi="宋体" w:cs="Times New Roman" w:hint="eastAsia"/>
                <w:snapToGrid w:val="0"/>
                <w:kern w:val="0"/>
                <w:sz w:val="24"/>
                <w:szCs w:val="21"/>
              </w:rPr>
              <w:t>投标报价</w:t>
            </w:r>
          </w:p>
        </w:tc>
        <w:tc>
          <w:tcPr>
            <w:tcW w:w="2207" w:type="dxa"/>
            <w:tcBorders>
              <w:top w:val="double" w:sz="4" w:space="0" w:color="auto"/>
              <w:bottom w:val="single" w:sz="4" w:space="0" w:color="auto"/>
            </w:tcBorders>
            <w:noWrap w:val="0"/>
            <w:vAlign w:val="center"/>
          </w:tcPr>
          <w:p>
            <w:pPr>
              <w:keepNext w:val="0"/>
              <w:keepLines w:val="0"/>
              <w:widowControl/>
              <w:suppressLineNumbers w:val="0"/>
              <w:adjustRightInd w:val="0"/>
              <w:snapToGrid w:val="0"/>
              <w:spacing w:before="0" w:beforeAutospacing="0" w:after="0" w:afterAutospacing="0" w:line="300" w:lineRule="auto"/>
              <w:ind w:left="0" w:right="0"/>
              <w:jc w:val="center"/>
              <w:rPr>
                <w:rFonts w:ascii="宋体" w:eastAsia="宋体" w:hAnsi="宋体" w:cs="Times New Roman"/>
                <w:snapToGrid w:val="0"/>
                <w:kern w:val="0"/>
                <w:sz w:val="24"/>
                <w:szCs w:val="21"/>
              </w:rPr>
            </w:pPr>
            <w:r>
              <w:rPr>
                <w:rFonts w:ascii="宋体" w:eastAsia="宋体" w:hAnsi="宋体" w:cs="Times New Roman" w:hint="eastAsia"/>
                <w:snapToGrid w:val="0"/>
                <w:kern w:val="0"/>
                <w:sz w:val="24"/>
                <w:szCs w:val="21"/>
              </w:rPr>
              <w:t>备注</w:t>
            </w:r>
          </w:p>
        </w:tc>
      </w:tr>
      <w:tr>
        <w:tblPrEx>
          <w:tblW w:w="0" w:type="auto"/>
          <w:jc w:val="center"/>
          <w:tblLayout w:type="fixed"/>
          <w:tblCellMar>
            <w:top w:w="0" w:type="dxa"/>
            <w:left w:w="108" w:type="dxa"/>
            <w:bottom w:w="0" w:type="dxa"/>
            <w:right w:w="108" w:type="dxa"/>
          </w:tblCellMar>
        </w:tblPrEx>
        <w:trPr>
          <w:cantSplit/>
          <w:trHeight w:val="738"/>
          <w:jc w:val="center"/>
        </w:trPr>
        <w:tc>
          <w:tcPr>
            <w:tcW w:w="3246" w:type="dxa"/>
            <w:tcBorders>
              <w:top w:val="single" w:sz="4" w:space="0" w:color="auto"/>
            </w:tcBorders>
            <w:noWrap w:val="0"/>
            <w:vAlign w:val="center"/>
          </w:tcPr>
          <w:p>
            <w:pPr>
              <w:keepNext w:val="0"/>
              <w:keepLines w:val="0"/>
              <w:widowControl/>
              <w:suppressLineNumbers w:val="0"/>
              <w:adjustRightInd w:val="0"/>
              <w:snapToGrid w:val="0"/>
              <w:spacing w:before="0" w:beforeAutospacing="0" w:after="0" w:afterAutospacing="0" w:line="300" w:lineRule="auto"/>
              <w:ind w:left="0" w:right="0"/>
              <w:jc w:val="center"/>
              <w:rPr>
                <w:rFonts w:ascii="宋体" w:eastAsia="宋体" w:hAnsi="宋体" w:cs="Times New Roman"/>
                <w:snapToGrid w:val="0"/>
                <w:kern w:val="0"/>
                <w:sz w:val="24"/>
                <w:szCs w:val="21"/>
                <w:u w:val="single"/>
              </w:rPr>
            </w:pPr>
          </w:p>
        </w:tc>
        <w:tc>
          <w:tcPr>
            <w:tcW w:w="3622" w:type="dxa"/>
            <w:tcBorders>
              <w:top w:val="single" w:sz="4" w:space="0" w:color="auto"/>
            </w:tcBorders>
            <w:noWrap w:val="0"/>
            <w:vAlign w:val="center"/>
          </w:tcPr>
          <w:p>
            <w:pPr>
              <w:keepNext w:val="0"/>
              <w:keepLines w:val="0"/>
              <w:widowControl/>
              <w:suppressLineNumbers w:val="0"/>
              <w:adjustRightInd w:val="0"/>
              <w:snapToGrid w:val="0"/>
              <w:spacing w:before="0" w:beforeAutospacing="0" w:after="0" w:afterAutospacing="0" w:line="300" w:lineRule="auto"/>
              <w:ind w:left="0" w:right="0"/>
              <w:jc w:val="left"/>
              <w:rPr>
                <w:rFonts w:ascii="Calibri" w:eastAsia="宋体" w:hAnsi="Calibri" w:cs="Times New Roman"/>
              </w:rPr>
            </w:pPr>
          </w:p>
        </w:tc>
        <w:tc>
          <w:tcPr>
            <w:tcW w:w="2207" w:type="dxa"/>
            <w:tcBorders>
              <w:top w:val="single" w:sz="4" w:space="0" w:color="auto"/>
            </w:tcBorders>
            <w:noWrap w:val="0"/>
            <w:vAlign w:val="center"/>
          </w:tcPr>
          <w:p>
            <w:pPr>
              <w:keepNext w:val="0"/>
              <w:keepLines w:val="0"/>
              <w:widowControl/>
              <w:suppressLineNumbers w:val="0"/>
              <w:adjustRightInd w:val="0"/>
              <w:snapToGrid w:val="0"/>
              <w:spacing w:before="0" w:beforeAutospacing="0" w:after="0" w:afterAutospacing="0" w:line="300" w:lineRule="auto"/>
              <w:ind w:left="0" w:right="0"/>
              <w:jc w:val="center"/>
              <w:rPr>
                <w:rFonts w:ascii="宋体" w:eastAsia="宋体" w:hAnsi="宋体" w:cs="Times New Roman"/>
                <w:snapToGrid w:val="0"/>
                <w:kern w:val="0"/>
                <w:sz w:val="24"/>
                <w:szCs w:val="21"/>
              </w:rPr>
            </w:pPr>
          </w:p>
        </w:tc>
      </w:tr>
    </w:tbl>
    <w:p>
      <w:pPr>
        <w:ind w:left="632" w:hanging="630" w:hangingChars="300"/>
        <w:rPr>
          <w:rFonts w:hint="eastAsia"/>
          <w:b/>
          <w:color w:val="FF0000"/>
          <w:szCs w:val="21"/>
        </w:rPr>
      </w:pPr>
    </w:p>
    <w:p>
      <w:pPr>
        <w:numPr>
          <w:ilvl w:val="0"/>
          <w:numId w:val="4"/>
        </w:numPr>
        <w:spacing w:before="156" w:beforeLines="50" w:after="156" w:afterLines="50" w:line="360" w:lineRule="auto"/>
        <w:jc w:val="center"/>
        <w:rPr>
          <w:rFonts w:hint="eastAsia"/>
          <w:b/>
          <w:bCs/>
          <w:sz w:val="24"/>
          <w:szCs w:val="32"/>
        </w:rPr>
      </w:pPr>
      <w:r>
        <w:rPr>
          <w:rFonts w:hint="eastAsia"/>
          <w:b/>
          <w:bCs/>
          <w:sz w:val="24"/>
          <w:szCs w:val="32"/>
        </w:rPr>
        <w:t>分项报价表</w:t>
      </w:r>
      <w:r>
        <w:rPr>
          <w:rFonts w:hint="eastAsia"/>
          <w:b/>
          <w:bCs/>
          <w:sz w:val="24"/>
          <w:szCs w:val="32"/>
          <w:lang w:eastAsia="zh-CN"/>
        </w:rPr>
        <w:t>（</w:t>
      </w:r>
      <w:r>
        <w:rPr>
          <w:rFonts w:hint="eastAsia"/>
          <w:b/>
          <w:bCs/>
          <w:sz w:val="24"/>
          <w:szCs w:val="32"/>
          <w:lang w:val="en-US" w:eastAsia="zh-CN"/>
        </w:rPr>
        <w:t>格式自定</w:t>
      </w:r>
      <w:r>
        <w:rPr>
          <w:rFonts w:hint="eastAsia"/>
          <w:b/>
          <w:bCs/>
          <w:sz w:val="24"/>
          <w:szCs w:val="32"/>
          <w:lang w:eastAsia="zh-CN"/>
        </w:rPr>
        <w:t>）</w:t>
      </w:r>
    </w:p>
    <w:p>
      <w:pPr>
        <w:keepNext/>
        <w:keepLines/>
        <w:spacing w:line="416" w:lineRule="auto"/>
        <w:rPr>
          <w:b/>
          <w:bCs/>
          <w:color w:val="FF0000"/>
        </w:rPr>
      </w:pPr>
    </w:p>
    <w:p>
      <w:pPr>
        <w:pStyle w:val="Heading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ascii="Arial" w:hAnsi="Arial" w:cs="Times New Roman" w:hint="eastAsia"/>
          <w:b w:val="0"/>
          <w:bCs w:val="0"/>
          <w:sz w:val="28"/>
          <w:szCs w:val="28"/>
        </w:rPr>
      </w:pPr>
      <w:r>
        <w:rPr>
          <w:rFonts w:ascii="Arial" w:eastAsia="黑体" w:hAnsi="Arial" w:hint="eastAsia"/>
          <w:sz w:val="32"/>
          <w:szCs w:val="32"/>
        </w:rPr>
        <w:br w:type="page"/>
      </w:r>
      <w:bookmarkStart w:id="409" w:name="_Toc27969"/>
      <w:bookmarkStart w:id="410" w:name="_Toc256000035"/>
      <w:r>
        <w:rPr>
          <w:rFonts w:hint="eastAsia"/>
          <w:b w:val="0"/>
          <w:bCs w:val="0"/>
          <w:sz w:val="28"/>
          <w:szCs w:val="28"/>
          <w:lang w:val="en-US" w:eastAsia="zh-CN"/>
        </w:rPr>
        <w:t>五、</w:t>
      </w:r>
      <w:r>
        <w:rPr>
          <w:rFonts w:ascii="Arial" w:hAnsi="Arial" w:cs="Times New Roman" w:hint="eastAsia"/>
          <w:b w:val="0"/>
          <w:bCs w:val="0"/>
          <w:sz w:val="28"/>
          <w:szCs w:val="28"/>
        </w:rPr>
        <w:t>应急医疗服务点（格式自定）</w:t>
      </w:r>
      <w:bookmarkEnd w:id="410"/>
      <w:bookmarkEnd w:id="409"/>
    </w:p>
    <w:p>
      <w:pPr>
        <w:pStyle w:val="Heading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ascii="Arial" w:hAnsi="Arial" w:cs="Times New Roman" w:hint="eastAsia"/>
          <w:b w:val="0"/>
          <w:bCs w:val="0"/>
          <w:sz w:val="28"/>
          <w:szCs w:val="28"/>
        </w:rPr>
      </w:pPr>
      <w:bookmarkStart w:id="411" w:name="_Toc12647"/>
      <w:bookmarkStart w:id="412" w:name="_Toc256000036"/>
      <w:r>
        <w:rPr>
          <w:rFonts w:ascii="Arial" w:hAnsi="Arial" w:cs="Times New Roman" w:hint="eastAsia"/>
          <w:b w:val="0"/>
          <w:bCs w:val="0"/>
          <w:sz w:val="28"/>
          <w:szCs w:val="28"/>
          <w:lang w:val="en-US" w:eastAsia="zh-CN"/>
        </w:rPr>
        <w:t>六、</w:t>
      </w:r>
      <w:r>
        <w:rPr>
          <w:rFonts w:ascii="Arial" w:hAnsi="Arial" w:cs="Times New Roman" w:hint="eastAsia"/>
          <w:b w:val="0"/>
          <w:bCs w:val="0"/>
          <w:sz w:val="28"/>
          <w:szCs w:val="28"/>
        </w:rPr>
        <w:t>拟安排的项目负责人情况（仅限一人）（格式自定）</w:t>
      </w:r>
      <w:bookmarkEnd w:id="412"/>
      <w:bookmarkEnd w:id="411"/>
    </w:p>
    <w:p>
      <w:pPr>
        <w:pStyle w:val="Heading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ascii="Arial" w:hAnsi="Arial" w:cs="Times New Roman" w:hint="eastAsia"/>
          <w:b w:val="0"/>
          <w:bCs w:val="0"/>
          <w:sz w:val="28"/>
          <w:szCs w:val="28"/>
        </w:rPr>
      </w:pPr>
      <w:bookmarkStart w:id="413" w:name="_Toc31513"/>
      <w:bookmarkStart w:id="414" w:name="_Toc256000037"/>
      <w:r>
        <w:rPr>
          <w:rFonts w:ascii="Arial" w:hAnsi="Arial" w:cs="Times New Roman" w:hint="eastAsia"/>
          <w:b w:val="0"/>
          <w:bCs w:val="0"/>
          <w:sz w:val="28"/>
          <w:szCs w:val="28"/>
          <w:lang w:val="en-US" w:eastAsia="zh-CN"/>
        </w:rPr>
        <w:t>七、</w:t>
      </w:r>
      <w:r>
        <w:rPr>
          <w:rFonts w:ascii="Arial" w:hAnsi="Arial" w:cs="Times New Roman" w:hint="eastAsia"/>
          <w:b w:val="0"/>
          <w:bCs w:val="0"/>
          <w:sz w:val="28"/>
          <w:szCs w:val="28"/>
        </w:rPr>
        <w:t>拟安排的项目主要团队成员（主要技术人员）情况（项目负责人除外）（格式自定）</w:t>
      </w:r>
      <w:bookmarkEnd w:id="414"/>
      <w:bookmarkEnd w:id="413"/>
    </w:p>
    <w:p>
      <w:pPr>
        <w:pStyle w:val="Heading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b w:val="0"/>
          <w:bCs w:val="0"/>
          <w:sz w:val="28"/>
          <w:szCs w:val="28"/>
        </w:rPr>
      </w:pPr>
      <w:bookmarkStart w:id="415" w:name="_Toc22211"/>
      <w:bookmarkStart w:id="416" w:name="_Toc256000038"/>
      <w:r>
        <w:rPr>
          <w:rFonts w:ascii="Arial" w:hAnsi="Arial" w:cs="Times New Roman" w:hint="eastAsia"/>
          <w:b w:val="0"/>
          <w:bCs w:val="0"/>
          <w:sz w:val="28"/>
          <w:szCs w:val="28"/>
          <w:lang w:val="en-US" w:eastAsia="zh-CN"/>
        </w:rPr>
        <w:t>八、</w:t>
      </w:r>
      <w:r>
        <w:rPr>
          <w:rFonts w:ascii="Arial" w:hAnsi="Arial" w:cs="Times New Roman" w:hint="eastAsia"/>
          <w:b w:val="0"/>
          <w:bCs w:val="0"/>
          <w:sz w:val="28"/>
          <w:szCs w:val="28"/>
        </w:rPr>
        <w:t>项目拟使用的车辆、场地、工具、机器等情况（格式自定）</w:t>
      </w:r>
      <w:bookmarkEnd w:id="416"/>
      <w:bookmarkEnd w:id="415"/>
    </w:p>
    <w:p>
      <w:pPr>
        <w:pStyle w:val="Heading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rPr>
          <w:rFonts w:hint="eastAsia"/>
          <w:b w:val="0"/>
          <w:bCs w:val="0"/>
          <w:sz w:val="28"/>
          <w:szCs w:val="28"/>
        </w:rPr>
      </w:pPr>
      <w:bookmarkStart w:id="417" w:name="_Toc26610"/>
      <w:bookmarkStart w:id="418" w:name="_Toc256000039"/>
      <w:r>
        <w:rPr>
          <w:rFonts w:ascii="Arial" w:hAnsi="Arial" w:cs="Times New Roman" w:hint="eastAsia"/>
          <w:b w:val="0"/>
          <w:bCs w:val="0"/>
          <w:sz w:val="28"/>
          <w:szCs w:val="28"/>
          <w:lang w:val="en-US" w:eastAsia="zh-CN"/>
        </w:rPr>
        <w:t>九、</w:t>
      </w:r>
      <w:r>
        <w:rPr>
          <w:rFonts w:ascii="Arial" w:hAnsi="Arial" w:cs="Times New Roman" w:hint="eastAsia"/>
          <w:b w:val="0"/>
          <w:bCs w:val="0"/>
          <w:sz w:val="28"/>
          <w:szCs w:val="28"/>
        </w:rPr>
        <w:t>投标人认为需要加以说明的其他内容（公开部分）（格式自定）</w:t>
      </w:r>
      <w:bookmarkEnd w:id="418"/>
      <w:bookmarkEnd w:id="417"/>
    </w:p>
    <w:p>
      <w:pPr>
        <w:pStyle w:val="Heading2"/>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both"/>
        <w:textAlignment w:val="auto"/>
        <w:outlineLvl w:val="1"/>
        <w:rPr>
          <w:rFonts w:hint="eastAsia"/>
        </w:rPr>
      </w:pPr>
      <w:r>
        <w:br w:type="page"/>
      </w:r>
      <w:bookmarkStart w:id="419" w:name="_Toc7311"/>
      <w:bookmarkStart w:id="420" w:name="_Toc256000040"/>
      <w:r>
        <w:rPr>
          <w:rFonts w:hint="eastAsia"/>
        </w:rPr>
        <w:t>信息不公开部分</w:t>
      </w:r>
      <w:bookmarkEnd w:id="420"/>
      <w:bookmarkEnd w:id="419"/>
    </w:p>
    <w:p>
      <w:pPr>
        <w:pStyle w:val="Heading3"/>
        <w:spacing w:line="400" w:lineRule="exact"/>
        <w:jc w:val="center"/>
        <w:rPr>
          <w:rFonts w:ascii="宋体" w:eastAsia="宋体" w:hAnsi="宋体" w:cs="宋体" w:hint="eastAsia"/>
          <w:kern w:val="0"/>
        </w:rPr>
      </w:pPr>
      <w:bookmarkStart w:id="421" w:name="_Toc22364"/>
      <w:bookmarkStart w:id="422" w:name="_Toc9455"/>
      <w:bookmarkStart w:id="423" w:name="_Toc11243209"/>
      <w:bookmarkStart w:id="424" w:name="_Toc528574665"/>
      <w:bookmarkStart w:id="425" w:name="_Toc26733"/>
      <w:bookmarkStart w:id="426" w:name="_Toc17094"/>
      <w:bookmarkStart w:id="427" w:name="_Toc12535"/>
      <w:bookmarkStart w:id="428" w:name="_Toc2095"/>
      <w:bookmarkStart w:id="429" w:name="_Toc23005"/>
      <w:bookmarkStart w:id="430" w:name="_Toc256000041"/>
      <w:r>
        <w:rPr>
          <w:rFonts w:ascii="宋体" w:eastAsia="宋体" w:hAnsi="宋体" w:cs="宋体" w:hint="eastAsia"/>
          <w:kern w:val="0"/>
        </w:rPr>
        <w:t>一、法定代表人（单位负责人）证明书</w:t>
      </w:r>
      <w:bookmarkEnd w:id="430"/>
      <w:bookmarkEnd w:id="421"/>
      <w:bookmarkEnd w:id="422"/>
      <w:bookmarkEnd w:id="423"/>
      <w:bookmarkEnd w:id="424"/>
      <w:bookmarkEnd w:id="425"/>
      <w:bookmarkEnd w:id="426"/>
      <w:bookmarkEnd w:id="427"/>
      <w:bookmarkEnd w:id="428"/>
      <w:bookmarkEnd w:id="429"/>
    </w:p>
    <w:p>
      <w:pPr>
        <w:spacing w:line="400" w:lineRule="exact"/>
      </w:pPr>
    </w:p>
    <w:p>
      <w:pPr>
        <w:spacing w:line="400" w:lineRule="exact"/>
        <w:rPr>
          <w:szCs w:val="28"/>
        </w:rPr>
      </w:pPr>
      <w:r>
        <w:rPr>
          <w:rFonts w:hint="eastAsia"/>
        </w:rPr>
        <w:t>致：深圳华仑诚工程管理有限公司</w:t>
      </w:r>
    </w:p>
    <w:p>
      <w:pPr>
        <w:spacing w:line="400" w:lineRule="exact"/>
        <w:jc w:val="center"/>
      </w:pPr>
    </w:p>
    <w:p>
      <w:pPr>
        <w:spacing w:line="400" w:lineRule="exact"/>
        <w:ind w:firstLine="420" w:firstLineChars="200"/>
        <w:jc w:val="left"/>
        <w:rPr>
          <w:rFonts w:hint="eastAsia"/>
        </w:rPr>
      </w:pPr>
      <w:r>
        <w:rPr>
          <w:rFonts w:hint="eastAsia"/>
          <w:u w:val="single"/>
        </w:rPr>
        <w:t>（姓名）</w:t>
      </w:r>
      <w:r>
        <w:rPr>
          <w:rFonts w:hint="eastAsia"/>
        </w:rPr>
        <w:t>现任我单位</w:t>
      </w:r>
      <w:r>
        <w:rPr>
          <w:rFonts w:hint="eastAsia"/>
          <w:u w:val="single"/>
        </w:rPr>
        <w:t>（职务名称）</w:t>
      </w:r>
      <w:r>
        <w:rPr>
          <w:rFonts w:hint="eastAsia"/>
        </w:rPr>
        <w:t>职务，为法定代表人（单位负责人），特此证明。</w:t>
      </w:r>
    </w:p>
    <w:p>
      <w:pPr>
        <w:spacing w:line="400" w:lineRule="exact"/>
        <w:jc w:val="left"/>
        <w:rPr>
          <w:rFonts w:hint="eastAsia"/>
        </w:rPr>
      </w:pPr>
    </w:p>
    <w:p>
      <w:pPr>
        <w:spacing w:line="400" w:lineRule="exact"/>
        <w:ind w:firstLine="420" w:firstLineChars="200"/>
        <w:jc w:val="left"/>
      </w:pPr>
      <w:r>
        <w:rPr>
          <w:rFonts w:hint="eastAsia"/>
        </w:rPr>
        <w:t>附：法定代表人（单位负责人）身份证扫描件。</w:t>
      </w:r>
    </w:p>
    <w:p>
      <w:pPr>
        <w:spacing w:line="400" w:lineRule="exact"/>
        <w:jc w:val="left"/>
      </w:pPr>
    </w:p>
    <w:p>
      <w:pPr>
        <w:spacing w:line="400" w:lineRule="exact"/>
        <w:jc w:val="right"/>
      </w:pPr>
    </w:p>
    <w:p>
      <w:pPr>
        <w:spacing w:line="400" w:lineRule="exact"/>
        <w:ind w:firstLine="420" w:firstLineChars="200"/>
        <w:rPr>
          <w:rFonts w:hint="eastAsia"/>
        </w:rPr>
      </w:pPr>
      <w:r>
        <w:rPr>
          <w:rFonts w:hint="eastAsia"/>
        </w:rPr>
        <w:t>投标人名称：</w:t>
      </w:r>
    </w:p>
    <w:p>
      <w:pPr>
        <w:spacing w:line="400" w:lineRule="exact"/>
        <w:ind w:firstLine="420" w:firstLineChars="200"/>
      </w:pPr>
    </w:p>
    <w:p>
      <w:pPr>
        <w:spacing w:line="400" w:lineRule="exact"/>
        <w:ind w:firstLine="420" w:firstLineChars="200"/>
        <w:rPr>
          <w:rFonts w:hint="eastAsia"/>
        </w:rPr>
      </w:pPr>
      <w:r>
        <w:rPr>
          <w:rFonts w:hint="eastAsia"/>
        </w:rPr>
        <w:t>日期：    年   月   日</w:t>
      </w:r>
    </w:p>
    <w:p>
      <w:pPr>
        <w:pStyle w:val="Title"/>
        <w:rPr>
          <w:rFonts w:hint="eastAsia"/>
        </w:rPr>
      </w:pPr>
    </w:p>
    <w:p>
      <w:pPr>
        <w:spacing w:line="360" w:lineRule="auto"/>
        <w:ind w:firstLine="420" w:firstLineChars="200"/>
        <w:rPr>
          <w:rFonts w:hint="eastAsia"/>
          <w:b/>
          <w:color w:val="FF0000"/>
          <w:szCs w:val="21"/>
        </w:rPr>
      </w:pPr>
      <w:r>
        <w:rPr>
          <w:rFonts w:hint="eastAsia"/>
          <w:b/>
          <w:color w:val="FF0000"/>
          <w:szCs w:val="21"/>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pPr>
        <w:pStyle w:val="Title"/>
        <w:jc w:val="both"/>
      </w:pPr>
    </w:p>
    <w:p>
      <w:pPr>
        <w:pStyle w:val="Heading3"/>
        <w:spacing w:line="400" w:lineRule="exact"/>
        <w:jc w:val="center"/>
      </w:pPr>
      <w:r>
        <w:rPr>
          <w:rFonts w:ascii="黑体" w:hAnsi="黑体"/>
        </w:rPr>
        <w:br w:type="page"/>
      </w:r>
      <w:bookmarkStart w:id="431" w:name="_Toc11752"/>
      <w:bookmarkStart w:id="432" w:name="_Toc24126"/>
      <w:bookmarkStart w:id="433" w:name="_Toc11154"/>
      <w:bookmarkStart w:id="434" w:name="_Toc11243210"/>
      <w:bookmarkStart w:id="435" w:name="_Toc27831"/>
      <w:bookmarkStart w:id="436" w:name="_Toc10027"/>
      <w:bookmarkStart w:id="437" w:name="_Toc528574666"/>
      <w:bookmarkStart w:id="438" w:name="_Toc26232"/>
      <w:bookmarkStart w:id="439" w:name="_Toc8980"/>
      <w:bookmarkStart w:id="440" w:name="_Toc256000044"/>
      <w:r>
        <w:rPr>
          <w:rFonts w:ascii="宋体" w:eastAsia="宋体" w:hAnsi="宋体" w:cs="宋体" w:hint="eastAsia"/>
          <w:kern w:val="0"/>
        </w:rPr>
        <w:t>二、授权委托书</w:t>
      </w:r>
      <w:bookmarkEnd w:id="440"/>
      <w:bookmarkEnd w:id="431"/>
      <w:bookmarkEnd w:id="432"/>
      <w:bookmarkEnd w:id="433"/>
      <w:bookmarkEnd w:id="434"/>
      <w:bookmarkEnd w:id="435"/>
      <w:bookmarkEnd w:id="436"/>
      <w:bookmarkEnd w:id="437"/>
      <w:bookmarkEnd w:id="438"/>
      <w:bookmarkEnd w:id="439"/>
    </w:p>
    <w:p>
      <w:pPr>
        <w:spacing w:line="400" w:lineRule="exact"/>
        <w:rPr>
          <w:szCs w:val="28"/>
        </w:rPr>
      </w:pPr>
      <w:r>
        <w:rPr>
          <w:rFonts w:hint="eastAsia"/>
        </w:rPr>
        <w:t>致：深圳华仑诚工程管理有限公司</w:t>
      </w:r>
    </w:p>
    <w:p>
      <w:pPr>
        <w:spacing w:line="400" w:lineRule="exact"/>
        <w:ind w:firstLine="420" w:firstLineChars="200"/>
      </w:pPr>
    </w:p>
    <w:p>
      <w:pPr>
        <w:spacing w:line="400" w:lineRule="exact"/>
        <w:ind w:firstLine="420" w:firstLineChars="200"/>
      </w:pPr>
      <w:r>
        <w:rPr>
          <w:rFonts w:hint="eastAsia"/>
        </w:rPr>
        <w:t>本人</w:t>
      </w:r>
      <w:r>
        <w:rPr>
          <w:rFonts w:hint="eastAsia"/>
          <w:u w:val="single"/>
        </w:rPr>
        <w:t>（姓名）</w:t>
      </w:r>
      <w:r>
        <w:rPr>
          <w:rFonts w:hint="eastAsia"/>
        </w:rPr>
        <w:t>系</w:t>
      </w:r>
      <w:r>
        <w:rPr>
          <w:rFonts w:hint="eastAsia"/>
          <w:u w:val="single"/>
        </w:rPr>
        <w:t>（投标人名称）</w:t>
      </w:r>
      <w:r>
        <w:rPr>
          <w:rFonts w:hint="eastAsia"/>
        </w:rPr>
        <w:t>的法定代表人（单位负责人），现委托</w:t>
      </w:r>
      <w:r>
        <w:rPr>
          <w:rFonts w:hint="eastAsia"/>
          <w:u w:val="single"/>
        </w:rPr>
        <w:t>（姓名）</w:t>
      </w:r>
      <w:r>
        <w:rPr>
          <w:rFonts w:hint="eastAsia"/>
        </w:rPr>
        <w:t>为我方代理人。代理人根据授权，以我方名义签署、澄清确认、递交、撤回、修改投标文件、签订合同和处理有关事宜，负责提供与签署确认一切文书资料，以及向贵方递交的任何补充承诺，以本公司名义处理一切与之有关的事务。其法律后果由我方承担。</w:t>
      </w:r>
    </w:p>
    <w:p>
      <w:pPr>
        <w:spacing w:line="400" w:lineRule="exact"/>
        <w:ind w:firstLine="420" w:firstLineChars="200"/>
      </w:pPr>
      <w:r>
        <w:rPr>
          <w:rFonts w:hint="eastAsia"/>
        </w:rPr>
        <w:t>委托期限：与投标有效期相同。</w:t>
      </w:r>
    </w:p>
    <w:p>
      <w:pPr>
        <w:spacing w:line="400" w:lineRule="exact"/>
        <w:ind w:firstLine="420" w:firstLineChars="200"/>
      </w:pPr>
      <w:r>
        <w:rPr>
          <w:rFonts w:hint="eastAsia"/>
        </w:rPr>
        <w:t>代理人无转委托权。</w:t>
      </w:r>
    </w:p>
    <w:p>
      <w:pPr>
        <w:spacing w:line="400" w:lineRule="exact"/>
        <w:ind w:firstLine="420" w:firstLineChars="200"/>
      </w:pPr>
    </w:p>
    <w:p>
      <w:pPr>
        <w:spacing w:line="400" w:lineRule="exact"/>
        <w:ind w:firstLine="420" w:firstLineChars="200"/>
      </w:pPr>
      <w:r>
        <w:rPr>
          <w:rFonts w:hint="eastAsia"/>
        </w:rPr>
        <w:t>附：委托代理人身份证扫描件</w:t>
      </w:r>
    </w:p>
    <w:p>
      <w:pPr>
        <w:spacing w:line="400" w:lineRule="exact"/>
        <w:ind w:firstLine="420" w:firstLineChars="200"/>
      </w:pPr>
    </w:p>
    <w:p>
      <w:pPr>
        <w:spacing w:line="400" w:lineRule="exact"/>
        <w:ind w:firstLine="420" w:firstLineChars="200"/>
        <w:rPr>
          <w:rFonts w:hint="eastAsia"/>
        </w:rPr>
      </w:pPr>
      <w:r>
        <w:rPr>
          <w:rFonts w:hint="eastAsia"/>
        </w:rPr>
        <w:t>投标人名称：</w:t>
      </w:r>
    </w:p>
    <w:p>
      <w:pPr>
        <w:spacing w:line="400" w:lineRule="exact"/>
        <w:ind w:firstLine="420" w:firstLineChars="200"/>
      </w:pPr>
    </w:p>
    <w:p>
      <w:pPr>
        <w:spacing w:line="400" w:lineRule="exact"/>
        <w:ind w:firstLine="420" w:firstLineChars="200"/>
        <w:rPr>
          <w:rFonts w:hint="eastAsia"/>
        </w:rPr>
      </w:pPr>
      <w:r>
        <w:rPr>
          <w:rFonts w:hint="eastAsia"/>
        </w:rPr>
        <w:t>法定代表人（单位负责人）：</w:t>
      </w:r>
    </w:p>
    <w:p>
      <w:pPr>
        <w:spacing w:line="400" w:lineRule="exact"/>
        <w:ind w:firstLine="420" w:firstLineChars="200"/>
      </w:pPr>
    </w:p>
    <w:p>
      <w:pPr>
        <w:spacing w:line="400" w:lineRule="exact"/>
        <w:ind w:firstLine="420" w:firstLineChars="200"/>
        <w:rPr>
          <w:rFonts w:hint="eastAsia"/>
        </w:rPr>
      </w:pPr>
      <w:r>
        <w:rPr>
          <w:rFonts w:hint="eastAsia"/>
        </w:rPr>
        <w:t>法定代表人（单位负责人）身份证号码：</w:t>
      </w:r>
    </w:p>
    <w:p>
      <w:pPr>
        <w:spacing w:line="400" w:lineRule="exact"/>
        <w:ind w:firstLine="420" w:firstLineChars="200"/>
      </w:pPr>
    </w:p>
    <w:p>
      <w:pPr>
        <w:spacing w:line="400" w:lineRule="exact"/>
        <w:ind w:firstLine="420" w:firstLineChars="200"/>
        <w:rPr>
          <w:rFonts w:hint="eastAsia"/>
        </w:rPr>
      </w:pPr>
      <w:r>
        <w:rPr>
          <w:rFonts w:hint="eastAsia"/>
        </w:rPr>
        <w:t>委托代理人：</w:t>
      </w:r>
    </w:p>
    <w:p>
      <w:pPr>
        <w:spacing w:line="400" w:lineRule="exact"/>
        <w:ind w:firstLine="420" w:firstLineChars="200"/>
        <w:rPr>
          <w:rFonts w:hint="eastAsia"/>
        </w:rPr>
      </w:pPr>
    </w:p>
    <w:p>
      <w:pPr>
        <w:spacing w:line="400" w:lineRule="exact"/>
        <w:ind w:firstLine="420" w:firstLineChars="200"/>
        <w:rPr>
          <w:rFonts w:hint="eastAsia"/>
        </w:rPr>
      </w:pPr>
      <w:r>
        <w:rPr>
          <w:rFonts w:hint="eastAsia"/>
        </w:rPr>
        <w:t>委托代理人联系方式：</w:t>
      </w:r>
    </w:p>
    <w:p>
      <w:pPr>
        <w:pStyle w:val="BodyText"/>
        <w:rPr>
          <w:rFonts w:hint="eastAsia"/>
        </w:rPr>
      </w:pPr>
    </w:p>
    <w:p>
      <w:pPr>
        <w:spacing w:line="400" w:lineRule="exact"/>
        <w:ind w:firstLine="420" w:firstLineChars="200"/>
        <w:rPr>
          <w:rFonts w:hint="eastAsia"/>
        </w:rPr>
      </w:pPr>
      <w:r>
        <w:rPr>
          <w:rFonts w:hint="eastAsia"/>
        </w:rPr>
        <w:t>委托代理人电子邮箱：</w:t>
      </w:r>
    </w:p>
    <w:p>
      <w:pPr>
        <w:spacing w:line="400" w:lineRule="exact"/>
        <w:ind w:firstLine="420" w:firstLineChars="200"/>
      </w:pPr>
    </w:p>
    <w:p>
      <w:pPr>
        <w:spacing w:line="400" w:lineRule="exact"/>
        <w:ind w:firstLine="420" w:firstLineChars="200"/>
      </w:pPr>
      <w:r>
        <w:rPr>
          <w:rFonts w:hint="eastAsia"/>
        </w:rPr>
        <w:t>委托代理人身份证号码：</w:t>
      </w:r>
    </w:p>
    <w:p>
      <w:pPr>
        <w:spacing w:line="400" w:lineRule="exact"/>
        <w:ind w:firstLine="420" w:firstLineChars="200"/>
      </w:pPr>
    </w:p>
    <w:p>
      <w:pPr>
        <w:spacing w:line="400" w:lineRule="exact"/>
        <w:ind w:firstLine="420" w:firstLineChars="200"/>
        <w:rPr>
          <w:rFonts w:hint="eastAsia"/>
        </w:rPr>
      </w:pPr>
      <w:r>
        <w:rPr>
          <w:rFonts w:hint="eastAsia"/>
        </w:rPr>
        <w:t>日期：    年   月   日</w:t>
      </w:r>
    </w:p>
    <w:p>
      <w:pPr>
        <w:spacing w:line="360" w:lineRule="auto"/>
        <w:ind w:firstLine="420" w:firstLineChars="200"/>
        <w:rPr>
          <w:rFonts w:hint="eastAsia"/>
          <w:b/>
          <w:color w:val="FF0000"/>
          <w:szCs w:val="21"/>
        </w:rPr>
      </w:pPr>
    </w:p>
    <w:p>
      <w:pPr>
        <w:spacing w:line="360" w:lineRule="auto"/>
        <w:ind w:firstLine="420" w:firstLineChars="200"/>
      </w:pPr>
      <w:r>
        <w:rPr>
          <w:rFonts w:hint="eastAsia"/>
          <w:b/>
          <w:color w:val="FF0000"/>
          <w:szCs w:val="21"/>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pPr>
        <w:spacing w:before="312" w:beforeLines="100" w:after="312" w:afterLines="100" w:line="400" w:lineRule="exact"/>
        <w:jc w:val="center"/>
        <w:outlineLvl w:val="2"/>
      </w:pPr>
      <w:r>
        <w:rPr>
          <w:rFonts w:ascii="黑体" w:hAnsi="黑体"/>
        </w:rPr>
        <w:br w:type="page"/>
      </w:r>
      <w:bookmarkStart w:id="441" w:name="_Toc9674"/>
      <w:bookmarkStart w:id="442" w:name="_Toc13227"/>
      <w:bookmarkStart w:id="443" w:name="_Toc19828"/>
      <w:bookmarkStart w:id="444" w:name="_Toc2692"/>
      <w:bookmarkStart w:id="445" w:name="_Toc8962"/>
      <w:bookmarkStart w:id="446" w:name="_Toc5868"/>
      <w:bookmarkStart w:id="447" w:name="_Toc2167"/>
      <w:bookmarkStart w:id="448" w:name="_Toc11243211"/>
      <w:bookmarkStart w:id="449" w:name="_Toc256000045"/>
      <w:r>
        <w:rPr>
          <w:rFonts w:ascii="宋体" w:hAnsi="宋体" w:cs="宋体" w:hint="eastAsia"/>
          <w:b/>
          <w:bCs/>
          <w:sz w:val="32"/>
          <w:szCs w:val="32"/>
        </w:rPr>
        <w:t>三、</w:t>
      </w:r>
      <w:bookmarkEnd w:id="441"/>
      <w:bookmarkEnd w:id="442"/>
      <w:bookmarkEnd w:id="443"/>
      <w:r>
        <w:rPr>
          <w:rFonts w:ascii="宋体" w:hAnsi="宋体" w:cs="宋体" w:hint="eastAsia"/>
          <w:b/>
          <w:bCs/>
          <w:sz w:val="32"/>
          <w:szCs w:val="32"/>
        </w:rPr>
        <w:t>供应商基本情况表</w:t>
      </w:r>
      <w:bookmarkEnd w:id="449"/>
      <w:bookmarkEnd w:id="444"/>
    </w:p>
    <w:tbl>
      <w:tblPr>
        <w:tblStyle w:val="TableNormal"/>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28"/>
        <w:gridCol w:w="670"/>
        <w:gridCol w:w="1591"/>
        <w:gridCol w:w="939"/>
        <w:gridCol w:w="783"/>
        <w:gridCol w:w="1189"/>
        <w:gridCol w:w="1486"/>
        <w:gridCol w:w="1472"/>
      </w:tblGrid>
      <w:tr>
        <w:tblPrEx>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363"/>
          <w:jc w:val="center"/>
        </w:trPr>
        <w:tc>
          <w:tcPr>
            <w:tcW w:w="1398" w:type="dxa"/>
            <w:gridSpan w:val="2"/>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投标（响应）供应商</w:t>
            </w:r>
          </w:p>
        </w:tc>
        <w:tc>
          <w:tcPr>
            <w:tcW w:w="2530"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972"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项目名称及编号</w:t>
            </w:r>
          </w:p>
        </w:tc>
        <w:tc>
          <w:tcPr>
            <w:tcW w:w="2958"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r>
      <w:tr>
        <w:tblPrEx>
          <w:tblW w:w="8858" w:type="dxa"/>
          <w:jc w:val="center"/>
          <w:tblCellMar>
            <w:top w:w="0" w:type="dxa"/>
            <w:left w:w="108" w:type="dxa"/>
            <w:bottom w:w="0" w:type="dxa"/>
            <w:right w:w="108" w:type="dxa"/>
          </w:tblCellMar>
        </w:tblPrEx>
        <w:trPr>
          <w:trHeight w:val="557"/>
          <w:jc w:val="center"/>
        </w:trPr>
        <w:tc>
          <w:tcPr>
            <w:tcW w:w="8858" w:type="dxa"/>
            <w:gridSpan w:val="8"/>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b/>
                <w:bCs/>
              </w:rPr>
              <w:t>投标（响应）供应商相关人员情况</w:t>
            </w:r>
          </w:p>
        </w:tc>
      </w:tr>
      <w:tr>
        <w:tblPrEx>
          <w:tblW w:w="8858" w:type="dxa"/>
          <w:jc w:val="center"/>
          <w:tblCellMar>
            <w:top w:w="0" w:type="dxa"/>
            <w:left w:w="108" w:type="dxa"/>
            <w:bottom w:w="0" w:type="dxa"/>
            <w:right w:w="108" w:type="dxa"/>
          </w:tblCellMar>
        </w:tblPrEx>
        <w:trPr>
          <w:trHeight w:val="915"/>
          <w:jc w:val="center"/>
        </w:trPr>
        <w:tc>
          <w:tcPr>
            <w:tcW w:w="728"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napToGrid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序号</w:t>
            </w:r>
          </w:p>
        </w:tc>
        <w:tc>
          <w:tcPr>
            <w:tcW w:w="2261"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职务</w:t>
            </w:r>
          </w:p>
        </w:tc>
        <w:tc>
          <w:tcPr>
            <w:tcW w:w="939"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姓名</w:t>
            </w:r>
          </w:p>
        </w:tc>
        <w:tc>
          <w:tcPr>
            <w:tcW w:w="1972"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身份证号码</w:t>
            </w:r>
          </w:p>
        </w:tc>
        <w:tc>
          <w:tcPr>
            <w:tcW w:w="1486"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napToGrid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劳动合同</w:t>
            </w:r>
          </w:p>
          <w:p>
            <w:pPr>
              <w:keepNext w:val="0"/>
              <w:keepLines w:val="0"/>
              <w:suppressLineNumbers w:val="0"/>
              <w:snapToGrid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关系单位</w:t>
            </w:r>
          </w:p>
        </w:tc>
        <w:tc>
          <w:tcPr>
            <w:tcW w:w="1472"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napToGrid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缴纳社会</w:t>
            </w:r>
          </w:p>
          <w:p>
            <w:pPr>
              <w:keepNext w:val="0"/>
              <w:keepLines w:val="0"/>
              <w:suppressLineNumbers w:val="0"/>
              <w:snapToGrid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保险单位</w:t>
            </w:r>
          </w:p>
        </w:tc>
      </w:tr>
      <w:tr>
        <w:tblPrEx>
          <w:tblW w:w="8858" w:type="dxa"/>
          <w:jc w:val="center"/>
          <w:tblCellMar>
            <w:top w:w="0" w:type="dxa"/>
            <w:left w:w="108" w:type="dxa"/>
            <w:bottom w:w="0" w:type="dxa"/>
            <w:right w:w="108" w:type="dxa"/>
          </w:tblCellMar>
        </w:tblPrEx>
        <w:trPr>
          <w:trHeight w:val="1205"/>
          <w:jc w:val="center"/>
        </w:trPr>
        <w:tc>
          <w:tcPr>
            <w:tcW w:w="728"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1</w:t>
            </w:r>
          </w:p>
        </w:tc>
        <w:tc>
          <w:tcPr>
            <w:tcW w:w="2261"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line="460" w:lineRule="exact"/>
              <w:ind w:left="0" w:right="0"/>
              <w:jc w:val="center"/>
              <w:rPr>
                <w:rFonts w:ascii="宋体" w:eastAsia="宋体" w:hAnsi="宋体" w:cs="Times New Roman"/>
                <w:szCs w:val="21"/>
              </w:rPr>
            </w:pPr>
            <w:r>
              <w:rPr>
                <w:rFonts w:ascii="宋体" w:eastAsia="宋体" w:hAnsi="宋体" w:cs="Times New Roman" w:hint="eastAsia"/>
              </w:rPr>
              <w:t>法定代表人/单位负责人/主要经营负责人</w:t>
            </w:r>
          </w:p>
        </w:tc>
        <w:tc>
          <w:tcPr>
            <w:tcW w:w="939"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972"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486"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472"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r>
      <w:tr>
        <w:tblPrEx>
          <w:tblW w:w="8858" w:type="dxa"/>
          <w:jc w:val="center"/>
          <w:tblCellMar>
            <w:top w:w="0" w:type="dxa"/>
            <w:left w:w="108" w:type="dxa"/>
            <w:bottom w:w="0" w:type="dxa"/>
            <w:right w:w="108" w:type="dxa"/>
          </w:tblCellMar>
        </w:tblPrEx>
        <w:trPr>
          <w:trHeight w:val="469"/>
          <w:jc w:val="center"/>
        </w:trPr>
        <w:tc>
          <w:tcPr>
            <w:tcW w:w="728"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2</w:t>
            </w:r>
          </w:p>
        </w:tc>
        <w:tc>
          <w:tcPr>
            <w:tcW w:w="2261"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项目投标授权代表人</w:t>
            </w:r>
          </w:p>
        </w:tc>
        <w:tc>
          <w:tcPr>
            <w:tcW w:w="939"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972"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486"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472"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r>
      <w:tr>
        <w:tblPrEx>
          <w:tblW w:w="8858" w:type="dxa"/>
          <w:jc w:val="center"/>
          <w:tblCellMar>
            <w:top w:w="0" w:type="dxa"/>
            <w:left w:w="108" w:type="dxa"/>
            <w:bottom w:w="0" w:type="dxa"/>
            <w:right w:w="108" w:type="dxa"/>
          </w:tblCellMar>
        </w:tblPrEx>
        <w:trPr>
          <w:trHeight w:val="469"/>
          <w:jc w:val="center"/>
        </w:trPr>
        <w:tc>
          <w:tcPr>
            <w:tcW w:w="728"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3</w:t>
            </w:r>
          </w:p>
        </w:tc>
        <w:tc>
          <w:tcPr>
            <w:tcW w:w="2261"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项目负责人</w:t>
            </w:r>
          </w:p>
        </w:tc>
        <w:tc>
          <w:tcPr>
            <w:tcW w:w="939"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972"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486"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472"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r>
      <w:tr>
        <w:tblPrEx>
          <w:tblW w:w="8858" w:type="dxa"/>
          <w:jc w:val="center"/>
          <w:tblCellMar>
            <w:top w:w="0" w:type="dxa"/>
            <w:left w:w="108" w:type="dxa"/>
            <w:bottom w:w="0" w:type="dxa"/>
            <w:right w:w="108" w:type="dxa"/>
          </w:tblCellMar>
        </w:tblPrEx>
        <w:trPr>
          <w:trHeight w:val="469"/>
          <w:jc w:val="center"/>
        </w:trPr>
        <w:tc>
          <w:tcPr>
            <w:tcW w:w="728"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4</w:t>
            </w:r>
          </w:p>
        </w:tc>
        <w:tc>
          <w:tcPr>
            <w:tcW w:w="2261"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主要技术人员</w:t>
            </w:r>
          </w:p>
        </w:tc>
        <w:tc>
          <w:tcPr>
            <w:tcW w:w="939"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972"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486"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472"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r>
      <w:tr>
        <w:tblPrEx>
          <w:tblW w:w="8858" w:type="dxa"/>
          <w:jc w:val="center"/>
          <w:tblCellMar>
            <w:top w:w="0" w:type="dxa"/>
            <w:left w:w="108" w:type="dxa"/>
            <w:bottom w:w="0" w:type="dxa"/>
            <w:right w:w="108" w:type="dxa"/>
          </w:tblCellMar>
        </w:tblPrEx>
        <w:trPr>
          <w:trHeight w:val="469"/>
          <w:jc w:val="center"/>
        </w:trPr>
        <w:tc>
          <w:tcPr>
            <w:tcW w:w="728"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5</w:t>
            </w:r>
          </w:p>
        </w:tc>
        <w:tc>
          <w:tcPr>
            <w:tcW w:w="2261" w:type="dxa"/>
            <w:gridSpan w:val="2"/>
            <w:tcBorders>
              <w:top w:val="single" w:sz="4" w:space="0" w:color="auto"/>
              <w:left w:val="nil"/>
              <w:bottom w:val="single" w:sz="4" w:space="0" w:color="auto"/>
              <w:right w:val="single" w:sz="4" w:space="0" w:color="auto"/>
            </w:tcBorders>
            <w:noWrap w:val="0"/>
            <w:vAlign w:val="center"/>
          </w:tcPr>
          <w:p>
            <w:pPr>
              <w:pStyle w:val="NormalWeb"/>
              <w:keepNext w:val="0"/>
              <w:keepLines w:val="0"/>
              <w:suppressLineNumbers w:val="0"/>
              <w:snapToGrid w:val="0"/>
              <w:ind w:left="0" w:right="0"/>
              <w:jc w:val="center"/>
              <w:rPr>
                <w:rFonts w:ascii="宋体" w:eastAsia="宋体" w:hAnsi="宋体" w:cs="Times New Roman"/>
                <w:sz w:val="21"/>
                <w:szCs w:val="21"/>
              </w:rPr>
            </w:pPr>
            <w:r>
              <w:rPr>
                <w:rFonts w:ascii="宋体" w:eastAsia="宋体" w:hAnsi="宋体" w:cs="Times New Roman" w:hint="eastAsia"/>
                <w:sz w:val="21"/>
                <w:szCs w:val="21"/>
              </w:rPr>
              <w:t>投标文件编制人员</w:t>
            </w:r>
          </w:p>
        </w:tc>
        <w:tc>
          <w:tcPr>
            <w:tcW w:w="939"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972"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486"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1472" w:type="dxa"/>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r>
      <w:tr>
        <w:tblPrEx>
          <w:tblW w:w="8858" w:type="dxa"/>
          <w:jc w:val="center"/>
          <w:tblCellMar>
            <w:top w:w="0" w:type="dxa"/>
            <w:left w:w="108" w:type="dxa"/>
            <w:bottom w:w="0" w:type="dxa"/>
            <w:right w:w="108" w:type="dxa"/>
          </w:tblCellMar>
        </w:tblPrEx>
        <w:trPr>
          <w:trHeight w:val="469"/>
          <w:jc w:val="center"/>
        </w:trPr>
        <w:tc>
          <w:tcPr>
            <w:tcW w:w="8858" w:type="dxa"/>
            <w:gridSpan w:val="8"/>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left"/>
              <w:rPr>
                <w:rFonts w:ascii="宋体" w:eastAsia="宋体" w:hAnsi="宋体" w:cs="Times New Roman"/>
                <w:szCs w:val="21"/>
              </w:rPr>
            </w:pPr>
            <w:r>
              <w:rPr>
                <w:rFonts w:ascii="宋体" w:eastAsia="宋体" w:hAnsi="宋体" w:cs="Times New Roman" w:hint="eastAsia"/>
                <w:b/>
                <w:bCs/>
              </w:rPr>
              <w:t>说明：同一职务有多人担任（如主要技术人员），应分行填写。</w:t>
            </w:r>
          </w:p>
        </w:tc>
      </w:tr>
      <w:tr>
        <w:tblPrEx>
          <w:tblW w:w="8858" w:type="dxa"/>
          <w:jc w:val="center"/>
          <w:tblCellMar>
            <w:top w:w="0" w:type="dxa"/>
            <w:left w:w="108" w:type="dxa"/>
            <w:bottom w:w="0" w:type="dxa"/>
            <w:right w:w="108" w:type="dxa"/>
          </w:tblCellMar>
        </w:tblPrEx>
        <w:trPr>
          <w:trHeight w:val="532"/>
          <w:jc w:val="center"/>
        </w:trPr>
        <w:tc>
          <w:tcPr>
            <w:tcW w:w="8858" w:type="dxa"/>
            <w:gridSpan w:val="8"/>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left"/>
              <w:rPr>
                <w:rFonts w:ascii="宋体" w:eastAsia="宋体" w:hAnsi="宋体" w:cs="Times New Roman"/>
                <w:b/>
                <w:bCs/>
                <w:szCs w:val="21"/>
              </w:rPr>
            </w:pPr>
            <w:r>
              <w:rPr>
                <w:rFonts w:ascii="宋体" w:eastAsia="宋体" w:hAnsi="宋体" w:cs="Times New Roman" w:hint="eastAsia"/>
                <w:b/>
                <w:bCs/>
              </w:rPr>
              <w:t>投标（响应）供应商关联关系情况</w:t>
            </w:r>
          </w:p>
        </w:tc>
      </w:tr>
      <w:tr>
        <w:tblPrEx>
          <w:tblW w:w="8858" w:type="dxa"/>
          <w:jc w:val="center"/>
          <w:tblCellMar>
            <w:top w:w="0" w:type="dxa"/>
            <w:left w:w="108" w:type="dxa"/>
            <w:bottom w:w="0" w:type="dxa"/>
            <w:right w:w="108" w:type="dxa"/>
          </w:tblCellMar>
        </w:tblPrEx>
        <w:trPr>
          <w:trHeight w:val="469"/>
          <w:jc w:val="center"/>
        </w:trPr>
        <w:tc>
          <w:tcPr>
            <w:tcW w:w="728"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序号</w:t>
            </w:r>
          </w:p>
        </w:tc>
        <w:tc>
          <w:tcPr>
            <w:tcW w:w="2261"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关联关系类型</w:t>
            </w:r>
          </w:p>
        </w:tc>
        <w:tc>
          <w:tcPr>
            <w:tcW w:w="1722"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关联主体名称</w:t>
            </w:r>
          </w:p>
        </w:tc>
        <w:tc>
          <w:tcPr>
            <w:tcW w:w="4147" w:type="dxa"/>
            <w:gridSpan w:val="3"/>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备注</w:t>
            </w:r>
          </w:p>
        </w:tc>
      </w:tr>
      <w:tr>
        <w:tblPrEx>
          <w:tblW w:w="8858" w:type="dxa"/>
          <w:jc w:val="center"/>
          <w:tblCellMar>
            <w:top w:w="0" w:type="dxa"/>
            <w:left w:w="108" w:type="dxa"/>
            <w:bottom w:w="0" w:type="dxa"/>
            <w:right w:w="108" w:type="dxa"/>
          </w:tblCellMar>
        </w:tblPrEx>
        <w:trPr>
          <w:trHeight w:val="2034"/>
          <w:jc w:val="center"/>
        </w:trPr>
        <w:tc>
          <w:tcPr>
            <w:tcW w:w="728"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1</w:t>
            </w:r>
          </w:p>
        </w:tc>
        <w:tc>
          <w:tcPr>
            <w:tcW w:w="2261"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控股股东</w:t>
            </w:r>
          </w:p>
        </w:tc>
        <w:tc>
          <w:tcPr>
            <w:tcW w:w="1722"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4147" w:type="dxa"/>
            <w:gridSpan w:val="3"/>
            <w:tcBorders>
              <w:top w:val="single" w:sz="4" w:space="0" w:color="auto"/>
              <w:left w:val="nil"/>
              <w:bottom w:val="single" w:sz="4" w:space="0" w:color="auto"/>
              <w:right w:val="single" w:sz="4" w:space="0" w:color="auto"/>
            </w:tcBorders>
            <w:noWrap w:val="0"/>
            <w:vAlign w:val="center"/>
          </w:tcPr>
          <w:p>
            <w:pPr>
              <w:keepNext w:val="0"/>
              <w:keepLines w:val="0"/>
              <w:suppressLineNumbers w:val="0"/>
              <w:snapToGrid w:val="0"/>
              <w:spacing w:before="0" w:beforeAutospacing="0" w:after="0" w:afterAutospacing="0"/>
              <w:ind w:left="0" w:right="0"/>
              <w:jc w:val="left"/>
              <w:rPr>
                <w:rFonts w:ascii="宋体" w:eastAsia="宋体" w:hAnsi="宋体" w:cs="Times New Roman"/>
                <w:szCs w:val="21"/>
              </w:rPr>
            </w:pPr>
            <w:r>
              <w:rPr>
                <w:rFonts w:ascii="宋体" w:eastAsia="宋体" w:hAnsi="宋体" w:cs="Times New Roman" w:hint="eastAsia"/>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W w:w="8858" w:type="dxa"/>
          <w:jc w:val="center"/>
          <w:tblCellMar>
            <w:top w:w="0" w:type="dxa"/>
            <w:left w:w="108" w:type="dxa"/>
            <w:bottom w:w="0" w:type="dxa"/>
            <w:right w:w="108" w:type="dxa"/>
          </w:tblCellMar>
        </w:tblPrEx>
        <w:trPr>
          <w:trHeight w:val="1363"/>
          <w:jc w:val="center"/>
        </w:trPr>
        <w:tc>
          <w:tcPr>
            <w:tcW w:w="728" w:type="dxa"/>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2</w:t>
            </w:r>
          </w:p>
        </w:tc>
        <w:tc>
          <w:tcPr>
            <w:tcW w:w="2261"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r>
              <w:rPr>
                <w:rFonts w:ascii="宋体" w:eastAsia="宋体" w:hAnsi="宋体" w:cs="Times New Roman" w:hint="eastAsia"/>
              </w:rPr>
              <w:t>管理关系</w:t>
            </w:r>
          </w:p>
        </w:tc>
        <w:tc>
          <w:tcPr>
            <w:tcW w:w="1722" w:type="dxa"/>
            <w:gridSpan w:val="2"/>
            <w:tcBorders>
              <w:top w:val="single" w:sz="4" w:space="0" w:color="auto"/>
              <w:left w:val="nil"/>
              <w:bottom w:val="single" w:sz="4" w:space="0" w:color="auto"/>
              <w:right w:val="single" w:sz="4" w:space="0" w:color="auto"/>
            </w:tcBorders>
            <w:noWrap w:val="0"/>
            <w:vAlign w:val="center"/>
          </w:tcPr>
          <w:p>
            <w:pPr>
              <w:keepNext w:val="0"/>
              <w:keepLines w:val="0"/>
              <w:suppressLineNumbers w:val="0"/>
              <w:spacing w:before="0" w:beforeAutospacing="0" w:after="0" w:afterAutospacing="0"/>
              <w:ind w:left="0" w:right="0"/>
              <w:jc w:val="center"/>
              <w:rPr>
                <w:rFonts w:ascii="宋体" w:eastAsia="宋体" w:hAnsi="宋体" w:cs="Times New Roman"/>
                <w:szCs w:val="21"/>
              </w:rPr>
            </w:pPr>
          </w:p>
        </w:tc>
        <w:tc>
          <w:tcPr>
            <w:tcW w:w="4147" w:type="dxa"/>
            <w:gridSpan w:val="3"/>
            <w:tcBorders>
              <w:top w:val="single" w:sz="4" w:space="0" w:color="auto"/>
              <w:left w:val="nil"/>
              <w:bottom w:val="single" w:sz="4" w:space="0" w:color="auto"/>
              <w:right w:val="single" w:sz="4" w:space="0" w:color="auto"/>
            </w:tcBorders>
            <w:noWrap w:val="0"/>
            <w:vAlign w:val="center"/>
          </w:tcPr>
          <w:p>
            <w:pPr>
              <w:keepNext w:val="0"/>
              <w:keepLines w:val="0"/>
              <w:suppressLineNumbers w:val="0"/>
              <w:snapToGrid w:val="0"/>
              <w:spacing w:before="0" w:beforeAutospacing="0" w:after="0" w:afterAutospacing="0"/>
              <w:ind w:left="0" w:right="0"/>
              <w:jc w:val="left"/>
              <w:rPr>
                <w:rFonts w:ascii="宋体" w:eastAsia="宋体" w:hAnsi="宋体" w:cs="Times New Roman"/>
                <w:szCs w:val="21"/>
              </w:rPr>
            </w:pPr>
            <w:r>
              <w:rPr>
                <w:rFonts w:ascii="宋体" w:eastAsia="宋体" w:hAnsi="宋体" w:cs="Times New Roman" w:hint="eastAsia"/>
              </w:rPr>
              <w:t>指对投标（响应）供应商不具有出资持股关系，但对其存在管理关系的主体。</w:t>
            </w:r>
          </w:p>
        </w:tc>
      </w:tr>
      <w:tr>
        <w:tblPrEx>
          <w:tblW w:w="8858" w:type="dxa"/>
          <w:jc w:val="center"/>
          <w:tblCellMar>
            <w:top w:w="0" w:type="dxa"/>
            <w:left w:w="108" w:type="dxa"/>
            <w:bottom w:w="0" w:type="dxa"/>
            <w:right w:w="108" w:type="dxa"/>
          </w:tblCellMar>
        </w:tblPrEx>
        <w:trPr>
          <w:trHeight w:val="631"/>
          <w:jc w:val="center"/>
        </w:trPr>
        <w:tc>
          <w:tcPr>
            <w:tcW w:w="8858" w:type="dxa"/>
            <w:gridSpan w:val="8"/>
            <w:tcBorders>
              <w:top w:val="single" w:sz="4" w:space="0" w:color="auto"/>
              <w:left w:val="single" w:sz="4" w:space="0" w:color="auto"/>
              <w:bottom w:val="single" w:sz="4" w:space="0" w:color="auto"/>
              <w:right w:val="single" w:sz="4" w:space="0" w:color="auto"/>
            </w:tcBorders>
            <w:noWrap w:val="0"/>
            <w:vAlign w:val="center"/>
          </w:tcPr>
          <w:p>
            <w:pPr>
              <w:keepNext w:val="0"/>
              <w:keepLines w:val="0"/>
              <w:suppressLineNumbers w:val="0"/>
              <w:snapToGrid w:val="0"/>
              <w:spacing w:before="0" w:beforeAutospacing="0" w:after="0" w:afterAutospacing="0"/>
              <w:ind w:left="0" w:right="0"/>
              <w:rPr>
                <w:rFonts w:ascii="宋体" w:eastAsia="宋体" w:hAnsi="宋体" w:cs="Times New Roman"/>
                <w:szCs w:val="21"/>
              </w:rPr>
            </w:pPr>
            <w:r>
              <w:rPr>
                <w:rFonts w:ascii="宋体" w:eastAsia="宋体" w:hAnsi="宋体" w:cs="Times New Roman" w:hint="eastAsia"/>
                <w:b/>
                <w:bCs/>
              </w:rPr>
              <w:t>说明：同一关联关系类型有多个主体的，应分行填写。</w:t>
            </w:r>
          </w:p>
        </w:tc>
      </w:tr>
    </w:tbl>
    <w:p>
      <w:pPr>
        <w:pStyle w:val="Heading3"/>
        <w:jc w:val="center"/>
        <w:rPr>
          <w:rFonts w:ascii="黑体"/>
          <w:b w:val="0"/>
          <w:kern w:val="0"/>
          <w:sz w:val="24"/>
          <w:szCs w:val="24"/>
        </w:rPr>
      </w:pPr>
      <w:r>
        <w:rPr>
          <w:rFonts w:ascii="黑体" w:hAnsi="黑体"/>
        </w:rPr>
        <w:br w:type="page"/>
      </w:r>
      <w:bookmarkStart w:id="450" w:name="_Toc30600"/>
      <w:bookmarkStart w:id="451" w:name="_Toc256000046"/>
      <w:r>
        <w:rPr>
          <w:rFonts w:ascii="宋体" w:eastAsia="宋体" w:hAnsi="宋体" w:cs="宋体" w:hint="eastAsia"/>
          <w:kern w:val="0"/>
        </w:rPr>
        <w:t>四、</w:t>
      </w:r>
      <w:bookmarkStart w:id="452" w:name="_Hlk72092634"/>
      <w:r>
        <w:rPr>
          <w:rFonts w:ascii="宋体" w:eastAsia="宋体" w:hAnsi="宋体" w:cs="宋体" w:hint="eastAsia"/>
          <w:kern w:val="0"/>
        </w:rPr>
        <w:t>实质性条款响应情况表</w:t>
      </w:r>
      <w:bookmarkEnd w:id="451"/>
      <w:bookmarkEnd w:id="445"/>
      <w:bookmarkEnd w:id="446"/>
      <w:bookmarkEnd w:id="447"/>
      <w:bookmarkEnd w:id="450"/>
      <w:bookmarkEnd w:id="452"/>
    </w:p>
    <w:tbl>
      <w:tblPr>
        <w:tblStyle w:val="TableNormal"/>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05"/>
        <w:gridCol w:w="1056"/>
        <w:gridCol w:w="4649"/>
        <w:gridCol w:w="1112"/>
        <w:gridCol w:w="1190"/>
        <w:gridCol w:w="884"/>
      </w:tblGrid>
      <w:tr>
        <w:tblPrEx>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31"/>
          <w:jc w:val="center"/>
        </w:trPr>
        <w:tc>
          <w:tcPr>
            <w:tcW w:w="705"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ascii="宋体" w:eastAsia="宋体" w:hAnsi="宋体" w:cs="Times New Roman"/>
                <w:kern w:val="0"/>
                <w:szCs w:val="21"/>
              </w:rPr>
            </w:pPr>
            <w:bookmarkStart w:id="453" w:name="_Hlk72092651"/>
            <w:r>
              <w:rPr>
                <w:rFonts w:ascii="宋体" w:eastAsia="宋体" w:hAnsi="宋体" w:cs="Times New Roman" w:hint="eastAsia"/>
                <w:kern w:val="0"/>
                <w:szCs w:val="21"/>
              </w:rPr>
              <w:t>序号</w:t>
            </w:r>
          </w:p>
        </w:tc>
        <w:tc>
          <w:tcPr>
            <w:tcW w:w="5705" w:type="dxa"/>
            <w:gridSpan w:val="2"/>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ascii="宋体" w:eastAsia="宋体" w:hAnsi="宋体" w:cs="Times New Roman"/>
                <w:kern w:val="0"/>
                <w:szCs w:val="21"/>
              </w:rPr>
            </w:pPr>
            <w:r>
              <w:rPr>
                <w:rFonts w:ascii="宋体" w:eastAsia="宋体" w:hAnsi="宋体" w:cs="Times New Roman" w:hint="eastAsia"/>
                <w:kern w:val="0"/>
                <w:szCs w:val="21"/>
              </w:rPr>
              <w:t>实质性条款具体内容</w:t>
            </w:r>
          </w:p>
        </w:tc>
        <w:tc>
          <w:tcPr>
            <w:tcW w:w="1112"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ascii="宋体" w:eastAsia="宋体" w:hAnsi="宋体" w:cs="Times New Roman"/>
                <w:kern w:val="0"/>
                <w:szCs w:val="21"/>
              </w:rPr>
            </w:pPr>
            <w:r>
              <w:rPr>
                <w:rFonts w:ascii="Calibri" w:eastAsia="宋体" w:hAnsi="Calibri" w:cs="Times New Roman" w:hint="eastAsia"/>
              </w:rPr>
              <w:t>投标响应</w:t>
            </w:r>
          </w:p>
        </w:tc>
        <w:tc>
          <w:tcPr>
            <w:tcW w:w="1190"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ascii="宋体" w:eastAsia="宋体" w:hAnsi="宋体" w:cs="Times New Roman"/>
                <w:kern w:val="0"/>
                <w:szCs w:val="21"/>
              </w:rPr>
            </w:pPr>
            <w:r>
              <w:rPr>
                <w:rFonts w:ascii="Calibri" w:eastAsia="宋体" w:hAnsi="Calibri" w:cs="Times New Roman" w:hint="eastAsia"/>
              </w:rPr>
              <w:t>偏离情况</w:t>
            </w:r>
          </w:p>
        </w:tc>
        <w:tc>
          <w:tcPr>
            <w:tcW w:w="884" w:type="dxa"/>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ascii="宋体" w:eastAsia="宋体" w:hAnsi="宋体" w:cs="Times New Roman"/>
                <w:kern w:val="0"/>
                <w:szCs w:val="21"/>
              </w:rPr>
            </w:pPr>
            <w:r>
              <w:rPr>
                <w:rFonts w:ascii="Calibri" w:eastAsia="宋体" w:hAnsi="Calibri" w:cs="Times New Roman" w:hint="eastAsia"/>
              </w:rPr>
              <w:t>说明</w:t>
            </w:r>
          </w:p>
        </w:tc>
      </w:tr>
      <w:tr>
        <w:tblPrEx>
          <w:tblW w:w="9596" w:type="dxa"/>
          <w:jc w:val="center"/>
          <w:tblLayout w:type="fixed"/>
          <w:tblCellMar>
            <w:top w:w="0" w:type="dxa"/>
            <w:left w:w="108" w:type="dxa"/>
            <w:bottom w:w="0" w:type="dxa"/>
            <w:right w:w="108" w:type="dxa"/>
          </w:tblCellMar>
        </w:tblPrEx>
        <w:trPr>
          <w:trHeight w:val="667"/>
          <w:jc w:val="center"/>
        </w:trPr>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kern w:val="0"/>
                <w:szCs w:val="21"/>
              </w:rPr>
            </w:pPr>
            <w:bookmarkEnd w:id="453"/>
            <w:r>
              <w:rPr>
                <w:rFonts w:ascii="宋体" w:eastAsia="宋体" w:hAnsi="宋体" w:cs="Times New Roman" w:hint="eastAsia"/>
                <w:kern w:val="0"/>
                <w:szCs w:val="21"/>
              </w:rPr>
              <w:t>1</w:t>
            </w:r>
          </w:p>
        </w:tc>
        <w:tc>
          <w:tcPr>
            <w:tcW w:w="1056" w:type="dxa"/>
            <w:noWrap w:val="0"/>
            <w:vAlign w:val="center"/>
          </w:tcPr>
          <w:p>
            <w:pPr>
              <w:keepNext w:val="0"/>
              <w:keepLines w:val="0"/>
              <w:suppressLineNumbers w:val="0"/>
              <w:adjustRightInd w:val="0"/>
              <w:snapToGrid w:val="0"/>
              <w:spacing w:before="0" w:beforeAutospacing="0" w:after="0" w:afterAutospacing="0"/>
              <w:ind w:left="0" w:right="0"/>
              <w:jc w:val="center"/>
              <w:rPr>
                <w:rFonts w:ascii="Calibri" w:eastAsia="宋体" w:hAnsi="宋体" w:cs="Times New Roman" w:hint="eastAsia"/>
                <w:kern w:val="0"/>
                <w:szCs w:val="21"/>
              </w:rPr>
            </w:pPr>
            <w:r>
              <w:rPr>
                <w:rFonts w:ascii="Calibri" w:eastAsia="宋体" w:hAnsi="Calibri" w:cs="Times New Roman" w:hint="eastAsia"/>
                <w:b/>
                <w:bCs/>
              </w:rPr>
              <w:t>报价要求</w:t>
            </w:r>
          </w:p>
        </w:tc>
        <w:tc>
          <w:tcPr>
            <w:tcW w:w="4649" w:type="dxa"/>
            <w:noWrap w:val="0"/>
            <w:vAlign w:val="center"/>
          </w:tcPr>
          <w:p>
            <w:pPr>
              <w:keepNext w:val="0"/>
              <w:keepLines w:val="0"/>
              <w:suppressLineNumbers w:val="0"/>
              <w:adjustRightInd w:val="0"/>
              <w:snapToGrid w:val="0"/>
              <w:spacing w:before="0" w:beforeAutospacing="0" w:after="0" w:afterAutospacing="0"/>
              <w:ind w:left="0" w:right="0"/>
              <w:rPr>
                <w:rFonts w:ascii="Calibri" w:eastAsia="宋体" w:hAnsi="宋体" w:cs="Times New Roman"/>
                <w:kern w:val="0"/>
                <w:szCs w:val="21"/>
              </w:rPr>
            </w:pPr>
            <w:r>
              <w:rPr>
                <w:rFonts w:ascii="Calibri" w:eastAsia="宋体" w:hAnsi="宋体" w:cs="Times New Roman" w:hint="eastAsia"/>
                <w:kern w:val="0"/>
                <w:szCs w:val="21"/>
              </w:rPr>
              <w:t>投标报价不能超过预算</w:t>
            </w:r>
            <w:r>
              <w:rPr>
                <w:rFonts w:ascii="Calibri" w:eastAsia="宋体" w:hAnsi="Calibri" w:cs="Times New Roman" w:hint="eastAsia"/>
                <w:lang w:val="en-US" w:eastAsia="zh-CN"/>
              </w:rPr>
              <w:t>5,320,000</w:t>
            </w:r>
            <w:r>
              <w:rPr>
                <w:rFonts w:ascii="Calibri" w:eastAsia="宋体" w:hAnsi="宋体" w:cs="Times New Roman" w:hint="eastAsia"/>
                <w:kern w:val="0"/>
                <w:szCs w:val="21"/>
              </w:rPr>
              <w:t>元，否则将投标无效</w:t>
            </w:r>
          </w:p>
        </w:tc>
        <w:tc>
          <w:tcPr>
            <w:tcW w:w="1112" w:type="dxa"/>
            <w:noWrap w:val="0"/>
            <w:vAlign w:val="top"/>
          </w:tcPr>
          <w:p>
            <w:pPr>
              <w:keepNext w:val="0"/>
              <w:keepLines w:val="0"/>
              <w:suppressLineNumbers w:val="0"/>
              <w:adjustRightInd w:val="0"/>
              <w:snapToGrid w:val="0"/>
              <w:spacing w:before="0" w:beforeAutospacing="0" w:after="0" w:afterAutospacing="0" w:line="360" w:lineRule="auto"/>
              <w:ind w:left="0" w:right="0"/>
              <w:rPr>
                <w:rFonts w:ascii="宋体" w:eastAsia="宋体" w:hAnsi="宋体" w:cs="Times New Roman"/>
                <w:kern w:val="0"/>
                <w:szCs w:val="21"/>
              </w:rPr>
            </w:pPr>
          </w:p>
        </w:tc>
        <w:tc>
          <w:tcPr>
            <w:tcW w:w="1190" w:type="dxa"/>
            <w:noWrap w:val="0"/>
            <w:vAlign w:val="top"/>
          </w:tcPr>
          <w:p>
            <w:pPr>
              <w:keepNext w:val="0"/>
              <w:keepLines w:val="0"/>
              <w:suppressLineNumbers w:val="0"/>
              <w:adjustRightInd w:val="0"/>
              <w:snapToGrid w:val="0"/>
              <w:spacing w:before="0" w:beforeAutospacing="0" w:after="0" w:afterAutospacing="0" w:line="360" w:lineRule="auto"/>
              <w:ind w:left="0" w:right="0"/>
              <w:rPr>
                <w:rFonts w:ascii="宋体" w:eastAsia="宋体" w:hAnsi="宋体" w:cs="Times New Roman"/>
                <w:kern w:val="0"/>
                <w:szCs w:val="21"/>
              </w:rPr>
            </w:pPr>
          </w:p>
        </w:tc>
        <w:tc>
          <w:tcPr>
            <w:tcW w:w="884" w:type="dxa"/>
            <w:noWrap w:val="0"/>
            <w:vAlign w:val="top"/>
          </w:tcPr>
          <w:p>
            <w:pPr>
              <w:keepNext w:val="0"/>
              <w:keepLines w:val="0"/>
              <w:suppressLineNumbers w:val="0"/>
              <w:adjustRightInd w:val="0"/>
              <w:snapToGrid w:val="0"/>
              <w:spacing w:before="0" w:beforeAutospacing="0" w:after="0" w:afterAutospacing="0" w:line="360" w:lineRule="auto"/>
              <w:ind w:left="0" w:right="0"/>
              <w:rPr>
                <w:rFonts w:ascii="宋体" w:eastAsia="宋体" w:hAnsi="宋体" w:cs="Times New Roman"/>
                <w:kern w:val="0"/>
                <w:szCs w:val="21"/>
              </w:rPr>
            </w:pPr>
          </w:p>
        </w:tc>
      </w:tr>
      <w:tr>
        <w:tblPrEx>
          <w:tblW w:w="9596" w:type="dxa"/>
          <w:jc w:val="center"/>
          <w:tblLayout w:type="fixed"/>
          <w:tblCellMar>
            <w:top w:w="0" w:type="dxa"/>
            <w:left w:w="108" w:type="dxa"/>
            <w:bottom w:w="0" w:type="dxa"/>
            <w:right w:w="108" w:type="dxa"/>
          </w:tblCellMar>
        </w:tblPrEx>
        <w:trPr>
          <w:trHeight w:val="703"/>
          <w:jc w:val="center"/>
        </w:trPr>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kern w:val="0"/>
                <w:szCs w:val="21"/>
              </w:rPr>
            </w:pPr>
            <w:r>
              <w:rPr>
                <w:rFonts w:ascii="宋体" w:eastAsia="宋体" w:hAnsi="宋体" w:cs="Times New Roman" w:hint="eastAsia"/>
                <w:kern w:val="0"/>
                <w:szCs w:val="21"/>
              </w:rPr>
              <w:t>2</w:t>
            </w:r>
          </w:p>
        </w:tc>
        <w:tc>
          <w:tcPr>
            <w:tcW w:w="1056" w:type="dxa"/>
            <w:noWrap w:val="0"/>
            <w:vAlign w:val="center"/>
          </w:tcPr>
          <w:p>
            <w:pPr>
              <w:keepNext w:val="0"/>
              <w:keepLines w:val="0"/>
              <w:suppressLineNumbers w:val="0"/>
              <w:adjustRightInd w:val="0"/>
              <w:snapToGrid w:val="0"/>
              <w:spacing w:before="0" w:beforeAutospacing="0" w:after="0" w:afterAutospacing="0"/>
              <w:ind w:left="0" w:right="0"/>
              <w:jc w:val="center"/>
              <w:rPr>
                <w:rFonts w:ascii="Calibri" w:eastAsia="宋体" w:hAnsi="宋体" w:cs="Times New Roman"/>
                <w:kern w:val="0"/>
                <w:szCs w:val="21"/>
              </w:rPr>
            </w:pPr>
            <w:r>
              <w:rPr>
                <w:rFonts w:ascii="宋体" w:eastAsia="宋体" w:hAnsi="宋体" w:cs="宋体" w:hint="eastAsia"/>
                <w:b/>
                <w:bCs/>
                <w:szCs w:val="21"/>
              </w:rPr>
              <w:t>服务期限</w:t>
            </w:r>
          </w:p>
        </w:tc>
        <w:tc>
          <w:tcPr>
            <w:tcW w:w="4649" w:type="dxa"/>
            <w:noWrap w:val="0"/>
            <w:vAlign w:val="center"/>
          </w:tcPr>
          <w:p>
            <w:pPr>
              <w:keepNext w:val="0"/>
              <w:keepLines w:val="0"/>
              <w:suppressLineNumbers w:val="0"/>
              <w:spacing w:before="0" w:beforeAutospacing="0" w:after="0" w:afterAutospacing="0"/>
              <w:ind w:left="0" w:right="0"/>
              <w:rPr>
                <w:rFonts w:ascii="Calibri" w:eastAsia="宋体" w:hAnsi="宋体" w:cs="Times New Roman" w:hint="eastAsia"/>
                <w:kern w:val="0"/>
                <w:szCs w:val="21"/>
              </w:rPr>
            </w:pPr>
            <w:r>
              <w:rPr>
                <w:rFonts w:ascii="Calibri" w:eastAsia="宋体" w:hAnsi="宋体" w:cs="Times New Roman" w:hint="eastAsia"/>
                <w:kern w:val="0"/>
                <w:szCs w:val="21"/>
              </w:rPr>
              <w:t>本项目服务期自残疾人入住并开始接受乙方服务之日起1年。</w:t>
            </w:r>
          </w:p>
        </w:tc>
        <w:tc>
          <w:tcPr>
            <w:tcW w:w="1112" w:type="dxa"/>
            <w:noWrap w:val="0"/>
            <w:vAlign w:val="top"/>
          </w:tcPr>
          <w:p>
            <w:pPr>
              <w:keepNext w:val="0"/>
              <w:keepLines w:val="0"/>
              <w:suppressLineNumbers w:val="0"/>
              <w:adjustRightInd w:val="0"/>
              <w:snapToGrid w:val="0"/>
              <w:spacing w:before="0" w:beforeAutospacing="0" w:after="0" w:afterAutospacing="0" w:line="360" w:lineRule="auto"/>
              <w:ind w:left="0" w:right="0"/>
              <w:rPr>
                <w:rFonts w:ascii="宋体" w:eastAsia="宋体" w:hAnsi="宋体" w:cs="Times New Roman"/>
                <w:kern w:val="0"/>
                <w:szCs w:val="21"/>
              </w:rPr>
            </w:pPr>
          </w:p>
        </w:tc>
        <w:tc>
          <w:tcPr>
            <w:tcW w:w="1190" w:type="dxa"/>
            <w:noWrap w:val="0"/>
            <w:vAlign w:val="top"/>
          </w:tcPr>
          <w:p>
            <w:pPr>
              <w:keepNext w:val="0"/>
              <w:keepLines w:val="0"/>
              <w:suppressLineNumbers w:val="0"/>
              <w:adjustRightInd w:val="0"/>
              <w:snapToGrid w:val="0"/>
              <w:spacing w:before="0" w:beforeAutospacing="0" w:after="0" w:afterAutospacing="0" w:line="360" w:lineRule="auto"/>
              <w:ind w:left="0" w:right="0"/>
              <w:rPr>
                <w:rFonts w:ascii="宋体" w:eastAsia="宋体" w:hAnsi="宋体" w:cs="Times New Roman"/>
                <w:kern w:val="0"/>
                <w:szCs w:val="21"/>
              </w:rPr>
            </w:pPr>
          </w:p>
        </w:tc>
        <w:tc>
          <w:tcPr>
            <w:tcW w:w="884" w:type="dxa"/>
            <w:noWrap w:val="0"/>
            <w:vAlign w:val="top"/>
          </w:tcPr>
          <w:p>
            <w:pPr>
              <w:keepNext w:val="0"/>
              <w:keepLines w:val="0"/>
              <w:suppressLineNumbers w:val="0"/>
              <w:adjustRightInd w:val="0"/>
              <w:snapToGrid w:val="0"/>
              <w:spacing w:before="0" w:beforeAutospacing="0" w:after="0" w:afterAutospacing="0" w:line="360" w:lineRule="auto"/>
              <w:ind w:left="0" w:right="0"/>
              <w:rPr>
                <w:rFonts w:ascii="宋体" w:eastAsia="宋体" w:hAnsi="宋体" w:cs="Times New Roman"/>
                <w:kern w:val="0"/>
                <w:szCs w:val="21"/>
              </w:rPr>
            </w:pPr>
          </w:p>
        </w:tc>
      </w:tr>
      <w:tr>
        <w:tblPrEx>
          <w:tblW w:w="9596" w:type="dxa"/>
          <w:jc w:val="center"/>
          <w:tblLayout w:type="fixed"/>
          <w:tblCellMar>
            <w:top w:w="0" w:type="dxa"/>
            <w:left w:w="108" w:type="dxa"/>
            <w:bottom w:w="0" w:type="dxa"/>
            <w:right w:w="108" w:type="dxa"/>
          </w:tblCellMar>
        </w:tblPrEx>
        <w:trPr>
          <w:trHeight w:val="703"/>
          <w:jc w:val="center"/>
        </w:trPr>
        <w:tc>
          <w:tcPr>
            <w:tcW w:w="705"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Times New Roman" w:hint="eastAsia"/>
                <w:kern w:val="0"/>
                <w:szCs w:val="21"/>
              </w:rPr>
            </w:pPr>
            <w:r>
              <w:rPr>
                <w:rFonts w:ascii="宋体" w:eastAsia="宋体" w:hAnsi="宋体" w:cs="Times New Roman" w:hint="eastAsia"/>
                <w:kern w:val="0"/>
                <w:szCs w:val="21"/>
              </w:rPr>
              <w:t>3</w:t>
            </w:r>
          </w:p>
        </w:tc>
        <w:tc>
          <w:tcPr>
            <w:tcW w:w="1056" w:type="dxa"/>
            <w:noWrap w:val="0"/>
            <w:vAlign w:val="center"/>
          </w:tcPr>
          <w:p>
            <w:pPr>
              <w:keepNext w:val="0"/>
              <w:keepLines w:val="0"/>
              <w:suppressLineNumbers w:val="0"/>
              <w:adjustRightInd w:val="0"/>
              <w:snapToGrid w:val="0"/>
              <w:spacing w:before="0" w:beforeAutospacing="0" w:after="0" w:afterAutospacing="0"/>
              <w:ind w:left="0" w:right="0"/>
              <w:jc w:val="center"/>
              <w:rPr>
                <w:rFonts w:ascii="宋体" w:eastAsia="宋体" w:hAnsi="宋体" w:cs="宋体" w:hint="eastAsia"/>
                <w:b/>
                <w:bCs/>
                <w:szCs w:val="21"/>
              </w:rPr>
            </w:pPr>
            <w:r>
              <w:rPr>
                <w:rFonts w:ascii="宋体" w:eastAsia="宋体" w:hAnsi="宋体" w:cs="宋体" w:hint="eastAsia"/>
                <w:b/>
                <w:bCs/>
                <w:szCs w:val="21"/>
              </w:rPr>
              <w:t>标★号项目</w:t>
            </w:r>
          </w:p>
        </w:tc>
        <w:tc>
          <w:tcPr>
            <w:tcW w:w="4649" w:type="dxa"/>
            <w:noWrap w:val="0"/>
            <w:vAlign w:val="center"/>
          </w:tcPr>
          <w:p>
            <w:pPr>
              <w:keepNext w:val="0"/>
              <w:keepLines w:val="0"/>
              <w:suppressLineNumbers w:val="0"/>
              <w:spacing w:before="0" w:beforeAutospacing="0" w:after="0" w:afterAutospacing="0"/>
              <w:ind w:left="0" w:right="0"/>
              <w:rPr>
                <w:rFonts w:ascii="宋体" w:eastAsia="宋体" w:hAnsi="宋体" w:cs="Times New Roman" w:hint="eastAsia"/>
                <w:color w:val="000000"/>
              </w:rPr>
            </w:pPr>
            <w:r>
              <w:rPr>
                <w:rFonts w:ascii="宋体" w:eastAsia="宋体" w:hAnsi="宋体" w:cs="Times New Roman" w:hint="eastAsia"/>
                <w:color w:val="000000"/>
              </w:rPr>
              <w:t>完全满足</w:t>
            </w:r>
            <w:r>
              <w:rPr>
                <w:rFonts w:ascii="宋体" w:eastAsia="宋体" w:hAnsi="宋体" w:cs="宋体" w:hint="eastAsia"/>
                <w:szCs w:val="21"/>
              </w:rPr>
              <w:t>标★号项目要求</w:t>
            </w:r>
          </w:p>
        </w:tc>
        <w:tc>
          <w:tcPr>
            <w:tcW w:w="1112" w:type="dxa"/>
            <w:noWrap w:val="0"/>
            <w:vAlign w:val="top"/>
          </w:tcPr>
          <w:p>
            <w:pPr>
              <w:keepNext w:val="0"/>
              <w:keepLines w:val="0"/>
              <w:suppressLineNumbers w:val="0"/>
              <w:adjustRightInd w:val="0"/>
              <w:snapToGrid w:val="0"/>
              <w:spacing w:before="0" w:beforeAutospacing="0" w:after="0" w:afterAutospacing="0" w:line="360" w:lineRule="auto"/>
              <w:ind w:left="0" w:right="0"/>
              <w:rPr>
                <w:rFonts w:ascii="宋体" w:eastAsia="宋体" w:hAnsi="宋体" w:cs="Times New Roman"/>
                <w:kern w:val="0"/>
                <w:szCs w:val="21"/>
              </w:rPr>
            </w:pPr>
          </w:p>
        </w:tc>
        <w:tc>
          <w:tcPr>
            <w:tcW w:w="1190" w:type="dxa"/>
            <w:noWrap w:val="0"/>
            <w:vAlign w:val="top"/>
          </w:tcPr>
          <w:p>
            <w:pPr>
              <w:keepNext w:val="0"/>
              <w:keepLines w:val="0"/>
              <w:suppressLineNumbers w:val="0"/>
              <w:adjustRightInd w:val="0"/>
              <w:snapToGrid w:val="0"/>
              <w:spacing w:before="0" w:beforeAutospacing="0" w:after="0" w:afterAutospacing="0" w:line="360" w:lineRule="auto"/>
              <w:ind w:left="0" w:right="0"/>
              <w:rPr>
                <w:rFonts w:ascii="宋体" w:eastAsia="宋体" w:hAnsi="宋体" w:cs="Times New Roman"/>
                <w:kern w:val="0"/>
                <w:szCs w:val="21"/>
              </w:rPr>
            </w:pPr>
          </w:p>
        </w:tc>
        <w:tc>
          <w:tcPr>
            <w:tcW w:w="884" w:type="dxa"/>
            <w:noWrap w:val="0"/>
            <w:vAlign w:val="top"/>
          </w:tcPr>
          <w:p>
            <w:pPr>
              <w:keepNext w:val="0"/>
              <w:keepLines w:val="0"/>
              <w:suppressLineNumbers w:val="0"/>
              <w:adjustRightInd w:val="0"/>
              <w:snapToGrid w:val="0"/>
              <w:spacing w:before="0" w:beforeAutospacing="0" w:after="0" w:afterAutospacing="0" w:line="360" w:lineRule="auto"/>
              <w:ind w:left="0" w:right="0"/>
              <w:rPr>
                <w:rFonts w:ascii="宋体" w:eastAsia="宋体" w:hAnsi="宋体" w:cs="Times New Roman"/>
                <w:kern w:val="0"/>
                <w:szCs w:val="21"/>
              </w:rPr>
            </w:pPr>
          </w:p>
        </w:tc>
      </w:tr>
    </w:tbl>
    <w:p>
      <w:pPr>
        <w:spacing w:line="360" w:lineRule="auto"/>
        <w:ind w:firstLine="420" w:firstLineChars="200"/>
        <w:rPr>
          <w:b/>
          <w:sz w:val="24"/>
          <w:szCs w:val="22"/>
        </w:rPr>
      </w:pPr>
      <w:r>
        <w:rPr>
          <w:rFonts w:hint="eastAsia"/>
          <w:b/>
          <w:sz w:val="24"/>
          <w:szCs w:val="22"/>
        </w:rPr>
        <w:t>注：1. 上表所列各项均为不可负偏离条款。</w:t>
      </w:r>
    </w:p>
    <w:p>
      <w:pPr>
        <w:spacing w:line="360" w:lineRule="auto"/>
        <w:ind w:firstLine="420" w:firstLineChars="200"/>
        <w:rPr>
          <w:b/>
          <w:sz w:val="24"/>
          <w:szCs w:val="22"/>
        </w:rPr>
      </w:pPr>
      <w:r>
        <w:rPr>
          <w:rFonts w:hint="eastAsia"/>
          <w:b/>
          <w:sz w:val="24"/>
          <w:szCs w:val="22"/>
        </w:rPr>
        <w:t>2.“投标响应”一栏应当详细填写投标人自身响应情况。</w:t>
      </w:r>
    </w:p>
    <w:p>
      <w:pPr>
        <w:spacing w:line="360" w:lineRule="auto"/>
        <w:ind w:firstLine="420"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spacing w:line="360" w:lineRule="auto"/>
        <w:ind w:firstLine="420" w:firstLineChars="200"/>
        <w:rPr>
          <w:b/>
          <w:sz w:val="24"/>
        </w:rPr>
      </w:pPr>
      <w:r>
        <w:rPr>
          <w:b/>
          <w:sz w:val="24"/>
        </w:rPr>
        <w:t>4.</w:t>
      </w:r>
      <w:r>
        <w:rPr>
          <w:rFonts w:hint="eastAsia"/>
          <w:b/>
          <w:sz w:val="24"/>
        </w:rPr>
        <w:t>评审委员会有权对投标响应情况作出判断（作出评审结论）。</w:t>
      </w:r>
    </w:p>
    <w:p>
      <w:pPr>
        <w:spacing w:line="360" w:lineRule="auto"/>
        <w:ind w:firstLine="420" w:firstLineChars="200"/>
        <w:rPr>
          <w:b/>
          <w:color w:val="FF0000"/>
          <w:sz w:val="24"/>
          <w:szCs w:val="22"/>
        </w:rPr>
      </w:pPr>
      <w:r>
        <w:rPr>
          <w:b/>
          <w:color w:val="FF0000"/>
          <w:sz w:val="24"/>
          <w:szCs w:val="22"/>
        </w:rPr>
        <w:t>5</w:t>
      </w:r>
      <w:r>
        <w:rPr>
          <w:rFonts w:hint="eastAsia"/>
          <w:b/>
          <w:color w:val="FF0000"/>
          <w:sz w:val="24"/>
          <w:szCs w:val="22"/>
        </w:rPr>
        <w:t>.实质性响应条款“投标响应情况”与投标文件其它内容冲突的，以实质性响应条款“投标响应情况”为准。</w:t>
      </w:r>
    </w:p>
    <w:p>
      <w:pPr>
        <w:spacing w:line="360" w:lineRule="auto"/>
        <w:jc w:val="center"/>
        <w:outlineLvl w:val="2"/>
        <w:rPr>
          <w:rFonts w:hint="eastAsia"/>
          <w:b/>
          <w:sz w:val="24"/>
        </w:rPr>
      </w:pPr>
      <w:r>
        <w:rPr>
          <w:rFonts w:ascii="黑体" w:hAnsi="黑体"/>
        </w:rPr>
        <w:br w:type="page"/>
      </w:r>
      <w:bookmarkStart w:id="454" w:name="_Toc22505"/>
      <w:bookmarkStart w:id="455" w:name="_Toc21164"/>
      <w:bookmarkStart w:id="456" w:name="_Toc28058"/>
      <w:bookmarkStart w:id="457" w:name="_Toc9076"/>
      <w:bookmarkStart w:id="458" w:name="_Toc256000047"/>
      <w:r>
        <w:rPr>
          <w:rFonts w:ascii="黑体" w:hAnsi="黑体" w:hint="eastAsia"/>
          <w:b/>
          <w:bCs/>
          <w:sz w:val="32"/>
          <w:szCs w:val="32"/>
        </w:rPr>
        <w:t>五、项目需求偏离表</w:t>
      </w:r>
      <w:bookmarkEnd w:id="458"/>
      <w:bookmarkEnd w:id="454"/>
      <w:bookmarkEnd w:id="455"/>
      <w:bookmarkEnd w:id="456"/>
      <w:bookmarkEnd w:id="457"/>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01"/>
        <w:gridCol w:w="1984"/>
        <w:gridCol w:w="2027"/>
        <w:gridCol w:w="1705"/>
        <w:gridCol w:w="1705"/>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725"/>
          <w:jc w:val="center"/>
        </w:trPr>
        <w:tc>
          <w:tcPr>
            <w:tcW w:w="1101" w:type="dxa"/>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b/>
                <w:szCs w:val="21"/>
              </w:rPr>
            </w:pPr>
            <w:r>
              <w:rPr>
                <w:rFonts w:ascii="Calibri" w:eastAsia="宋体" w:hAnsi="Calibri" w:cs="Times New Roman"/>
                <w:b/>
                <w:szCs w:val="21"/>
              </w:rPr>
              <w:t>序号</w:t>
            </w:r>
          </w:p>
        </w:tc>
        <w:tc>
          <w:tcPr>
            <w:tcW w:w="1984" w:type="dxa"/>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b/>
                <w:szCs w:val="21"/>
              </w:rPr>
            </w:pPr>
            <w:r>
              <w:rPr>
                <w:rFonts w:ascii="Calibri" w:eastAsia="宋体" w:hAnsi="Calibri" w:cs="Times New Roman"/>
                <w:b/>
                <w:szCs w:val="21"/>
              </w:rPr>
              <w:t>招标文件条款</w:t>
            </w:r>
          </w:p>
        </w:tc>
        <w:tc>
          <w:tcPr>
            <w:tcW w:w="2027" w:type="dxa"/>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b/>
                <w:szCs w:val="21"/>
              </w:rPr>
            </w:pPr>
            <w:r>
              <w:rPr>
                <w:rFonts w:ascii="Calibri" w:eastAsia="宋体" w:hAnsi="Calibri" w:cs="Times New Roman"/>
                <w:b/>
                <w:szCs w:val="21"/>
              </w:rPr>
              <w:t>投标文件条款</w:t>
            </w:r>
          </w:p>
        </w:tc>
        <w:tc>
          <w:tcPr>
            <w:tcW w:w="1705" w:type="dxa"/>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b/>
                <w:szCs w:val="21"/>
              </w:rPr>
            </w:pPr>
            <w:r>
              <w:rPr>
                <w:rFonts w:ascii="Calibri" w:eastAsia="宋体" w:hAnsi="Calibri" w:cs="Times New Roman"/>
                <w:b/>
                <w:szCs w:val="21"/>
              </w:rPr>
              <w:t>偏离情况</w:t>
            </w:r>
          </w:p>
        </w:tc>
        <w:tc>
          <w:tcPr>
            <w:tcW w:w="1705" w:type="dxa"/>
            <w:noWrap w:val="0"/>
            <w:vAlign w:val="center"/>
          </w:tcPr>
          <w:p>
            <w:pPr>
              <w:keepNext w:val="0"/>
              <w:keepLines w:val="0"/>
              <w:suppressLineNumbers w:val="0"/>
              <w:spacing w:before="0" w:beforeAutospacing="0" w:after="0" w:afterAutospacing="0"/>
              <w:ind w:left="0" w:right="0"/>
              <w:jc w:val="center"/>
              <w:rPr>
                <w:rFonts w:ascii="Calibri" w:eastAsia="宋体" w:hAnsi="Calibri" w:cs="Times New Roman"/>
                <w:b/>
                <w:szCs w:val="21"/>
              </w:rPr>
            </w:pPr>
            <w:r>
              <w:rPr>
                <w:rFonts w:ascii="Calibri" w:eastAsia="宋体" w:hAnsi="Calibri" w:cs="Times New Roman"/>
                <w:b/>
                <w:szCs w:val="21"/>
              </w:rPr>
              <w:t>说明</w:t>
            </w:r>
          </w:p>
        </w:tc>
      </w:tr>
      <w:tr>
        <w:tblPrEx>
          <w:tblW w:w="0" w:type="auto"/>
          <w:jc w:val="center"/>
          <w:tblLayout w:type="fixed"/>
          <w:tblCellMar>
            <w:top w:w="0" w:type="dxa"/>
            <w:left w:w="108" w:type="dxa"/>
            <w:bottom w:w="0" w:type="dxa"/>
            <w:right w:w="108" w:type="dxa"/>
          </w:tblCellMar>
        </w:tblPrEx>
        <w:trPr>
          <w:trHeight w:val="1488"/>
          <w:jc w:val="center"/>
        </w:trPr>
        <w:tc>
          <w:tcPr>
            <w:tcW w:w="1101" w:type="dxa"/>
            <w:noWrap w:val="0"/>
            <w:vAlign w:val="center"/>
          </w:tcPr>
          <w:p>
            <w:pPr>
              <w:keepNext w:val="0"/>
              <w:keepLines w:val="0"/>
              <w:suppressLineNumbers w:val="0"/>
              <w:spacing w:before="0" w:beforeAutospacing="0" w:after="0" w:afterAutospacing="0" w:line="360" w:lineRule="auto"/>
              <w:ind w:left="0" w:right="0"/>
              <w:jc w:val="center"/>
              <w:rPr>
                <w:rFonts w:ascii="Calibri" w:eastAsia="宋体" w:hAnsi="Calibri" w:cs="Times New Roman"/>
                <w:bCs/>
                <w:szCs w:val="21"/>
              </w:rPr>
            </w:pPr>
            <w:r>
              <w:rPr>
                <w:rFonts w:ascii="Calibri" w:eastAsia="宋体" w:hAnsi="Calibri" w:cs="Times New Roman"/>
                <w:bCs/>
                <w:szCs w:val="21"/>
              </w:rPr>
              <w:t>1</w:t>
            </w:r>
          </w:p>
        </w:tc>
        <w:tc>
          <w:tcPr>
            <w:tcW w:w="1984" w:type="dxa"/>
            <w:noWrap w:val="0"/>
            <w:vAlign w:val="top"/>
          </w:tcPr>
          <w:p>
            <w:pPr>
              <w:keepNext w:val="0"/>
              <w:keepLines w:val="0"/>
              <w:suppressLineNumbers w:val="0"/>
              <w:spacing w:before="0" w:beforeAutospacing="0" w:after="0" w:afterAutospacing="0" w:line="360" w:lineRule="auto"/>
              <w:ind w:left="0" w:right="0"/>
              <w:rPr>
                <w:rFonts w:ascii="Calibri" w:eastAsia="宋体" w:hAnsi="Calibri" w:cs="Times New Roman"/>
                <w:bCs/>
                <w:szCs w:val="21"/>
              </w:rPr>
            </w:pPr>
          </w:p>
        </w:tc>
        <w:tc>
          <w:tcPr>
            <w:tcW w:w="2027" w:type="dxa"/>
            <w:noWrap w:val="0"/>
            <w:vAlign w:val="top"/>
          </w:tcPr>
          <w:p>
            <w:pPr>
              <w:keepNext w:val="0"/>
              <w:keepLines w:val="0"/>
              <w:suppressLineNumbers w:val="0"/>
              <w:spacing w:before="0" w:beforeAutospacing="0" w:after="0" w:afterAutospacing="0" w:line="360" w:lineRule="auto"/>
              <w:ind w:left="0" w:right="0"/>
              <w:rPr>
                <w:rFonts w:ascii="Calibri" w:eastAsia="宋体" w:hAnsi="Calibri" w:cs="Times New Roman"/>
                <w:bCs/>
                <w:szCs w:val="21"/>
              </w:rPr>
            </w:pPr>
          </w:p>
        </w:tc>
        <w:tc>
          <w:tcPr>
            <w:tcW w:w="1705" w:type="dxa"/>
            <w:noWrap w:val="0"/>
            <w:vAlign w:val="top"/>
          </w:tcPr>
          <w:p>
            <w:pPr>
              <w:keepNext w:val="0"/>
              <w:keepLines w:val="0"/>
              <w:suppressLineNumbers w:val="0"/>
              <w:spacing w:before="0" w:beforeAutospacing="0" w:after="0" w:afterAutospacing="0" w:line="360" w:lineRule="auto"/>
              <w:ind w:left="0" w:right="0"/>
              <w:rPr>
                <w:rFonts w:ascii="Calibri" w:eastAsia="宋体" w:hAnsi="Calibri" w:cs="Times New Roman"/>
                <w:bCs/>
                <w:szCs w:val="21"/>
              </w:rPr>
            </w:pPr>
          </w:p>
        </w:tc>
        <w:tc>
          <w:tcPr>
            <w:tcW w:w="1705" w:type="dxa"/>
            <w:noWrap w:val="0"/>
            <w:vAlign w:val="top"/>
          </w:tcPr>
          <w:p>
            <w:pPr>
              <w:keepNext w:val="0"/>
              <w:keepLines w:val="0"/>
              <w:suppressLineNumbers w:val="0"/>
              <w:spacing w:before="0" w:beforeAutospacing="0" w:after="0" w:afterAutospacing="0" w:line="360" w:lineRule="auto"/>
              <w:ind w:left="0" w:right="0"/>
              <w:rPr>
                <w:rFonts w:ascii="Calibri" w:eastAsia="宋体" w:hAnsi="Calibri" w:cs="Times New Roman"/>
                <w:bCs/>
                <w:szCs w:val="21"/>
              </w:rPr>
            </w:pPr>
          </w:p>
        </w:tc>
      </w:tr>
    </w:tbl>
    <w:p>
      <w:pPr>
        <w:spacing w:line="360" w:lineRule="auto"/>
        <w:ind w:firstLine="420" w:firstLineChars="200"/>
        <w:rPr>
          <w:rFonts w:ascii="宋体" w:hAnsi="宋体" w:cs="宋体" w:hint="eastAsia"/>
          <w:bCs/>
          <w:sz w:val="24"/>
        </w:rPr>
      </w:pPr>
      <w:r>
        <w:rPr>
          <w:rFonts w:ascii="宋体" w:hAnsi="宋体" w:cs="宋体" w:hint="eastAsia"/>
          <w:bCs/>
          <w:sz w:val="24"/>
        </w:rPr>
        <w:t>注：</w:t>
      </w:r>
    </w:p>
    <w:p>
      <w:pPr>
        <w:spacing w:line="360" w:lineRule="auto"/>
        <w:ind w:firstLine="420" w:firstLineChars="200"/>
        <w:rPr>
          <w:rFonts w:ascii="宋体" w:hAnsi="宋体" w:cs="宋体" w:hint="eastAsia"/>
          <w:bCs/>
          <w:sz w:val="24"/>
        </w:rPr>
      </w:pPr>
      <w:r>
        <w:rPr>
          <w:rFonts w:ascii="宋体" w:hAnsi="宋体" w:cs="宋体" w:hint="eastAsia"/>
          <w:bCs/>
          <w:sz w:val="24"/>
        </w:rPr>
        <w:t>1.上表“招标文件条款”栏填写“本项目第二册第三章项目需求的全部内容”、“投标文件条款”栏填写“完全满足本项目第二册第三章招标项目需求的全部内容”即可。</w:t>
      </w:r>
    </w:p>
    <w:p>
      <w:pPr>
        <w:spacing w:line="360" w:lineRule="auto"/>
        <w:ind w:firstLine="420" w:firstLineChars="200"/>
        <w:rPr>
          <w:rFonts w:ascii="宋体" w:hAnsi="宋体" w:hint="eastAsia"/>
          <w:szCs w:val="21"/>
        </w:rPr>
      </w:pPr>
      <w:r>
        <w:rPr>
          <w:rFonts w:ascii="宋体" w:hAnsi="宋体" w:cs="宋体" w:hint="eastAsia"/>
          <w:bCs/>
          <w:sz w:val="24"/>
        </w:rPr>
        <w:t>2.“偏离情况”栏中根据响应情况填写，优于要求的填“正偏离”，应作详细说明；达到要求的填“无偏离”；没有达到要求的填“负偏离”，应作详细说明</w:t>
      </w:r>
      <w:r>
        <w:rPr>
          <w:rFonts w:ascii="宋体" w:hAnsi="宋体" w:hint="eastAsia"/>
          <w:szCs w:val="21"/>
        </w:rPr>
        <w:t>。</w:t>
      </w:r>
    </w:p>
    <w:p>
      <w:pPr>
        <w:spacing w:line="360" w:lineRule="auto"/>
        <w:ind w:firstLine="420" w:firstLineChars="200"/>
        <w:rPr>
          <w:rFonts w:ascii="宋体" w:hAnsi="宋体" w:cs="宋体" w:hint="eastAsia"/>
          <w:bCs/>
          <w:sz w:val="24"/>
        </w:rPr>
      </w:pPr>
    </w:p>
    <w:p>
      <w:pPr>
        <w:jc w:val="center"/>
        <w:outlineLvl w:val="2"/>
        <w:rPr>
          <w:rFonts w:ascii="黑体" w:hAnsi="黑体" w:hint="eastAsia"/>
          <w:b/>
          <w:bCs/>
          <w:sz w:val="32"/>
          <w:szCs w:val="32"/>
        </w:rPr>
      </w:pPr>
      <w:r>
        <w:rPr>
          <w:rFonts w:ascii="黑体" w:hAnsi="黑体" w:hint="eastAsia"/>
          <w:b/>
          <w:bCs/>
          <w:sz w:val="32"/>
          <w:szCs w:val="32"/>
        </w:rPr>
        <w:br w:type="page"/>
      </w:r>
      <w:bookmarkStart w:id="459" w:name="_Toc28664"/>
      <w:bookmarkStart w:id="460" w:name="_Toc16971"/>
      <w:bookmarkStart w:id="461" w:name="_Toc29490"/>
      <w:bookmarkStart w:id="462" w:name="_Toc17610"/>
      <w:bookmarkStart w:id="463" w:name="_Toc256000048"/>
      <w:r>
        <w:rPr>
          <w:rFonts w:ascii="黑体" w:hAnsi="黑体" w:hint="eastAsia"/>
          <w:b/>
          <w:bCs/>
          <w:sz w:val="32"/>
          <w:szCs w:val="32"/>
        </w:rPr>
        <w:t>六、政府采购违法行为风险知悉确认书</w:t>
      </w:r>
      <w:bookmarkEnd w:id="463"/>
      <w:bookmarkEnd w:id="459"/>
      <w:bookmarkEnd w:id="460"/>
      <w:bookmarkEnd w:id="461"/>
      <w:bookmarkEnd w:id="462"/>
    </w:p>
    <w:p>
      <w:pPr>
        <w:spacing w:line="360" w:lineRule="auto"/>
        <w:ind w:firstLine="420" w:firstLineChars="200"/>
        <w:rPr>
          <w:rFonts w:ascii="宋体" w:hAnsi="宋体" w:cs="宋体" w:hint="eastAsia"/>
          <w:b/>
          <w:bCs/>
          <w:szCs w:val="21"/>
        </w:rPr>
      </w:pPr>
      <w:r>
        <w:rPr>
          <w:rFonts w:ascii="宋体" w:hAnsi="宋体" w:cs="宋体" w:hint="eastAsia"/>
          <w:b/>
          <w:bCs/>
          <w:szCs w:val="21"/>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TableNormal"/>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11"/>
        <w:gridCol w:w="8292"/>
      </w:tblGrid>
      <w:tr>
        <w:tblPrEx>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51"/>
          <w:jc w:val="center"/>
        </w:trPr>
        <w:tc>
          <w:tcPr>
            <w:tcW w:w="711" w:type="dxa"/>
            <w:noWrap w:val="0"/>
            <w:vAlign w:val="top"/>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szCs w:val="21"/>
              </w:rPr>
              <w:t>序号</w:t>
            </w:r>
          </w:p>
        </w:tc>
        <w:tc>
          <w:tcPr>
            <w:tcW w:w="8292" w:type="dxa"/>
            <w:noWrap w:val="0"/>
            <w:vAlign w:val="top"/>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b/>
                <w:bCs/>
                <w:szCs w:val="21"/>
              </w:rPr>
              <w:t>供应商参与投标禁止情形</w:t>
            </w:r>
          </w:p>
        </w:tc>
      </w:tr>
      <w:tr>
        <w:tblPrEx>
          <w:tblW w:w="9003" w:type="dxa"/>
          <w:jc w:val="center"/>
          <w:tblCellMar>
            <w:top w:w="0" w:type="dxa"/>
            <w:left w:w="108" w:type="dxa"/>
            <w:bottom w:w="0" w:type="dxa"/>
            <w:right w:w="108" w:type="dxa"/>
          </w:tblCellMar>
        </w:tblPrEx>
        <w:trPr>
          <w:trHeight w:val="878"/>
          <w:jc w:val="center"/>
        </w:trPr>
        <w:tc>
          <w:tcPr>
            <w:tcW w:w="711"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szCs w:val="21"/>
              </w:rPr>
              <w:t>1</w:t>
            </w:r>
          </w:p>
        </w:tc>
        <w:tc>
          <w:tcPr>
            <w:tcW w:w="8292" w:type="dxa"/>
            <w:noWrap w:val="0"/>
            <w:vAlign w:val="center"/>
          </w:tcPr>
          <w:p>
            <w:pPr>
              <w:keepNext w:val="0"/>
              <w:keepLines w:val="0"/>
              <w:suppressLineNumbers w:val="0"/>
              <w:spacing w:before="0" w:beforeAutospacing="0" w:after="0" w:afterAutospacing="0" w:line="400" w:lineRule="exact"/>
              <w:ind w:left="0" w:right="0"/>
              <w:jc w:val="left"/>
              <w:rPr>
                <w:rFonts w:ascii="宋体" w:eastAsia="宋体" w:hAnsi="宋体" w:cs="宋体" w:hint="eastAsia"/>
                <w:szCs w:val="21"/>
              </w:rPr>
            </w:pPr>
            <w:r>
              <w:rPr>
                <w:rFonts w:ascii="宋体" w:eastAsia="宋体" w:hAnsi="宋体" w:cs="宋体" w:hint="eastAsia"/>
                <w:szCs w:val="21"/>
              </w:rPr>
              <w:t>与其他投标供应商的法定代表人、主要经营负责人、投标授权代表人、项目负责人、主要技术人员为</w:t>
            </w:r>
            <w:r>
              <w:rPr>
                <w:rFonts w:ascii="宋体" w:eastAsia="宋体" w:hAnsi="宋体" w:cs="宋体" w:hint="eastAsia"/>
                <w:b/>
                <w:bCs/>
                <w:szCs w:val="21"/>
              </w:rPr>
              <w:t>同一人、属同一单位或者在同一单位缴纳社会保险</w:t>
            </w:r>
            <w:r>
              <w:rPr>
                <w:rFonts w:ascii="宋体" w:eastAsia="宋体" w:hAnsi="宋体" w:cs="宋体" w:hint="eastAsia"/>
                <w:szCs w:val="21"/>
              </w:rPr>
              <w:t>。</w:t>
            </w:r>
          </w:p>
        </w:tc>
      </w:tr>
      <w:tr>
        <w:tblPrEx>
          <w:tblW w:w="9003" w:type="dxa"/>
          <w:jc w:val="center"/>
          <w:tblCellMar>
            <w:top w:w="0" w:type="dxa"/>
            <w:left w:w="108" w:type="dxa"/>
            <w:bottom w:w="0" w:type="dxa"/>
            <w:right w:w="108" w:type="dxa"/>
          </w:tblCellMar>
        </w:tblPrEx>
        <w:trPr>
          <w:trHeight w:val="90"/>
          <w:jc w:val="center"/>
        </w:trPr>
        <w:tc>
          <w:tcPr>
            <w:tcW w:w="711"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szCs w:val="21"/>
              </w:rPr>
              <w:t>2</w:t>
            </w:r>
          </w:p>
        </w:tc>
        <w:tc>
          <w:tcPr>
            <w:tcW w:w="8292" w:type="dxa"/>
            <w:noWrap w:val="0"/>
            <w:vAlign w:val="center"/>
          </w:tcPr>
          <w:p>
            <w:pPr>
              <w:keepNext w:val="0"/>
              <w:keepLines w:val="0"/>
              <w:suppressLineNumbers w:val="0"/>
              <w:spacing w:before="0" w:beforeAutospacing="0" w:after="0" w:afterAutospacing="0" w:line="400" w:lineRule="exact"/>
              <w:ind w:left="0" w:right="0"/>
              <w:jc w:val="left"/>
              <w:rPr>
                <w:rFonts w:ascii="宋体" w:eastAsia="宋体" w:hAnsi="宋体" w:cs="宋体" w:hint="eastAsia"/>
                <w:szCs w:val="21"/>
              </w:rPr>
            </w:pPr>
            <w:r>
              <w:rPr>
                <w:rFonts w:ascii="宋体" w:eastAsia="宋体" w:hAnsi="宋体" w:cs="宋体" w:hint="eastAsia"/>
                <w:szCs w:val="21"/>
              </w:rPr>
              <w:t>参与本项目政府采购活动时，与其他投标供应商存在单位负责人为</w:t>
            </w:r>
            <w:r>
              <w:rPr>
                <w:rFonts w:ascii="宋体" w:eastAsia="宋体" w:hAnsi="宋体" w:cs="宋体" w:hint="eastAsia"/>
                <w:b/>
                <w:bCs/>
                <w:szCs w:val="21"/>
              </w:rPr>
              <w:t>同一人或直接控股、管理关系</w:t>
            </w:r>
            <w:r>
              <w:rPr>
                <w:rFonts w:ascii="宋体" w:eastAsia="宋体" w:hAnsi="宋体" w:cs="宋体" w:hint="eastAsia"/>
                <w:szCs w:val="21"/>
              </w:rPr>
              <w:t>。</w:t>
            </w:r>
          </w:p>
        </w:tc>
      </w:tr>
      <w:tr>
        <w:tblPrEx>
          <w:tblW w:w="9003" w:type="dxa"/>
          <w:jc w:val="center"/>
          <w:tblCellMar>
            <w:top w:w="0" w:type="dxa"/>
            <w:left w:w="108" w:type="dxa"/>
            <w:bottom w:w="0" w:type="dxa"/>
            <w:right w:w="108" w:type="dxa"/>
          </w:tblCellMar>
        </w:tblPrEx>
        <w:trPr>
          <w:jc w:val="center"/>
        </w:trPr>
        <w:tc>
          <w:tcPr>
            <w:tcW w:w="711"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szCs w:val="21"/>
              </w:rPr>
              <w:t>3</w:t>
            </w:r>
          </w:p>
        </w:tc>
        <w:tc>
          <w:tcPr>
            <w:tcW w:w="8292" w:type="dxa"/>
            <w:noWrap w:val="0"/>
            <w:vAlign w:val="center"/>
          </w:tcPr>
          <w:p>
            <w:pPr>
              <w:keepNext w:val="0"/>
              <w:keepLines w:val="0"/>
              <w:suppressLineNumbers w:val="0"/>
              <w:spacing w:before="0" w:beforeAutospacing="0" w:after="0" w:afterAutospacing="0" w:line="400" w:lineRule="exact"/>
              <w:ind w:left="0" w:right="0"/>
              <w:jc w:val="left"/>
              <w:rPr>
                <w:rFonts w:ascii="宋体" w:eastAsia="宋体" w:hAnsi="宋体" w:cs="宋体" w:hint="eastAsia"/>
                <w:szCs w:val="21"/>
              </w:rPr>
            </w:pPr>
            <w:r>
              <w:rPr>
                <w:rFonts w:ascii="宋体" w:eastAsia="宋体" w:hAnsi="宋体" w:cs="宋体" w:hint="eastAsia"/>
                <w:szCs w:val="21"/>
              </w:rPr>
              <w:t>与其他投标供应商的投标文件或部分投标文件</w:t>
            </w:r>
            <w:r>
              <w:rPr>
                <w:rFonts w:ascii="宋体" w:eastAsia="宋体" w:hAnsi="宋体" w:cs="宋体" w:hint="eastAsia"/>
                <w:b/>
                <w:bCs/>
                <w:szCs w:val="21"/>
              </w:rPr>
              <w:t>相互混装或存在非正常一致</w:t>
            </w:r>
            <w:r>
              <w:rPr>
                <w:rFonts w:ascii="宋体" w:eastAsia="宋体" w:hAnsi="宋体" w:cs="宋体" w:hint="eastAsia"/>
                <w:szCs w:val="21"/>
              </w:rPr>
              <w:t>。</w:t>
            </w:r>
          </w:p>
        </w:tc>
      </w:tr>
      <w:tr>
        <w:tblPrEx>
          <w:tblW w:w="9003" w:type="dxa"/>
          <w:jc w:val="center"/>
          <w:tblCellMar>
            <w:top w:w="0" w:type="dxa"/>
            <w:left w:w="108" w:type="dxa"/>
            <w:bottom w:w="0" w:type="dxa"/>
            <w:right w:w="108" w:type="dxa"/>
          </w:tblCellMar>
        </w:tblPrEx>
        <w:trPr>
          <w:trHeight w:val="90"/>
          <w:jc w:val="center"/>
        </w:trPr>
        <w:tc>
          <w:tcPr>
            <w:tcW w:w="711"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szCs w:val="21"/>
              </w:rPr>
              <w:t>4</w:t>
            </w:r>
          </w:p>
        </w:tc>
        <w:tc>
          <w:tcPr>
            <w:tcW w:w="8292" w:type="dxa"/>
            <w:noWrap w:val="0"/>
            <w:vAlign w:val="center"/>
          </w:tcPr>
          <w:p>
            <w:pPr>
              <w:keepNext w:val="0"/>
              <w:keepLines w:val="0"/>
              <w:suppressLineNumbers w:val="0"/>
              <w:spacing w:before="0" w:beforeAutospacing="0" w:after="0" w:afterAutospacing="0" w:line="400" w:lineRule="exact"/>
              <w:ind w:left="0" w:right="0"/>
              <w:jc w:val="left"/>
              <w:rPr>
                <w:rFonts w:ascii="宋体" w:eastAsia="宋体" w:hAnsi="宋体" w:cs="宋体" w:hint="eastAsia"/>
                <w:szCs w:val="21"/>
              </w:rPr>
            </w:pPr>
            <w:r>
              <w:rPr>
                <w:rFonts w:ascii="宋体" w:eastAsia="宋体" w:hAnsi="宋体" w:cs="宋体" w:hint="eastAsia"/>
                <w:szCs w:val="21"/>
              </w:rPr>
              <w:t>与其他投标供应商的投标文件由</w:t>
            </w:r>
            <w:r>
              <w:rPr>
                <w:rFonts w:ascii="宋体" w:eastAsia="宋体" w:hAnsi="宋体" w:cs="宋体" w:hint="eastAsia"/>
                <w:b/>
                <w:bCs/>
                <w:szCs w:val="21"/>
              </w:rPr>
              <w:t>同一单位或者同一人编制</w:t>
            </w:r>
            <w:r>
              <w:rPr>
                <w:rFonts w:ascii="宋体" w:eastAsia="宋体" w:hAnsi="宋体" w:cs="宋体" w:hint="eastAsia"/>
                <w:szCs w:val="21"/>
              </w:rPr>
              <w:t>，或者使用</w:t>
            </w:r>
            <w:r>
              <w:rPr>
                <w:rFonts w:ascii="宋体" w:eastAsia="宋体" w:hAnsi="宋体" w:cs="宋体" w:hint="eastAsia"/>
                <w:b/>
                <w:bCs/>
                <w:szCs w:val="21"/>
              </w:rPr>
              <w:t>同一设备编制</w:t>
            </w:r>
            <w:r>
              <w:rPr>
                <w:rFonts w:ascii="宋体" w:eastAsia="宋体" w:hAnsi="宋体" w:cs="宋体" w:hint="eastAsia"/>
                <w:szCs w:val="21"/>
              </w:rPr>
              <w:t>（“文件制作机器码”“文件创建标识码”一致）。</w:t>
            </w:r>
          </w:p>
        </w:tc>
      </w:tr>
      <w:tr>
        <w:tblPrEx>
          <w:tblW w:w="9003" w:type="dxa"/>
          <w:jc w:val="center"/>
          <w:tblCellMar>
            <w:top w:w="0" w:type="dxa"/>
            <w:left w:w="108" w:type="dxa"/>
            <w:bottom w:w="0" w:type="dxa"/>
            <w:right w:w="108" w:type="dxa"/>
          </w:tblCellMar>
        </w:tblPrEx>
        <w:trPr>
          <w:trHeight w:val="90"/>
          <w:jc w:val="center"/>
        </w:trPr>
        <w:tc>
          <w:tcPr>
            <w:tcW w:w="711"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szCs w:val="21"/>
              </w:rPr>
              <w:t>5</w:t>
            </w:r>
          </w:p>
        </w:tc>
        <w:tc>
          <w:tcPr>
            <w:tcW w:w="8292" w:type="dxa"/>
            <w:noWrap w:val="0"/>
            <w:vAlign w:val="center"/>
          </w:tcPr>
          <w:p>
            <w:pPr>
              <w:keepNext w:val="0"/>
              <w:keepLines w:val="0"/>
              <w:suppressLineNumbers w:val="0"/>
              <w:spacing w:before="0" w:beforeAutospacing="0" w:after="0" w:afterAutospacing="0" w:line="400" w:lineRule="exact"/>
              <w:ind w:left="0" w:right="0"/>
              <w:jc w:val="left"/>
              <w:rPr>
                <w:rFonts w:ascii="宋体" w:eastAsia="宋体" w:hAnsi="宋体" w:cs="宋体" w:hint="eastAsia"/>
                <w:szCs w:val="21"/>
              </w:rPr>
            </w:pPr>
            <w:r>
              <w:rPr>
                <w:rFonts w:ascii="宋体" w:eastAsia="宋体" w:hAnsi="宋体" w:cs="宋体" w:hint="eastAsia"/>
                <w:szCs w:val="21"/>
              </w:rPr>
              <w:t>提供</w:t>
            </w:r>
            <w:r>
              <w:rPr>
                <w:rFonts w:ascii="宋体" w:eastAsia="宋体" w:hAnsi="宋体" w:cs="宋体" w:hint="eastAsia"/>
                <w:b/>
                <w:bCs/>
                <w:szCs w:val="21"/>
              </w:rPr>
              <w:t>未经出具机构核实</w:t>
            </w:r>
            <w:r>
              <w:rPr>
                <w:rFonts w:ascii="宋体" w:eastAsia="宋体" w:hAnsi="宋体" w:cs="宋体" w:hint="eastAsia"/>
                <w:szCs w:val="21"/>
              </w:rPr>
              <w:t>的虚假的检验检测报告、业绩材料、社保缴纳证明、学历学位证书、职称认证证书等材料。</w:t>
            </w:r>
          </w:p>
        </w:tc>
      </w:tr>
      <w:tr>
        <w:tblPrEx>
          <w:tblW w:w="9003" w:type="dxa"/>
          <w:jc w:val="center"/>
          <w:tblCellMar>
            <w:top w:w="0" w:type="dxa"/>
            <w:left w:w="108" w:type="dxa"/>
            <w:bottom w:w="0" w:type="dxa"/>
            <w:right w:w="108" w:type="dxa"/>
          </w:tblCellMar>
        </w:tblPrEx>
        <w:trPr>
          <w:trHeight w:val="90"/>
          <w:jc w:val="center"/>
        </w:trPr>
        <w:tc>
          <w:tcPr>
            <w:tcW w:w="711" w:type="dxa"/>
            <w:noWrap w:val="0"/>
            <w:vAlign w:val="center"/>
          </w:tcPr>
          <w:p>
            <w:pPr>
              <w:keepNext w:val="0"/>
              <w:keepLines w:val="0"/>
              <w:suppressLineNumbers w:val="0"/>
              <w:spacing w:before="0" w:beforeAutospacing="0" w:after="0" w:afterAutospacing="0" w:line="360" w:lineRule="auto"/>
              <w:ind w:left="0" w:right="0"/>
              <w:jc w:val="center"/>
              <w:rPr>
                <w:rFonts w:ascii="宋体" w:eastAsia="宋体" w:hAnsi="宋体" w:cs="宋体" w:hint="eastAsia"/>
                <w:szCs w:val="21"/>
              </w:rPr>
            </w:pPr>
            <w:r>
              <w:rPr>
                <w:rFonts w:ascii="宋体" w:eastAsia="宋体" w:hAnsi="宋体" w:cs="宋体" w:hint="eastAsia"/>
                <w:szCs w:val="21"/>
              </w:rPr>
              <w:t>6</w:t>
            </w:r>
          </w:p>
        </w:tc>
        <w:tc>
          <w:tcPr>
            <w:tcW w:w="8292" w:type="dxa"/>
            <w:noWrap w:val="0"/>
            <w:vAlign w:val="center"/>
          </w:tcPr>
          <w:p>
            <w:pPr>
              <w:keepNext w:val="0"/>
              <w:keepLines w:val="0"/>
              <w:suppressLineNumbers w:val="0"/>
              <w:spacing w:before="0" w:beforeAutospacing="0" w:after="0" w:afterAutospacing="0" w:line="400" w:lineRule="exact"/>
              <w:ind w:left="0" w:right="0"/>
              <w:jc w:val="left"/>
              <w:rPr>
                <w:rFonts w:ascii="宋体" w:eastAsia="宋体" w:hAnsi="宋体" w:cs="宋体" w:hint="eastAsia"/>
                <w:szCs w:val="21"/>
              </w:rPr>
            </w:pPr>
            <w:r>
              <w:rPr>
                <w:rFonts w:ascii="宋体" w:eastAsia="宋体" w:hAnsi="宋体" w:cs="宋体" w:hint="eastAsia"/>
                <w:szCs w:val="21"/>
              </w:rPr>
              <w:t>擅自将投标密钥或电子营业执照出借他人使用或未妥善保管。</w:t>
            </w:r>
          </w:p>
        </w:tc>
      </w:tr>
    </w:tbl>
    <w:p>
      <w:pPr>
        <w:spacing w:line="360" w:lineRule="auto"/>
        <w:ind w:firstLine="420" w:firstLineChars="200"/>
        <w:rPr>
          <w:rFonts w:ascii="宋体" w:hAnsi="宋体" w:cs="宋体" w:hint="eastAsia"/>
          <w:b/>
          <w:szCs w:val="21"/>
        </w:rPr>
      </w:pPr>
      <w:r>
        <w:rPr>
          <w:rFonts w:ascii="宋体" w:hAnsi="宋体" w:cs="宋体" w:hint="eastAsia"/>
          <w:b/>
          <w:szCs w:val="21"/>
        </w:rPr>
        <w:t>一、我单位已充分知悉“隐瞒真实情况，提供虚假资料”的法定情形，包括但不限于：</w:t>
      </w:r>
    </w:p>
    <w:p>
      <w:pPr>
        <w:spacing w:line="360" w:lineRule="auto"/>
        <w:ind w:firstLine="420" w:firstLineChars="200"/>
        <w:rPr>
          <w:rFonts w:ascii="宋体" w:hAnsi="宋体" w:cs="宋体" w:hint="eastAsia"/>
          <w:szCs w:val="21"/>
        </w:rPr>
      </w:pPr>
      <w:r>
        <w:rPr>
          <w:rFonts w:ascii="宋体" w:hAnsi="宋体" w:cs="宋体" w:hint="eastAsia"/>
          <w:szCs w:val="21"/>
        </w:rPr>
        <w:t>（一）通过转让或者租借等方式从其他单位获取资格或者资质证书投标的。</w:t>
      </w:r>
    </w:p>
    <w:p>
      <w:pPr>
        <w:spacing w:line="360" w:lineRule="auto"/>
        <w:ind w:firstLine="420" w:firstLineChars="200"/>
        <w:rPr>
          <w:rFonts w:ascii="宋体" w:hAnsi="宋体" w:cs="宋体" w:hint="eastAsia"/>
          <w:szCs w:val="21"/>
        </w:rPr>
      </w:pPr>
      <w:r>
        <w:rPr>
          <w:rFonts w:ascii="宋体" w:hAnsi="宋体" w:cs="宋体" w:hint="eastAsia"/>
          <w:szCs w:val="21"/>
        </w:rPr>
        <w:t>（二）由其他单位或者其他单位负责人在投标供应商编制的投标文件上加盖印章或者签字的。</w:t>
      </w:r>
    </w:p>
    <w:p>
      <w:pPr>
        <w:spacing w:line="360" w:lineRule="auto"/>
        <w:ind w:firstLine="420" w:firstLineChars="200"/>
        <w:rPr>
          <w:rFonts w:ascii="宋体" w:hAnsi="宋体" w:cs="宋体" w:hint="eastAsia"/>
          <w:szCs w:val="21"/>
        </w:rPr>
      </w:pPr>
      <w:r>
        <w:rPr>
          <w:rFonts w:ascii="宋体" w:hAnsi="宋体" w:cs="宋体" w:hint="eastAsia"/>
          <w:szCs w:val="21"/>
        </w:rPr>
        <w:t>（三）项目负责人或者主要技术人员不是本单位人员的。</w:t>
      </w:r>
    </w:p>
    <w:p>
      <w:pPr>
        <w:spacing w:line="360" w:lineRule="auto"/>
        <w:ind w:firstLine="420" w:firstLineChars="200"/>
        <w:rPr>
          <w:rFonts w:ascii="宋体" w:hAnsi="宋体" w:cs="宋体" w:hint="eastAsia"/>
          <w:szCs w:val="21"/>
        </w:rPr>
      </w:pPr>
      <w:r>
        <w:rPr>
          <w:rFonts w:ascii="宋体" w:hAnsi="宋体" w:cs="宋体" w:hint="eastAsia"/>
          <w:szCs w:val="21"/>
        </w:rPr>
        <w:t>（四）投标保证金不是从投标供应商基本账户转出的。</w:t>
      </w:r>
    </w:p>
    <w:p>
      <w:pPr>
        <w:spacing w:line="360" w:lineRule="auto"/>
        <w:ind w:firstLine="420" w:firstLineChars="200"/>
        <w:rPr>
          <w:rFonts w:ascii="宋体" w:hAnsi="宋体" w:cs="宋体" w:hint="eastAsia"/>
          <w:szCs w:val="21"/>
        </w:rPr>
      </w:pPr>
      <w:r>
        <w:rPr>
          <w:rFonts w:ascii="宋体" w:hAnsi="宋体" w:cs="宋体" w:hint="eastAsia"/>
          <w:szCs w:val="21"/>
        </w:rPr>
        <w:t>（五）其他隐瞒真实情况、提供虚假资料的行为。</w:t>
      </w:r>
    </w:p>
    <w:p>
      <w:pPr>
        <w:spacing w:line="360" w:lineRule="auto"/>
        <w:ind w:firstLine="420" w:firstLineChars="200"/>
        <w:rPr>
          <w:rFonts w:ascii="宋体" w:hAnsi="宋体" w:cs="宋体" w:hint="eastAsia"/>
          <w:b/>
          <w:szCs w:val="21"/>
        </w:rPr>
      </w:pPr>
      <w:r>
        <w:rPr>
          <w:rFonts w:ascii="宋体" w:hAnsi="宋体" w:cs="宋体" w:hint="eastAsia"/>
          <w:b/>
          <w:szCs w:val="21"/>
        </w:rPr>
        <w:t>二、我单位已充分知悉“与其他采购参加人串通投标”的法定情形，包括但不限于：</w:t>
      </w:r>
    </w:p>
    <w:p>
      <w:pPr>
        <w:spacing w:line="360" w:lineRule="auto"/>
        <w:ind w:firstLine="420" w:firstLineChars="200"/>
        <w:rPr>
          <w:rFonts w:ascii="宋体" w:hAnsi="宋体" w:cs="宋体" w:hint="eastAsia"/>
          <w:szCs w:val="21"/>
        </w:rPr>
      </w:pPr>
      <w:r>
        <w:rPr>
          <w:rFonts w:ascii="宋体" w:hAnsi="宋体" w:cs="宋体" w:hint="eastAsia"/>
          <w:szCs w:val="21"/>
        </w:rPr>
        <w:t>（一）投标供应商之间相互约定给予未中标的供应商利益补偿。</w:t>
      </w:r>
    </w:p>
    <w:p>
      <w:pPr>
        <w:spacing w:line="360" w:lineRule="auto"/>
        <w:ind w:firstLine="420" w:firstLineChars="200"/>
        <w:rPr>
          <w:rFonts w:ascii="宋体" w:hAnsi="宋体" w:cs="宋体" w:hint="eastAsia"/>
          <w:szCs w:val="21"/>
        </w:rPr>
      </w:pPr>
      <w:r>
        <w:rPr>
          <w:rFonts w:ascii="宋体" w:hAnsi="宋体" w:cs="宋体" w:hint="eastAsia"/>
          <w:szCs w:val="21"/>
        </w:rPr>
        <w:t>（二）不同投标供应商的法定代表人、主要经营负责人、项目投标授权代表人、项目负责人、主要技术人员为同一人、属同一单位或者在同一单位缴纳社会保险。</w:t>
      </w:r>
    </w:p>
    <w:p>
      <w:pPr>
        <w:spacing w:line="360" w:lineRule="auto"/>
        <w:ind w:firstLine="420" w:firstLineChars="200"/>
        <w:rPr>
          <w:rFonts w:ascii="宋体" w:hAnsi="宋体" w:cs="宋体" w:hint="eastAsia"/>
          <w:szCs w:val="21"/>
        </w:rPr>
      </w:pPr>
      <w:r>
        <w:rPr>
          <w:rFonts w:ascii="宋体" w:hAnsi="宋体" w:cs="宋体" w:hint="eastAsia"/>
          <w:szCs w:val="21"/>
        </w:rPr>
        <w:t>（三）不同投标供应商的投标文件由同一单位或者同一人编制，或者由同一人分阶段参与编制的。</w:t>
      </w:r>
    </w:p>
    <w:p>
      <w:pPr>
        <w:spacing w:line="360" w:lineRule="auto"/>
        <w:ind w:firstLine="420" w:firstLineChars="200"/>
        <w:rPr>
          <w:rFonts w:ascii="宋体" w:hAnsi="宋体" w:cs="宋体" w:hint="eastAsia"/>
          <w:szCs w:val="21"/>
        </w:rPr>
      </w:pPr>
      <w:r>
        <w:rPr>
          <w:rFonts w:ascii="宋体" w:hAnsi="宋体" w:cs="宋体" w:hint="eastAsia"/>
          <w:szCs w:val="21"/>
        </w:rPr>
        <w:t>（四）不同投标供应商的投标文件或部分投标文件相互混装。</w:t>
      </w:r>
    </w:p>
    <w:p>
      <w:pPr>
        <w:spacing w:line="360" w:lineRule="auto"/>
        <w:ind w:firstLine="420" w:firstLineChars="200"/>
        <w:rPr>
          <w:rFonts w:ascii="宋体" w:hAnsi="宋体" w:cs="宋体" w:hint="eastAsia"/>
          <w:szCs w:val="21"/>
        </w:rPr>
      </w:pPr>
      <w:r>
        <w:rPr>
          <w:rFonts w:ascii="宋体" w:hAnsi="宋体" w:cs="宋体" w:hint="eastAsia"/>
          <w:szCs w:val="21"/>
        </w:rPr>
        <w:t>（五）不同投标供应商的投标文件内容存在非正常一致。</w:t>
      </w:r>
    </w:p>
    <w:p>
      <w:pPr>
        <w:spacing w:line="360" w:lineRule="auto"/>
        <w:ind w:firstLine="420" w:firstLineChars="200"/>
        <w:rPr>
          <w:rFonts w:ascii="宋体" w:hAnsi="宋体" w:cs="宋体" w:hint="eastAsia"/>
          <w:szCs w:val="21"/>
        </w:rPr>
      </w:pPr>
      <w:r>
        <w:rPr>
          <w:rFonts w:ascii="宋体" w:hAnsi="宋体" w:cs="宋体" w:hint="eastAsia"/>
          <w:szCs w:val="21"/>
        </w:rPr>
        <w:t>（六）由同一单位工作人员为两家以上（含两家）供应商进行同一项投标活动的。</w:t>
      </w:r>
    </w:p>
    <w:p>
      <w:pPr>
        <w:spacing w:line="360" w:lineRule="auto"/>
        <w:ind w:firstLine="420" w:firstLineChars="200"/>
        <w:rPr>
          <w:rFonts w:ascii="宋体" w:hAnsi="宋体" w:cs="宋体" w:hint="eastAsia"/>
          <w:szCs w:val="21"/>
        </w:rPr>
      </w:pPr>
      <w:r>
        <w:rPr>
          <w:rFonts w:ascii="宋体" w:hAnsi="宋体" w:cs="宋体" w:hint="eastAsia"/>
          <w:szCs w:val="21"/>
        </w:rPr>
        <w:t>（七）不同投标人的投标报价呈规律性差异。</w:t>
      </w:r>
    </w:p>
    <w:p>
      <w:pPr>
        <w:spacing w:line="360" w:lineRule="auto"/>
        <w:ind w:firstLine="420" w:firstLineChars="200"/>
        <w:rPr>
          <w:rFonts w:ascii="宋体" w:hAnsi="宋体" w:cs="宋体" w:hint="eastAsia"/>
          <w:szCs w:val="21"/>
        </w:rPr>
      </w:pPr>
      <w:r>
        <w:rPr>
          <w:rFonts w:ascii="宋体" w:hAnsi="宋体" w:cs="宋体" w:hint="eastAsia"/>
          <w:szCs w:val="21"/>
        </w:rPr>
        <w:t>（八）不同投标人的投标保证金从同一单位或者个人的账户转出。</w:t>
      </w:r>
    </w:p>
    <w:p>
      <w:pPr>
        <w:spacing w:line="360" w:lineRule="auto"/>
        <w:ind w:firstLine="420" w:firstLineChars="200"/>
        <w:rPr>
          <w:rFonts w:ascii="宋体" w:hAnsi="宋体" w:cs="宋体" w:hint="eastAsia"/>
          <w:szCs w:val="21"/>
        </w:rPr>
      </w:pPr>
      <w:r>
        <w:rPr>
          <w:rFonts w:ascii="宋体" w:hAnsi="宋体" w:cs="宋体" w:hint="eastAsia"/>
          <w:szCs w:val="21"/>
        </w:rPr>
        <w:t>（九）主管部门依照法律、法规认定的其他情形。</w:t>
      </w:r>
    </w:p>
    <w:p>
      <w:pPr>
        <w:spacing w:line="360" w:lineRule="auto"/>
        <w:ind w:firstLine="420" w:firstLineChars="200"/>
        <w:rPr>
          <w:rFonts w:ascii="宋体" w:hAnsi="宋体" w:cs="宋体" w:hint="eastAsia"/>
          <w:b/>
          <w:szCs w:val="21"/>
        </w:rPr>
      </w:pPr>
      <w:r>
        <w:rPr>
          <w:rFonts w:ascii="宋体" w:hAnsi="宋体" w:cs="宋体" w:hint="eastAsia"/>
          <w:b/>
          <w:szCs w:val="21"/>
        </w:rPr>
        <w:t>三、我单位已充分知悉下列情形存在法律风险，在投标前已对相关风险事项进行排查。</w:t>
      </w:r>
    </w:p>
    <w:p>
      <w:pPr>
        <w:spacing w:line="360" w:lineRule="auto"/>
        <w:ind w:firstLine="420" w:firstLineChars="200"/>
        <w:rPr>
          <w:rFonts w:ascii="宋体" w:hAnsi="宋体" w:cs="宋体" w:hint="eastAsia"/>
          <w:b/>
          <w:szCs w:val="21"/>
        </w:rPr>
      </w:pPr>
      <w:r>
        <w:rPr>
          <w:rFonts w:ascii="宋体" w:hAnsi="宋体" w:cs="宋体" w:hint="eastAsia"/>
          <w:szCs w:val="21"/>
        </w:rPr>
        <w:t>（一）对于从其他主体获取的投标资料，我单位应审慎核查，确保其真实性。</w:t>
      </w:r>
      <w:r>
        <w:rPr>
          <w:rFonts w:ascii="宋体" w:hAnsi="宋体" w:cs="宋体" w:hint="eastAsia"/>
          <w:b/>
          <w:szCs w:val="21"/>
        </w:rPr>
        <w:t>如主管部门查实投标文件中存在虚假资料的，无论相关资料是否由第三方或本公司员工提供，均不影响主管部门对供应商存在“隐瞒真实情况，提供虚假资料”违法行为的认定。</w:t>
      </w:r>
    </w:p>
    <w:p>
      <w:pPr>
        <w:spacing w:line="360" w:lineRule="auto"/>
        <w:ind w:firstLine="420" w:firstLineChars="200"/>
        <w:rPr>
          <w:rFonts w:ascii="宋体" w:hAnsi="宋体" w:cs="宋体" w:hint="eastAsia"/>
          <w:szCs w:val="21"/>
        </w:rPr>
      </w:pPr>
      <w:r>
        <w:rPr>
          <w:rFonts w:ascii="宋体" w:hAnsi="宋体" w:cs="宋体" w:hint="eastAsia"/>
          <w:szCs w:val="21"/>
        </w:rPr>
        <w:t>（二）对于涉及国家机关出具的公文、证件、证明材料等文件，一旦涉嫌虚假，经查实，主管部门将依法从严处理，并移送有关部门追究法律责任；涉嫌犯罪的，移送司法机关处理。</w:t>
      </w:r>
    </w:p>
    <w:p>
      <w:pPr>
        <w:spacing w:line="360" w:lineRule="auto"/>
        <w:ind w:firstLine="420" w:firstLineChars="200"/>
        <w:rPr>
          <w:rFonts w:ascii="宋体" w:hAnsi="宋体" w:cs="宋体" w:hint="eastAsia"/>
          <w:szCs w:val="21"/>
        </w:rPr>
      </w:pPr>
      <w:r>
        <w:rPr>
          <w:rFonts w:ascii="宋体" w:hAnsi="宋体" w:cs="宋体" w:hint="eastAsia"/>
          <w:szCs w:val="21"/>
        </w:rPr>
        <w:t>（三）我单位对投标电子密钥或电子营业执照负有妥善保管、及时变更和续期等主体责任；使用电子密钥或电子营业执照在深圳政府采购网站进行的活动，均具有法律效力，须承担相应的法律后果。若</w:t>
      </w:r>
      <w:r>
        <w:rPr>
          <w:rFonts w:ascii="宋体" w:hAnsi="宋体" w:cs="宋体" w:hint="eastAsia"/>
          <w:b/>
          <w:bCs/>
          <w:szCs w:val="21"/>
        </w:rPr>
        <w:t>擅自将投标密钥或电子营业执照出借他人使用所造成的法律后果，由我单位自行承担</w:t>
      </w:r>
      <w:r>
        <w:rPr>
          <w:rFonts w:ascii="宋体" w:hAnsi="宋体" w:cs="宋体" w:hint="eastAsia"/>
          <w:szCs w:val="21"/>
        </w:rPr>
        <w:t>。</w:t>
      </w:r>
    </w:p>
    <w:p>
      <w:pPr>
        <w:spacing w:line="360" w:lineRule="auto"/>
        <w:ind w:firstLine="420" w:firstLineChars="200"/>
        <w:rPr>
          <w:rFonts w:ascii="宋体" w:hAnsi="宋体" w:cs="宋体" w:hint="eastAsia"/>
          <w:b/>
          <w:szCs w:val="21"/>
        </w:rPr>
      </w:pPr>
      <w:r>
        <w:rPr>
          <w:rFonts w:ascii="宋体" w:hAnsi="宋体" w:cs="宋体" w:hint="eastAsia"/>
          <w:b/>
          <w:szCs w:val="21"/>
        </w:rPr>
        <w:t>四、我单位已充分知悉政府采购违法、违规行为的法律后果。</w:t>
      </w:r>
    </w:p>
    <w:p>
      <w:pPr>
        <w:spacing w:line="360" w:lineRule="auto"/>
        <w:ind w:firstLine="420" w:firstLineChars="200"/>
        <w:rPr>
          <w:rFonts w:ascii="宋体" w:hAnsi="宋体" w:cs="宋体" w:hint="eastAsia"/>
          <w:szCs w:val="21"/>
        </w:rPr>
      </w:pPr>
      <w:r>
        <w:rPr>
          <w:rFonts w:ascii="宋体" w:hAnsi="宋体" w:cs="宋体" w:hint="eastAsia"/>
          <w:szCs w:val="21"/>
        </w:rPr>
        <w:t>经查实，若我单位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pPr>
        <w:spacing w:line="360" w:lineRule="auto"/>
        <w:ind w:firstLine="420" w:firstLineChars="200"/>
        <w:rPr>
          <w:rFonts w:ascii="宋体" w:hAnsi="宋体" w:cs="宋体" w:hint="eastAsia"/>
          <w:szCs w:val="21"/>
        </w:rPr>
      </w:pPr>
      <w:r>
        <w:rPr>
          <w:rFonts w:ascii="宋体" w:hAnsi="宋体" w:cs="宋体" w:hint="eastAsia"/>
          <w:szCs w:val="21"/>
        </w:rPr>
        <w:t>以下文字请投标供应商抄写并确认：“我单位已仔细阅读《政府采购违法行为风险知悉确认书》，充分知悉违法行为的法律后果，并承诺将严谨、诚信、依法依规参与政府采购活动”。</w:t>
      </w:r>
    </w:p>
    <w:tbl>
      <w:tblPr>
        <w:tblStyle w:val="TableNormal"/>
        <w:tblW w:w="9184" w:type="dxa"/>
        <w:jc w:val="center"/>
        <w:tblBorders>
          <w:top w:val="nil"/>
          <w:left w:val="nil"/>
          <w:bottom w:val="single" w:sz="4" w:space="0" w:color="auto"/>
          <w:right w:val="nil"/>
          <w:insideH w:val="nil"/>
          <w:insideV w:val="nil"/>
        </w:tblBorders>
        <w:tblLayout w:type="fixed"/>
        <w:tblCellMar>
          <w:top w:w="0" w:type="dxa"/>
          <w:left w:w="108" w:type="dxa"/>
          <w:bottom w:w="0" w:type="dxa"/>
          <w:right w:w="108" w:type="dxa"/>
        </w:tblCellMar>
      </w:tblPr>
      <w:tblGrid>
        <w:gridCol w:w="9184"/>
      </w:tblGrid>
      <w:tr>
        <w:tblPrEx>
          <w:tblW w:w="9184" w:type="dxa"/>
          <w:jc w:val="center"/>
          <w:tblBorders>
            <w:top w:val="nil"/>
            <w:left w:val="nil"/>
            <w:bottom w:val="single" w:sz="4" w:space="0" w:color="auto"/>
            <w:right w:val="nil"/>
            <w:insideH w:val="nil"/>
            <w:insideV w:val="nil"/>
          </w:tblBorders>
          <w:tblLayout w:type="fixed"/>
          <w:tblCellMar>
            <w:top w:w="0" w:type="dxa"/>
            <w:left w:w="108" w:type="dxa"/>
            <w:bottom w:w="0" w:type="dxa"/>
            <w:right w:w="108" w:type="dxa"/>
          </w:tblCellMar>
        </w:tblPrEx>
        <w:trPr>
          <w:trHeight w:val="304"/>
          <w:jc w:val="center"/>
        </w:trPr>
        <w:tc>
          <w:tcPr>
            <w:tcW w:w="9184" w:type="dxa"/>
            <w:tcBorders>
              <w:top w:val="nil"/>
              <w:left w:val="nil"/>
              <w:bottom w:val="single" w:sz="8" w:space="0" w:color="000000"/>
              <w:right w:val="nil"/>
            </w:tcBorders>
            <w:noWrap w:val="0"/>
            <w:vAlign w:val="top"/>
          </w:tcPr>
          <w:p>
            <w:pPr>
              <w:keepNext w:val="0"/>
              <w:keepLines w:val="0"/>
              <w:suppressLineNumbers w:val="0"/>
              <w:autoSpaceDE w:val="0"/>
              <w:autoSpaceDN w:val="0"/>
              <w:spacing w:before="0" w:beforeAutospacing="0" w:after="0" w:afterAutospacing="0" w:line="360" w:lineRule="auto"/>
              <w:ind w:left="0" w:right="0" w:firstLine="1866"/>
              <w:rPr>
                <w:rFonts w:ascii="宋体" w:eastAsia="宋体" w:hAnsi="宋体" w:cs="宋体" w:hint="eastAsia"/>
                <w:spacing w:val="-4"/>
                <w:kern w:val="0"/>
                <w:szCs w:val="21"/>
              </w:rPr>
            </w:pPr>
          </w:p>
        </w:tc>
      </w:tr>
      <w:tr>
        <w:tblPrEx>
          <w:tblW w:w="9184" w:type="dxa"/>
          <w:jc w:val="center"/>
          <w:tblLayout w:type="fixed"/>
          <w:tblCellMar>
            <w:top w:w="0" w:type="dxa"/>
            <w:left w:w="108" w:type="dxa"/>
            <w:bottom w:w="0" w:type="dxa"/>
            <w:right w:w="108" w:type="dxa"/>
          </w:tblCellMar>
        </w:tblPrEx>
        <w:trPr>
          <w:jc w:val="center"/>
        </w:trPr>
        <w:tc>
          <w:tcPr>
            <w:tcW w:w="9184" w:type="dxa"/>
            <w:tcBorders>
              <w:top w:val="single" w:sz="8" w:space="0" w:color="000000"/>
              <w:left w:val="nil"/>
              <w:bottom w:val="single" w:sz="8" w:space="0" w:color="000000"/>
              <w:right w:val="nil"/>
            </w:tcBorders>
            <w:noWrap w:val="0"/>
            <w:vAlign w:val="top"/>
          </w:tcPr>
          <w:p>
            <w:pPr>
              <w:keepNext w:val="0"/>
              <w:keepLines w:val="0"/>
              <w:suppressLineNumbers w:val="0"/>
              <w:autoSpaceDE w:val="0"/>
              <w:autoSpaceDN w:val="0"/>
              <w:spacing w:before="0" w:beforeAutospacing="0" w:after="0" w:afterAutospacing="0" w:line="360" w:lineRule="auto"/>
              <w:ind w:left="0" w:right="0" w:firstLine="1866"/>
              <w:rPr>
                <w:rFonts w:ascii="宋体" w:eastAsia="宋体" w:hAnsi="宋体" w:cs="宋体" w:hint="eastAsia"/>
                <w:spacing w:val="-4"/>
                <w:kern w:val="0"/>
                <w:szCs w:val="21"/>
              </w:rPr>
            </w:pPr>
          </w:p>
        </w:tc>
      </w:tr>
      <w:tr>
        <w:tblPrEx>
          <w:tblW w:w="9184" w:type="dxa"/>
          <w:jc w:val="center"/>
          <w:tblLayout w:type="fixed"/>
          <w:tblCellMar>
            <w:top w:w="0" w:type="dxa"/>
            <w:left w:w="108" w:type="dxa"/>
            <w:bottom w:w="0" w:type="dxa"/>
            <w:right w:w="108" w:type="dxa"/>
          </w:tblCellMar>
        </w:tblPrEx>
        <w:trPr>
          <w:jc w:val="center"/>
        </w:trPr>
        <w:tc>
          <w:tcPr>
            <w:tcW w:w="9184" w:type="dxa"/>
            <w:tcBorders>
              <w:top w:val="single" w:sz="8" w:space="0" w:color="000000"/>
              <w:left w:val="nil"/>
              <w:bottom w:val="single" w:sz="8" w:space="0" w:color="000000"/>
              <w:right w:val="nil"/>
            </w:tcBorders>
            <w:noWrap w:val="0"/>
            <w:vAlign w:val="top"/>
          </w:tcPr>
          <w:p>
            <w:pPr>
              <w:keepNext w:val="0"/>
              <w:keepLines w:val="0"/>
              <w:suppressLineNumbers w:val="0"/>
              <w:autoSpaceDE w:val="0"/>
              <w:autoSpaceDN w:val="0"/>
              <w:spacing w:before="0" w:beforeAutospacing="0" w:after="0" w:afterAutospacing="0" w:line="360" w:lineRule="auto"/>
              <w:ind w:left="0" w:right="0" w:firstLine="1866"/>
              <w:rPr>
                <w:rFonts w:ascii="宋体" w:eastAsia="宋体" w:hAnsi="宋体" w:cs="宋体" w:hint="eastAsia"/>
                <w:spacing w:val="-4"/>
                <w:kern w:val="0"/>
                <w:szCs w:val="21"/>
              </w:rPr>
            </w:pPr>
          </w:p>
        </w:tc>
      </w:tr>
      <w:tr>
        <w:tblPrEx>
          <w:tblW w:w="9184" w:type="dxa"/>
          <w:jc w:val="center"/>
          <w:tblLayout w:type="fixed"/>
          <w:tblCellMar>
            <w:top w:w="0" w:type="dxa"/>
            <w:left w:w="108" w:type="dxa"/>
            <w:bottom w:w="0" w:type="dxa"/>
            <w:right w:w="108" w:type="dxa"/>
          </w:tblCellMar>
        </w:tblPrEx>
        <w:trPr>
          <w:jc w:val="center"/>
        </w:trPr>
        <w:tc>
          <w:tcPr>
            <w:tcW w:w="9184" w:type="dxa"/>
            <w:tcBorders>
              <w:top w:val="single" w:sz="8" w:space="0" w:color="000000"/>
              <w:left w:val="nil"/>
              <w:bottom w:val="single" w:sz="8" w:space="0" w:color="auto"/>
              <w:right w:val="nil"/>
            </w:tcBorders>
            <w:noWrap w:val="0"/>
            <w:vAlign w:val="top"/>
          </w:tcPr>
          <w:p>
            <w:pPr>
              <w:keepNext w:val="0"/>
              <w:keepLines w:val="0"/>
              <w:suppressLineNumbers w:val="0"/>
              <w:autoSpaceDE w:val="0"/>
              <w:autoSpaceDN w:val="0"/>
              <w:spacing w:before="0" w:beforeAutospacing="0" w:after="0" w:afterAutospacing="0" w:line="360" w:lineRule="auto"/>
              <w:ind w:left="0" w:right="0" w:firstLine="1866"/>
              <w:rPr>
                <w:rFonts w:ascii="宋体" w:eastAsia="宋体" w:hAnsi="宋体" w:cs="宋体" w:hint="eastAsia"/>
                <w:spacing w:val="-4"/>
                <w:kern w:val="0"/>
                <w:szCs w:val="21"/>
              </w:rPr>
            </w:pPr>
          </w:p>
        </w:tc>
      </w:tr>
    </w:tbl>
    <w:p>
      <w:pPr>
        <w:widowControl/>
        <w:wordWrap w:val="0"/>
        <w:autoSpaceDE w:val="0"/>
        <w:autoSpaceDN w:val="0"/>
        <w:spacing w:line="360" w:lineRule="auto"/>
        <w:ind w:right="808" w:firstLine="420" w:firstLineChars="200"/>
        <w:jc w:val="right"/>
        <w:rPr>
          <w:rFonts w:ascii="宋体" w:hAnsi="宋体" w:cs="宋体" w:hint="eastAsia"/>
          <w:spacing w:val="-4"/>
          <w:kern w:val="0"/>
          <w:szCs w:val="21"/>
        </w:rPr>
      </w:pPr>
    </w:p>
    <w:p>
      <w:pPr>
        <w:widowControl/>
        <w:wordWrap w:val="0"/>
        <w:autoSpaceDE w:val="0"/>
        <w:autoSpaceDN w:val="0"/>
        <w:spacing w:line="360" w:lineRule="auto"/>
        <w:ind w:right="808" w:firstLine="420" w:firstLineChars="200"/>
        <w:jc w:val="right"/>
        <w:rPr>
          <w:rFonts w:ascii="宋体" w:hAnsi="宋体" w:cs="宋体" w:hint="eastAsia"/>
          <w:b/>
          <w:bCs/>
          <w:spacing w:val="-4"/>
          <w:kern w:val="0"/>
          <w:szCs w:val="21"/>
          <w:u w:val="single"/>
        </w:rPr>
      </w:pPr>
      <w:r>
        <w:rPr>
          <w:rFonts w:ascii="宋体" w:hAnsi="宋体" w:cs="宋体" w:hint="eastAsia"/>
          <w:b/>
          <w:bCs/>
          <w:spacing w:val="-4"/>
          <w:kern w:val="0"/>
          <w:szCs w:val="21"/>
        </w:rPr>
        <w:t>单位负责人或授权委托人签名或签章：</w:t>
      </w:r>
      <w:r>
        <w:rPr>
          <w:rFonts w:ascii="宋体" w:hAnsi="宋体" w:cs="宋体" w:hint="eastAsia"/>
          <w:b/>
          <w:bCs/>
          <w:spacing w:val="-4"/>
          <w:kern w:val="0"/>
          <w:szCs w:val="21"/>
          <w:u w:val="single"/>
        </w:rPr>
        <w:t xml:space="preserve">              </w:t>
      </w:r>
    </w:p>
    <w:p>
      <w:pPr>
        <w:widowControl/>
        <w:wordWrap w:val="0"/>
        <w:autoSpaceDE w:val="0"/>
        <w:autoSpaceDN w:val="0"/>
        <w:spacing w:line="360" w:lineRule="auto"/>
        <w:ind w:right="808" w:firstLine="420" w:firstLineChars="200"/>
        <w:jc w:val="center"/>
        <w:rPr>
          <w:rFonts w:ascii="宋体" w:hAnsi="宋体" w:cs="宋体" w:hint="eastAsia"/>
          <w:b/>
          <w:bCs/>
          <w:spacing w:val="-4"/>
          <w:kern w:val="0"/>
          <w:szCs w:val="21"/>
          <w:u w:val="single"/>
        </w:rPr>
      </w:pPr>
      <w:r>
        <w:rPr>
          <w:rFonts w:ascii="宋体" w:hAnsi="宋体" w:cs="宋体" w:hint="eastAsia"/>
          <w:b/>
          <w:bCs/>
          <w:spacing w:val="-4"/>
          <w:kern w:val="0"/>
          <w:szCs w:val="21"/>
        </w:rPr>
        <w:t xml:space="preserve">                                 投标人：               （加盖公章）</w:t>
      </w:r>
    </w:p>
    <w:p>
      <w:pPr>
        <w:widowControl/>
        <w:wordWrap w:val="0"/>
        <w:autoSpaceDE w:val="0"/>
        <w:autoSpaceDN w:val="0"/>
        <w:spacing w:line="360" w:lineRule="auto"/>
        <w:ind w:right="808" w:firstLine="420" w:firstLineChars="200"/>
        <w:jc w:val="right"/>
        <w:rPr>
          <w:rFonts w:ascii="宋体" w:hAnsi="宋体" w:cs="宋体" w:hint="eastAsia"/>
          <w:b/>
          <w:bCs/>
          <w:spacing w:val="-4"/>
          <w:kern w:val="0"/>
          <w:szCs w:val="21"/>
          <w:u w:val="single"/>
        </w:rPr>
      </w:pPr>
      <w:r>
        <w:rPr>
          <w:rFonts w:ascii="宋体" w:hAnsi="宋体" w:cs="宋体" w:hint="eastAsia"/>
          <w:b/>
          <w:bCs/>
          <w:spacing w:val="-4"/>
          <w:kern w:val="0"/>
          <w:szCs w:val="21"/>
        </w:rPr>
        <w:t xml:space="preserve">     日期：</w:t>
      </w:r>
      <w:r>
        <w:rPr>
          <w:rFonts w:ascii="宋体" w:hAnsi="宋体" w:cs="宋体" w:hint="eastAsia"/>
          <w:b/>
          <w:bCs/>
          <w:spacing w:val="-4"/>
          <w:kern w:val="0"/>
          <w:szCs w:val="21"/>
          <w:u w:val="single"/>
        </w:rPr>
        <w:t xml:space="preserve">              </w:t>
      </w:r>
    </w:p>
    <w:p>
      <w:pPr>
        <w:snapToGrid w:val="0"/>
        <w:spacing w:before="100" w:beforeAutospacing="1" w:after="100" w:afterAutospacing="1" w:line="360" w:lineRule="exact"/>
        <w:jc w:val="center"/>
        <w:outlineLvl w:val="2"/>
        <w:rPr>
          <w:rFonts w:ascii="Arial" w:eastAsia="黑体" w:hAnsi="Arial" w:hint="eastAsia"/>
          <w:b/>
          <w:bCs/>
          <w:sz w:val="32"/>
          <w:szCs w:val="32"/>
        </w:rPr>
      </w:pPr>
      <w:r>
        <w:rPr>
          <w:rFonts w:ascii="黑体" w:hAnsi="黑体"/>
        </w:rPr>
        <w:br w:type="page"/>
      </w:r>
      <w:bookmarkStart w:id="464" w:name="_Toc24071"/>
      <w:bookmarkStart w:id="465" w:name="_Toc28524"/>
      <w:bookmarkStart w:id="466" w:name="_Toc4416"/>
      <w:bookmarkStart w:id="467" w:name="_Toc22355"/>
      <w:bookmarkStart w:id="468" w:name="_Toc6214"/>
      <w:bookmarkStart w:id="469" w:name="_Toc256000049"/>
      <w:r>
        <w:rPr>
          <w:rFonts w:ascii="Arial" w:eastAsia="黑体" w:hAnsi="Arial" w:hint="eastAsia"/>
          <w:sz w:val="32"/>
          <w:szCs w:val="32"/>
        </w:rPr>
        <w:t>七、知识产权合规性承诺</w:t>
      </w:r>
      <w:bookmarkEnd w:id="469"/>
      <w:bookmarkEnd w:id="464"/>
      <w:bookmarkEnd w:id="465"/>
      <w:bookmarkEnd w:id="466"/>
      <w:bookmarkEnd w:id="467"/>
      <w:bookmarkEnd w:id="468"/>
    </w:p>
    <w:p>
      <w:pPr>
        <w:spacing w:line="560" w:lineRule="exact"/>
        <w:ind w:firstLine="399" w:firstLineChars="190"/>
        <w:rPr>
          <w:rFonts w:ascii="宋体" w:hAnsi="宋体" w:cs="宋体" w:hint="eastAsia"/>
          <w:sz w:val="28"/>
          <w:szCs w:val="28"/>
        </w:rPr>
      </w:pPr>
      <w:r>
        <w:rPr>
          <w:rFonts w:ascii="宋体" w:hAnsi="宋体" w:cs="宋体" w:hint="eastAsia"/>
          <w:sz w:val="28"/>
          <w:szCs w:val="28"/>
        </w:rPr>
        <w:t>本单位（人）自愿参加（     ）单位（     ） 活动（项目）。按照《深圳经济特区知识产权保护条例》第五十三条等规定和活动组织方发布的有关文件要求，本单位（人）郑重承诺：</w:t>
      </w:r>
    </w:p>
    <w:p>
      <w:pPr>
        <w:spacing w:line="560" w:lineRule="exact"/>
        <w:ind w:firstLine="399" w:firstLineChars="190"/>
        <w:rPr>
          <w:rFonts w:ascii="宋体" w:hAnsi="宋体" w:cs="宋体" w:hint="eastAsia"/>
          <w:sz w:val="28"/>
          <w:szCs w:val="28"/>
        </w:rPr>
      </w:pPr>
      <w:r>
        <w:rPr>
          <w:rFonts w:ascii="宋体" w:hAnsi="宋体" w:cs="宋体" w:hint="eastAsia"/>
          <w:sz w:val="28"/>
          <w:szCs w:val="28"/>
        </w:rPr>
        <w:t>本单位（人）所申报的项目（所提供的货物或服务）未侵犯他人知识产权，并承诺在实施本项目时不侵犯他人知识产权（具体如下：    ）。</w:t>
      </w:r>
    </w:p>
    <w:p>
      <w:pPr>
        <w:spacing w:line="560" w:lineRule="exact"/>
        <w:ind w:firstLine="399" w:firstLineChars="190"/>
        <w:rPr>
          <w:rFonts w:ascii="宋体" w:hAnsi="宋体" w:cs="宋体" w:hint="eastAsia"/>
          <w:sz w:val="28"/>
          <w:szCs w:val="28"/>
        </w:rPr>
      </w:pPr>
      <w:r>
        <w:rPr>
          <w:rFonts w:ascii="宋体" w:hAnsi="宋体" w:cs="宋体" w:hint="eastAsia"/>
          <w:sz w:val="28"/>
          <w:szCs w:val="28"/>
        </w:rPr>
        <w:t>若违反承诺，本单位（人）将依法承担相应的刑事、行政和民事责任（优先选择和解、调解、行政裁决、仲裁等方式解决知识产权纠纷），并根据与 （    ）单位签订的协议承担违约责任（或直接依据本承诺书承担责任）。</w:t>
      </w:r>
    </w:p>
    <w:p>
      <w:pPr>
        <w:spacing w:line="560" w:lineRule="exact"/>
        <w:ind w:firstLine="399" w:firstLineChars="190"/>
        <w:jc w:val="right"/>
        <w:rPr>
          <w:rFonts w:ascii="宋体" w:hAnsi="宋体" w:cs="宋体" w:hint="eastAsia"/>
          <w:sz w:val="28"/>
          <w:szCs w:val="28"/>
        </w:rPr>
      </w:pPr>
      <w:r>
        <w:rPr>
          <w:rFonts w:ascii="宋体" w:hAnsi="宋体" w:cs="宋体" w:hint="eastAsia"/>
          <w:sz w:val="28"/>
          <w:szCs w:val="28"/>
        </w:rPr>
        <w:t xml:space="preserve">           </w:t>
      </w:r>
    </w:p>
    <w:p>
      <w:pPr>
        <w:wordWrap w:val="0"/>
        <w:spacing w:line="560" w:lineRule="exact"/>
        <w:ind w:firstLine="399" w:firstLineChars="190"/>
        <w:jc w:val="right"/>
        <w:rPr>
          <w:rFonts w:ascii="宋体" w:hAnsi="宋体" w:cs="宋体" w:hint="eastAsia"/>
          <w:sz w:val="28"/>
          <w:szCs w:val="28"/>
        </w:rPr>
      </w:pPr>
      <w:r>
        <w:rPr>
          <w:rFonts w:ascii="宋体" w:hAnsi="宋体" w:cs="宋体" w:hint="eastAsia"/>
          <w:sz w:val="28"/>
          <w:szCs w:val="28"/>
        </w:rPr>
        <w:t xml:space="preserve">承诺单位（人）：       </w:t>
      </w:r>
    </w:p>
    <w:p>
      <w:pPr>
        <w:spacing w:line="560" w:lineRule="exact"/>
        <w:ind w:firstLine="399" w:firstLineChars="190"/>
        <w:jc w:val="right"/>
        <w:rPr>
          <w:rFonts w:ascii="宋体" w:hAnsi="宋体" w:cs="宋体" w:hint="eastAsia"/>
          <w:sz w:val="28"/>
          <w:szCs w:val="28"/>
        </w:rPr>
      </w:pPr>
    </w:p>
    <w:p>
      <w:pPr>
        <w:wordWrap w:val="0"/>
        <w:spacing w:line="560" w:lineRule="exact"/>
        <w:ind w:firstLine="399" w:firstLineChars="190"/>
        <w:jc w:val="right"/>
        <w:rPr>
          <w:rFonts w:ascii="仿宋_GB2312" w:eastAsia="仿宋_GB2312" w:hAnsi="仿宋_GB2312" w:cs="仿宋_GB2312"/>
          <w:sz w:val="32"/>
          <w:szCs w:val="32"/>
        </w:rPr>
      </w:pPr>
      <w:r>
        <w:rPr>
          <w:rFonts w:ascii="宋体" w:hAnsi="宋体" w:cs="宋体" w:hint="eastAsia"/>
          <w:sz w:val="28"/>
          <w:szCs w:val="28"/>
        </w:rPr>
        <w:t xml:space="preserve"> 单位法定代表人（负责人）或授权委托人： </w:t>
      </w:r>
      <w:r>
        <w:rPr>
          <w:rFonts w:ascii="仿宋_GB2312" w:eastAsia="仿宋_GB2312" w:hAnsi="仿宋_GB2312" w:cs="仿宋_GB2312" w:hint="eastAsia"/>
          <w:sz w:val="32"/>
          <w:szCs w:val="32"/>
        </w:rPr>
        <w:t xml:space="preserve">     </w:t>
      </w:r>
    </w:p>
    <w:p>
      <w:pPr>
        <w:wordWrap w:val="0"/>
        <w:spacing w:line="560" w:lineRule="exact"/>
        <w:ind w:firstLine="399" w:firstLineChars="190"/>
        <w:jc w:val="righ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w:t>
      </w:r>
    </w:p>
    <w:p>
      <w:pPr>
        <w:spacing w:line="560" w:lineRule="exact"/>
        <w:ind w:firstLine="399" w:firstLineChars="190"/>
        <w:jc w:val="right"/>
        <w:rPr>
          <w:rFonts w:ascii="宋体" w:hAnsi="宋体" w:cs="宋体" w:hint="eastAsia"/>
          <w:sz w:val="32"/>
          <w:szCs w:val="32"/>
        </w:rPr>
      </w:pPr>
      <w:r>
        <w:rPr>
          <w:rFonts w:ascii="仿宋_GB2312" w:eastAsia="仿宋_GB2312" w:hAnsi="仿宋_GB2312" w:cs="仿宋_GB2312"/>
          <w:sz w:val="32"/>
          <w:szCs w:val="32"/>
        </w:rPr>
        <w:t xml:space="preserve">                             </w:t>
      </w:r>
      <w:r>
        <w:rPr>
          <w:rFonts w:ascii="宋体" w:hAnsi="宋体" w:cs="宋体" w:hint="eastAsia"/>
          <w:sz w:val="32"/>
          <w:szCs w:val="32"/>
        </w:rPr>
        <w:t xml:space="preserve"> </w:t>
      </w:r>
      <w:r>
        <w:rPr>
          <w:rFonts w:ascii="宋体" w:hAnsi="宋体" w:cs="宋体" w:hint="eastAsia"/>
          <w:sz w:val="32"/>
          <w:szCs w:val="32"/>
        </w:rPr>
        <w:t>年  月  日</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left"/>
        <w:textAlignment w:val="auto"/>
        <w:outlineLvl w:val="2"/>
        <w:rPr>
          <w:rFonts w:ascii="黑体" w:eastAsia="黑体" w:hAnsi="黑体" w:cs="黑体" w:hint="eastAsia"/>
          <w:b w:val="0"/>
          <w:bCs w:val="0"/>
          <w:sz w:val="28"/>
          <w:szCs w:val="28"/>
        </w:rPr>
      </w:pPr>
      <w:r>
        <w:rPr>
          <w:rFonts w:ascii="宋体" w:hAnsi="宋体" w:cs="宋体" w:hint="eastAsia"/>
          <w:sz w:val="32"/>
          <w:szCs w:val="32"/>
        </w:rPr>
        <w:br w:type="page"/>
      </w:r>
      <w:bookmarkEnd w:id="448"/>
      <w:bookmarkStart w:id="470" w:name="_Toc2995"/>
      <w:bookmarkStart w:id="471" w:name="_Toc4224"/>
      <w:bookmarkStart w:id="472" w:name="_Toc21725"/>
      <w:bookmarkStart w:id="473" w:name="_Toc26808"/>
      <w:bookmarkStart w:id="474" w:name="_Toc256000050"/>
      <w:r>
        <w:rPr>
          <w:rFonts w:ascii="黑体" w:eastAsia="黑体" w:hAnsi="黑体" w:cs="黑体" w:hint="eastAsia"/>
          <w:b w:val="0"/>
          <w:bCs w:val="0"/>
          <w:sz w:val="28"/>
          <w:szCs w:val="28"/>
          <w:lang w:val="en-US" w:eastAsia="zh-CN"/>
        </w:rPr>
        <w:t>八、</w:t>
      </w:r>
      <w:r>
        <w:rPr>
          <w:rFonts w:ascii="黑体" w:eastAsia="黑体" w:hAnsi="黑体" w:cs="黑体" w:hint="eastAsia"/>
          <w:b w:val="0"/>
          <w:bCs w:val="0"/>
          <w:sz w:val="28"/>
          <w:szCs w:val="28"/>
        </w:rPr>
        <w:t>实施方案（格式自定）</w:t>
      </w:r>
      <w:bookmarkEnd w:id="474"/>
      <w:bookmarkEnd w:id="470"/>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left"/>
        <w:textAlignment w:val="auto"/>
        <w:outlineLvl w:val="2"/>
        <w:rPr>
          <w:rFonts w:ascii="黑体" w:eastAsia="黑体" w:hAnsi="黑体" w:cs="黑体" w:hint="eastAsia"/>
          <w:b w:val="0"/>
          <w:bCs w:val="0"/>
          <w:sz w:val="28"/>
          <w:szCs w:val="28"/>
        </w:rPr>
      </w:pPr>
      <w:bookmarkStart w:id="475" w:name="_Toc789"/>
      <w:bookmarkStart w:id="476" w:name="_Toc256000051"/>
      <w:r>
        <w:rPr>
          <w:rFonts w:ascii="黑体" w:eastAsia="黑体" w:hAnsi="黑体" w:cs="黑体" w:hint="eastAsia"/>
          <w:b w:val="0"/>
          <w:bCs w:val="0"/>
          <w:sz w:val="28"/>
          <w:szCs w:val="28"/>
          <w:lang w:val="en-US" w:eastAsia="zh-CN"/>
        </w:rPr>
        <w:t>九、</w:t>
      </w:r>
      <w:r>
        <w:rPr>
          <w:rFonts w:ascii="黑体" w:eastAsia="黑体" w:hAnsi="黑体" w:cs="黑体" w:hint="eastAsia"/>
          <w:b w:val="0"/>
          <w:bCs w:val="0"/>
          <w:sz w:val="28"/>
          <w:szCs w:val="28"/>
        </w:rPr>
        <w:t>项目重点难点分析、应对措施及相关的合理化建议（格式自定）</w:t>
      </w:r>
      <w:bookmarkEnd w:id="476"/>
      <w:bookmarkEnd w:id="475"/>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left"/>
        <w:textAlignment w:val="auto"/>
        <w:outlineLvl w:val="2"/>
        <w:rPr>
          <w:rFonts w:ascii="黑体" w:eastAsia="黑体" w:hAnsi="黑体" w:cs="黑体" w:hint="eastAsia"/>
          <w:b w:val="0"/>
          <w:bCs w:val="0"/>
          <w:sz w:val="28"/>
          <w:szCs w:val="28"/>
        </w:rPr>
      </w:pPr>
      <w:bookmarkStart w:id="477" w:name="_Toc9201"/>
      <w:bookmarkStart w:id="478" w:name="_Toc256000052"/>
      <w:r>
        <w:rPr>
          <w:rFonts w:ascii="黑体" w:eastAsia="黑体" w:hAnsi="黑体" w:cs="黑体" w:hint="eastAsia"/>
          <w:b w:val="0"/>
          <w:bCs w:val="0"/>
          <w:sz w:val="28"/>
          <w:szCs w:val="28"/>
          <w:lang w:val="en-US" w:eastAsia="zh-CN"/>
        </w:rPr>
        <w:t>十、</w:t>
      </w:r>
      <w:r>
        <w:rPr>
          <w:rFonts w:ascii="黑体" w:eastAsia="黑体" w:hAnsi="黑体" w:cs="黑体" w:hint="eastAsia"/>
          <w:b w:val="0"/>
          <w:bCs w:val="0"/>
          <w:sz w:val="28"/>
          <w:szCs w:val="28"/>
        </w:rPr>
        <w:t>质量（完成时间、安全、环保）保障措施及方案（格式自定）</w:t>
      </w:r>
      <w:bookmarkEnd w:id="478"/>
      <w:bookmarkEnd w:id="477"/>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left"/>
        <w:textAlignment w:val="auto"/>
        <w:outlineLvl w:val="2"/>
        <w:rPr>
          <w:rFonts w:ascii="黑体" w:eastAsia="黑体" w:hAnsi="黑体" w:cs="黑体" w:hint="eastAsia"/>
          <w:b w:val="0"/>
          <w:bCs w:val="0"/>
          <w:sz w:val="28"/>
          <w:szCs w:val="28"/>
        </w:rPr>
      </w:pPr>
      <w:bookmarkStart w:id="479" w:name="_Toc21443"/>
      <w:bookmarkStart w:id="480" w:name="_Toc256000053"/>
      <w:r>
        <w:rPr>
          <w:rFonts w:ascii="黑体" w:eastAsia="黑体" w:hAnsi="黑体" w:cs="黑体" w:hint="eastAsia"/>
          <w:b w:val="0"/>
          <w:bCs w:val="0"/>
          <w:sz w:val="28"/>
          <w:szCs w:val="28"/>
          <w:lang w:val="en-US" w:eastAsia="zh-CN"/>
        </w:rPr>
        <w:t>十一、</w:t>
      </w:r>
      <w:r>
        <w:rPr>
          <w:rFonts w:ascii="黑体" w:eastAsia="黑体" w:hAnsi="黑体" w:cs="黑体" w:hint="eastAsia"/>
          <w:b w:val="0"/>
          <w:bCs w:val="0"/>
          <w:sz w:val="28"/>
          <w:szCs w:val="28"/>
        </w:rPr>
        <w:t>项目完成（服务期满）后的服务承诺（格式自定）</w:t>
      </w:r>
      <w:bookmarkEnd w:id="480"/>
      <w:bookmarkEnd w:id="479"/>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left"/>
        <w:textAlignment w:val="auto"/>
        <w:outlineLvl w:val="2"/>
        <w:rPr>
          <w:rFonts w:ascii="黑体" w:eastAsia="黑体" w:hAnsi="黑体" w:cs="黑体" w:hint="eastAsia"/>
          <w:b w:val="0"/>
          <w:bCs w:val="0"/>
          <w:sz w:val="28"/>
          <w:szCs w:val="28"/>
        </w:rPr>
      </w:pPr>
      <w:bookmarkStart w:id="481" w:name="_Toc22217"/>
      <w:bookmarkStart w:id="482" w:name="_Toc256000054"/>
      <w:r>
        <w:rPr>
          <w:rFonts w:ascii="黑体" w:eastAsia="黑体" w:hAnsi="黑体" w:cs="黑体" w:hint="eastAsia"/>
          <w:b w:val="0"/>
          <w:bCs w:val="0"/>
          <w:sz w:val="28"/>
          <w:szCs w:val="28"/>
          <w:lang w:val="en-US" w:eastAsia="zh-CN"/>
        </w:rPr>
        <w:t>十二、</w:t>
      </w:r>
      <w:r>
        <w:rPr>
          <w:rFonts w:ascii="黑体" w:eastAsia="黑体" w:hAnsi="黑体" w:cs="黑体" w:hint="eastAsia"/>
          <w:b w:val="0"/>
          <w:bCs w:val="0"/>
          <w:sz w:val="28"/>
          <w:szCs w:val="28"/>
        </w:rPr>
        <w:t>违约承诺（格式自定）</w:t>
      </w:r>
      <w:bookmarkEnd w:id="482"/>
      <w:bookmarkEnd w:id="481"/>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jc w:val="left"/>
        <w:textAlignment w:val="auto"/>
        <w:outlineLvl w:val="2"/>
        <w:rPr>
          <w:rFonts w:ascii="黑体" w:eastAsia="黑体" w:hAnsi="黑体" w:cs="黑体" w:hint="eastAsia"/>
          <w:b w:val="0"/>
          <w:bCs w:val="0"/>
          <w:sz w:val="28"/>
          <w:szCs w:val="28"/>
        </w:rPr>
      </w:pPr>
      <w:bookmarkStart w:id="483" w:name="_Toc31028"/>
      <w:bookmarkStart w:id="484" w:name="_Toc256000055"/>
      <w:r>
        <w:rPr>
          <w:rFonts w:ascii="黑体" w:eastAsia="黑体" w:hAnsi="黑体" w:cs="黑体" w:hint="eastAsia"/>
          <w:b w:val="0"/>
          <w:bCs w:val="0"/>
          <w:sz w:val="28"/>
          <w:szCs w:val="28"/>
          <w:lang w:val="en-US" w:eastAsia="zh-CN"/>
        </w:rPr>
        <w:t>十三、</w:t>
      </w:r>
      <w:r>
        <w:rPr>
          <w:rFonts w:ascii="黑体" w:eastAsia="黑体" w:hAnsi="黑体" w:cs="黑体" w:hint="eastAsia"/>
          <w:b w:val="0"/>
          <w:bCs w:val="0"/>
          <w:sz w:val="28"/>
          <w:szCs w:val="28"/>
        </w:rPr>
        <w:t>投标人认为需要加以说明的其他内容（非公开部分）（格式自定）</w:t>
      </w:r>
      <w:bookmarkEnd w:id="484"/>
      <w:bookmarkEnd w:id="471"/>
      <w:bookmarkEnd w:id="472"/>
      <w:bookmarkEnd w:id="473"/>
      <w:bookmarkEnd w:id="483"/>
    </w:p>
    <w:p>
      <w:pPr>
        <w:pStyle w:val="Heading2"/>
        <w:rPr>
          <w:rFonts w:hint="eastAsia"/>
        </w:rPr>
      </w:pPr>
    </w:p>
    <w:p>
      <w:pPr>
        <w:rPr>
          <w:rFonts w:ascii="宋体" w:hAnsi="宋体"/>
          <w:szCs w:val="21"/>
        </w:rPr>
      </w:pPr>
      <w:bookmarkEnd w:id="374"/>
      <w:bookmarkEnd w:id="375"/>
    </w:p>
    <w:sectPr>
      <w:headerReference w:type="default" r:id="rId7"/>
      <w:footerReference w:type="default" r:id="rId8"/>
      <w:headerReference w:type="first" r:id="rId9"/>
      <w:pgSz w:w="11906" w:h="16838"/>
      <w:pgMar w:top="1440" w:right="1440" w:bottom="1440" w:left="1440" w:header="850" w:footer="992" w:gutter="0"/>
      <w:cols w:num="1" w:space="720"/>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81A0573-9EAC-4410-A210-1DA174EA1AA7}"/>
  </w:font>
  <w:font w:name="黑体">
    <w:panose1 w:val="02010609060101010101"/>
    <w:charset w:val="86"/>
    <w:family w:val="auto"/>
    <w:pitch w:val="default"/>
    <w:sig w:usb0="800002BF" w:usb1="38CF7CFA" w:usb2="00000016" w:usb3="00000000" w:csb0="00040001" w:csb1="00000000"/>
    <w:embedRegular r:id="rId2" w:fontKey="{B9B871E5-8284-4C81-9298-B08B7DA5B18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224F050-0818-4056-91D0-0D04F46DAA0E}"/>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180ED71B-541F-43B6-AC9A-0FCE0E8DBC73}"/>
  </w:font>
  <w:font w:name="monospace">
    <w:altName w:val="Noto Sans SC"/>
    <w:panose1 w:val="00000000000000000000"/>
    <w:charset w:val="00"/>
    <w:family w:val="auto"/>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Arial Narrow">
    <w:panose1 w:val="020B0606020202030204"/>
    <w:charset w:val="00"/>
    <w:family w:val="swiss"/>
    <w:pitch w:val="default"/>
    <w:sig w:usb0="00000287" w:usb1="00000800" w:usb2="00000000" w:usb3="00000000" w:csb0="2000009F" w:csb1="DFD7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Arial Unicode MS">
    <w:altName w:val="Arial"/>
    <w:panose1 w:val="020B0604020202020204"/>
    <w:charset w:val="00"/>
    <w:family w:val="swiss"/>
    <w:pitch w:val="default"/>
    <w:sig w:usb0="00000000" w:usb1="00000000" w:usb2="0000003F" w:usb3="00000000" w:csb0="003F01FF"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5" w:fontKey="{349FBD4C-EE5C-4D1C-A2FD-2E4FE6250500}"/>
  </w:font>
  <w:font w:name="微软雅黑">
    <w:panose1 w:val="020B0503020204020204"/>
    <w:charset w:val="86"/>
    <w:family w:val="swiss"/>
    <w:pitch w:val="default"/>
    <w:sig w:usb0="80000287" w:usb1="2ACF3C50" w:usb2="00000016" w:usb3="00000000" w:csb0="0004001F" w:csb1="00000000"/>
    <w:embedRegular r:id="rId6" w:fontKey="{AAEB0B35-3F14-4DE5-B38A-FC8EC41FA522}"/>
  </w:font>
  <w:font w:name="楷体_GB2312">
    <w:panose1 w:val="02010609030101010101"/>
    <w:charset w:val="86"/>
    <w:family w:val="modern"/>
    <w:pitch w:val="default"/>
    <w:sig w:usb0="00000001" w:usb1="080E0000" w:usb2="00000000" w:usb3="00000000" w:csb0="00040000" w:csb1="00000000"/>
    <w:embedRegular r:id="rId7" w:fontKey="{766FFE6F-D0E3-4E65-B50B-BF358FD2C1AB}"/>
  </w:font>
  <w:font w:name="方正超粗黑简体">
    <w:altName w:val="黑体"/>
    <w:panose1 w:val="00000000000000000000"/>
    <w:charset w:val="86"/>
    <w:family w:val="auto"/>
    <w:pitch w:val="default"/>
    <w:sig w:usb0="00000000" w:usb1="00000000" w:usb2="00000010" w:usb3="00000000" w:csb0="00040000" w:csb1="00000000"/>
    <w:embedRegular r:id="rId8" w:fontKey="{26F9107E-AC9C-4560-A8AA-83D5D46FD5DD}"/>
  </w:font>
  <w:font w:name="方正小标宋简体">
    <w:panose1 w:val="02010600010101010101"/>
    <w:charset w:val="86"/>
    <w:family w:val="script"/>
    <w:pitch w:val="default"/>
    <w:sig w:usb0="00000001" w:usb1="080E0000" w:usb2="00000000" w:usb3="00000000" w:csb0="00040000" w:csb1="00000000"/>
    <w:embedRegular r:id="rId9" w:fontKey="{E1E0E347-6503-4EB3-BAD9-D803BA2D90D6}"/>
  </w:font>
  <w:font w:name="ˎ̥">
    <w:altName w:val="Noto Sans SC"/>
    <w:panose1 w:val="00000000000000000000"/>
    <w:charset w:val="00"/>
    <w:family w:val="roman"/>
    <w:pitch w:val="default"/>
    <w:sig w:usb0="00000000" w:usb1="00000000" w:usb2="00000000" w:usb3="00000000" w:csb0="00040001" w:csb1="00000000"/>
    <w:embedRegular r:id="rId10" w:fontKey="{96F6A6AB-A71D-4DBF-A4D0-7AC487AD17ED}"/>
  </w:font>
  <w:font w:name="Segoe UI">
    <w:panose1 w:val="020B0502040204020203"/>
    <w:charset w:val="00"/>
    <w:family w:val="swiss"/>
    <w:pitch w:val="default"/>
    <w:sig w:usb0="E4002EFF" w:usb1="C000E47F" w:usb2="00000009" w:usb3="00000000" w:csb0="200001FF" w:csb1="00000000"/>
    <w:embedRegular r:id="rId11" w:fontKey="{3D8648AC-DA41-4AE2-BC34-9C27C700D9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framePr w:wrap="around" w:vAnchor="text" w:hAnchor="margin" w:xAlign="center" w:y="1"/>
      <w:rPr>
        <w:rStyle w:val="PageNumber"/>
      </w:rPr>
    </w:pPr>
    <w:r>
      <w:fldChar w:fldCharType="begin"/>
    </w:r>
    <w:r>
      <w:rPr>
        <w:rStyle w:val="PageNumber"/>
      </w:rPr>
      <w:instrText xml:space="preserve">PAGE  </w:instrText>
    </w:r>
    <w:r>
      <w:fldChar w:fldCharType="separate"/>
    </w:r>
    <w:r>
      <w:rPr>
        <w:rStyle w:val="PageNumber"/>
      </w:rPr>
      <w:t>63</w:t>
    </w:r>
    <w: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left"/>
      <w:rPr>
        <w:rFonts w:eastAsia="宋体" w:hint="eastAsia"/>
        <w:lang w:eastAsia="zh-CN"/>
      </w:rPr>
    </w:pPr>
    <w:r>
      <w:rPr>
        <w:rFonts w:ascii="宋体" w:hAnsi="宋体" w:cs="宋体" w:hint="eastAsia"/>
        <w:color w:val="000000"/>
        <w:szCs w:val="21"/>
      </w:rPr>
      <w:t>重度残疾人托养服务试点项目</w:t>
    </w:r>
    <w:r>
      <w:rPr>
        <w:rFonts w:hint="eastAsia"/>
      </w:rPr>
      <w:t xml:space="preserve">            </w:t>
    </w:r>
    <w:r>
      <w:rPr>
        <w:rFonts w:hint="eastAsia"/>
        <w:lang w:val="en-US" w:eastAsia="zh-CN"/>
      </w:rPr>
      <w:t xml:space="preserve">                         </w:t>
    </w:r>
    <w:r>
      <w:rPr>
        <w:rFonts w:hint="eastAsia"/>
      </w:rPr>
      <w:t xml:space="preserve">             招标编号：</w:t>
    </w:r>
    <w:r>
      <w:rPr>
        <w:rFonts w:hint="eastAsia"/>
        <w:lang w:eastAsia="zh-CN"/>
      </w:rPr>
      <w:t>SZDL2025001523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single" w:sz="4" w:space="2" w:color="auto"/>
      </w:pBdr>
      <w:jc w:val="both"/>
      <w:rPr>
        <w:rFonts w:ascii="宋体" w:eastAsia="宋体" w:hAnsi="宋体" w:hint="eastAsia"/>
        <w:lang w:eastAsia="zh-CN"/>
      </w:rPr>
    </w:pPr>
    <w:r>
      <w:rPr>
        <w:rFonts w:ascii="宋体" w:hAnsi="宋体" w:cs="宋体" w:hint="eastAsia"/>
        <w:color w:val="000000"/>
        <w:szCs w:val="21"/>
      </w:rPr>
      <w:t>重度残疾人托养服务试点项目</w:t>
    </w:r>
    <w:r>
      <w:rPr>
        <w:rFonts w:ascii="宋体" w:hAnsi="宋体" w:cs="宋体" w:hint="eastAsia"/>
        <w:color w:val="000000"/>
        <w:szCs w:val="21"/>
        <w:lang w:val="en-US" w:eastAsia="zh-CN"/>
      </w:rPr>
      <w:t xml:space="preserve">                           </w:t>
    </w:r>
    <w:r>
      <w:rPr>
        <w:rFonts w:hint="eastAsia"/>
      </w:rPr>
      <w:t xml:space="preserve"> </w:t>
    </w:r>
    <w:r>
      <w:rPr>
        <w:rFonts w:ascii="宋体" w:hAnsi="宋体" w:cs="宋体" w:hint="eastAsia"/>
        <w:color w:val="000000"/>
        <w:szCs w:val="21"/>
      </w:rPr>
      <w:t xml:space="preserve"> </w:t>
    </w:r>
    <w:r>
      <w:rPr>
        <w:rFonts w:ascii="宋体" w:hAnsi="宋体" w:hint="eastAsia"/>
      </w:rPr>
      <w:t xml:space="preserve">                     招标编号：</w:t>
    </w:r>
    <w:r>
      <w:rPr>
        <w:rFonts w:ascii="宋体" w:hAnsi="宋体" w:hint="eastAsia"/>
        <w:lang w:eastAsia="zh-CN"/>
      </w:rPr>
      <w:t>SZDL2025001523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9A5A5377"/>
    <w:multiLevelType w:val="singleLevel"/>
    <w:tmpl w:val="9A5A5377"/>
    <w:lvl w:ilvl="0">
      <w:start w:val="1"/>
      <w:numFmt w:val="decimal"/>
      <w:lvlText w:val="%1."/>
      <w:lvlJc w:val="left"/>
      <w:pPr>
        <w:tabs>
          <w:tab w:val="left" w:pos="312"/>
        </w:tabs>
      </w:pPr>
    </w:lvl>
  </w:abstractNum>
  <w:abstractNum w:abstractNumId="1">
    <w:nsid w:val="B79E2D81"/>
    <w:multiLevelType w:val="singleLevel"/>
    <w:tmpl w:val="B79E2D81"/>
    <w:lvl w:ilvl="0">
      <w:start w:val="2"/>
      <w:numFmt w:val="chineseCounting"/>
      <w:suff w:val="nothing"/>
      <w:lvlText w:val="（%1）"/>
      <w:lvlJc w:val="left"/>
      <w:rPr>
        <w:rFonts w:hint="eastAsia"/>
      </w:rPr>
    </w:lvl>
  </w:abstractNum>
  <w:abstractNum w:abstractNumId="2">
    <w:nsid w:val="E43EB0EE"/>
    <w:multiLevelType w:val="singleLevel"/>
    <w:tmpl w:val="E43EB0EE"/>
    <w:lvl w:ilvl="0">
      <w:start w:val="37"/>
      <w:numFmt w:val="decimal"/>
      <w:suff w:val="nothing"/>
      <w:lvlText w:val="%1．"/>
      <w:lvlJc w:val="left"/>
    </w:lvl>
  </w:abstractNum>
  <w:abstractNum w:abstractNumId="3">
    <w:nsid w:val="71915B3D"/>
    <w:multiLevelType w:val="singleLevel"/>
    <w:tmpl w:val="71915B3D"/>
    <w:lvl w:ilvl="0">
      <w:start w:val="1"/>
      <w:numFmt w:val="chineseCounting"/>
      <w:suff w:val="space"/>
      <w:lvlText w:val="第%1章"/>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embedTrueTypeFonts/>
  <w:saveSubsetFont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trackRevision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U1MzQ3MmYzMTE1YjcwZjhjZDVlZThkY2U0MjllMTUifQ=="/>
  </w:docVar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semiHidden="0" w:uiPriority="0" w:unhideWhenUsed="0" w:qFormat="1"/>
    <w:lsdException w:name="index 9"/>
    <w:lsdException w:name="toc 1" w:semiHidden="0" w:uiPriority="39" w:unhideWhenUsed="0"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Normal Indent" w:semiHidden="0" w:uiPriority="0" w:unhideWhenUsed="0" w:qFormat="1"/>
    <w:lsdException w:name="footnote text"/>
    <w:lsdException w:name="annotation text" w:semiHidden="0" w:uiPriority="0" w:unhideWhenUsed="0" w:qFormat="1"/>
    <w:lsdException w:name="header" w:semiHidden="0" w:uiPriority="0" w:unhideWhenUsed="0" w:qFormat="1"/>
    <w:lsdException w:name="footer" w:semiHidden="0" w:unhideWhenUsed="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semiHidden="0" w:uiPriority="0" w:unhideWhenUsed="0" w:qFormat="1"/>
    <w:lsdException w:name="line number"/>
    <w:lsdException w:name="page number" w:semiHidden="0" w:uiPriority="0" w:unhideWhenUsed="0" w:qFormat="1"/>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0" w:unhideWhenUsed="0" w:qFormat="1"/>
    <w:lsdException w:name="Closing"/>
    <w:lsdException w:name="Signature"/>
    <w:lsdException w:name="Default Paragraph Font" w:semiHidden="0" w:uiPriority="1" w:qFormat="1"/>
    <w:lsdException w:name="Body Text" w:semiHidden="0" w:uiPriority="0" w:unhideWhenUsed="0" w:qFormat="1"/>
    <w:lsdException w:name="Body Text Indent" w:semiHidden="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semiHidden="0" w:uiPriority="0" w:unhideWhenUsed="0" w:qFormat="1"/>
    <w:lsdException w:name="Body Text First Indent 2" w:semiHidden="0" w:uiPriority="0" w:unhideWhenUsed="0" w:qFormat="1"/>
    <w:lsdException w:name="Body Text 2" w:semiHidden="0" w:uiPriority="0" w:unhideWhenUsed="0" w:qFormat="1"/>
    <w:lsdException w:name="Body Text 3"/>
    <w:lsdException w:name="Body Text Indent 2" w:semiHidden="0" w:uiPriority="0" w:unhideWhenUsed="0" w:qFormat="1"/>
    <w:lsdException w:name="Body Text Indent 3"/>
    <w:lsdException w:name="Block Text"/>
    <w:lsdException w:name="Hyperlink" w:semiHidden="0" w:unhideWhenUsed="0" w:qFormat="1"/>
    <w:lsdException w:name="FollowedHyperlink" w:semiHidden="0" w:qFormat="1"/>
    <w:lsdException w:name="Strong" w:semiHidden="0" w:uiPriority="22" w:unhideWhenUsed="0" w:qFormat="1"/>
    <w:lsdException w:name="Emphasis" w:semiHidden="0" w:uiPriority="0" w:unhideWhenUsed="0" w:qFormat="1"/>
    <w:lsdException w:name="Document Map" w:uiPriority="0" w:unhideWhenUsed="0" w:qFormat="1"/>
    <w:lsdException w:name="Plain Text" w:semiHidden="0" w:uiPriority="0" w:unhideWhenUsed="0" w:qFormat="1"/>
    <w:lsdException w:name="E-mail Signature"/>
    <w:lsdException w:name="Normal (Web)" w:semiHidden="0" w:unhideWhenUsed="0" w:qFormat="1"/>
    <w:lsdException w:name="HTML Acronym" w:semiHidden="0" w:qFormat="1"/>
    <w:lsdException w:name="HTML Address"/>
    <w:lsdException w:name="HTML Cite" w:semiHidden="0" w:qFormat="1"/>
    <w:lsdException w:name="HTML Code" w:semiHidden="0" w:qFormat="1"/>
    <w:lsdException w:name="HTML Definition" w:semiHidden="0" w:qFormat="1"/>
    <w:lsdException w:name="HTML Keyboard" w:semiHidden="0" w:qFormat="1"/>
    <w:lsdException w:name="HTML Preformatted" w:semiHidden="0" w:uiPriority="0" w:unhideWhenUsed="0" w:qFormat="1"/>
    <w:lsdException w:name="HTML Sample" w:semiHidden="0" w:qFormat="1"/>
    <w:lsdException w:name="HTML Typewriter" w:semiHidden="0" w:qFormat="1"/>
    <w:lsdException w:name="HTML Variable" w:semiHidden="0" w:qFormat="1"/>
    <w:lsdException w:name="Normal Table" w:semiHidden="0" w:qFormat="1"/>
    <w:lsdException w:name="annotation subject" w:uiPriority="0" w:unhideWhenUsed="0"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unhideWhenUsed="0" w:qFormat="1"/>
    <w:lsdException w:name="Table Grid" w:semiHidden="0" w:uiPriority="59" w:unhideWhenUsed="0" w:qFormat="1"/>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Heading2"/>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link w:val="1Char"/>
    <w:qFormat/>
    <w:pPr>
      <w:spacing w:before="120" w:after="120" w:line="240" w:lineRule="auto"/>
      <w:jc w:val="center"/>
      <w:outlineLvl w:val="0"/>
    </w:pPr>
    <w:rPr>
      <w:kern w:val="44"/>
    </w:rPr>
  </w:style>
  <w:style w:type="paragraph" w:styleId="Heading2">
    <w:name w:val="heading 2"/>
    <w:basedOn w:val="Normal"/>
    <w:next w:val="Normal"/>
    <w:link w:val="2Char"/>
    <w:qFormat/>
    <w:pPr>
      <w:keepNext/>
      <w:keepLines/>
      <w:spacing w:before="260" w:after="260" w:line="416" w:lineRule="auto"/>
      <w:outlineLvl w:val="1"/>
    </w:pPr>
    <w:rPr>
      <w:rFonts w:ascii="Arial" w:eastAsia="黑体" w:hAnsi="Arial"/>
      <w:b/>
      <w:bCs/>
      <w:sz w:val="32"/>
      <w:szCs w:val="32"/>
    </w:rPr>
  </w:style>
  <w:style w:type="paragraph" w:styleId="Heading3">
    <w:name w:val="heading 3"/>
    <w:basedOn w:val="Heading4"/>
    <w:next w:val="Normal"/>
    <w:link w:val="3Char"/>
    <w:qFormat/>
    <w:pPr>
      <w:keepNext/>
      <w:keepLines/>
      <w:spacing w:before="260" w:after="260" w:line="416" w:lineRule="auto"/>
      <w:outlineLvl w:val="2"/>
    </w:pPr>
    <w:rPr>
      <w:sz w:val="32"/>
      <w:szCs w:val="32"/>
    </w:rPr>
  </w:style>
  <w:style w:type="paragraph" w:styleId="Heading4">
    <w:name w:val="heading 4"/>
    <w:basedOn w:val="Normal"/>
    <w:next w:val="Normal"/>
    <w:link w:val="4Char"/>
    <w:qFormat/>
    <w:pPr>
      <w:keepNext/>
      <w:keepLines/>
      <w:spacing w:before="280" w:after="290" w:line="376" w:lineRule="auto"/>
      <w:outlineLvl w:val="3"/>
    </w:pPr>
    <w:rPr>
      <w:rFonts w:ascii="Arial" w:eastAsia="黑体" w:hAnsi="Arial"/>
      <w:b/>
      <w:bCs/>
      <w:sz w:val="28"/>
      <w:szCs w:val="28"/>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CellMar>
        <w:top w:w="0" w:type="dxa"/>
        <w:left w:w="108" w:type="dxa"/>
        <w:bottom w:w="0" w:type="dxa"/>
        <w:right w:w="108" w:type="dxa"/>
      </w:tblCellMar>
    </w:tblPr>
  </w:style>
  <w:style w:type="paragraph" w:styleId="TOC7">
    <w:name w:val="toc 7"/>
    <w:basedOn w:val="Normal"/>
    <w:next w:val="Normal"/>
    <w:uiPriority w:val="39"/>
    <w:unhideWhenUsed/>
    <w:qFormat/>
    <w:pPr>
      <w:ind w:left="1260"/>
      <w:jc w:val="left"/>
    </w:pPr>
    <w:rPr>
      <w:rFonts w:ascii="Calibri" w:hAnsi="Calibri"/>
      <w:sz w:val="18"/>
      <w:szCs w:val="18"/>
    </w:rPr>
  </w:style>
  <w:style w:type="paragraph" w:styleId="Index8">
    <w:name w:val="index 8"/>
    <w:basedOn w:val="Normal"/>
    <w:next w:val="Normal"/>
    <w:qFormat/>
    <w:pPr>
      <w:ind w:left="1400" w:leftChars="1400"/>
    </w:pPr>
    <w:rPr>
      <w:rFonts w:ascii="Calibri" w:eastAsia="宋体" w:hAnsi="Calibri" w:cs="Times New Roman"/>
    </w:rPr>
  </w:style>
  <w:style w:type="paragraph" w:styleId="NormalIndent">
    <w:name w:val="Normal Indent"/>
    <w:basedOn w:val="Normal"/>
    <w:link w:val="Char0"/>
    <w:qFormat/>
    <w:pPr>
      <w:ind w:firstLine="420" w:firstLineChars="200"/>
    </w:pPr>
    <w:rPr>
      <w:kern w:val="0"/>
      <w:sz w:val="20"/>
    </w:rPr>
  </w:style>
  <w:style w:type="paragraph" w:styleId="DocumentMap">
    <w:name w:val="Document Map"/>
    <w:basedOn w:val="Normal"/>
    <w:link w:val="Char1"/>
    <w:semiHidden/>
    <w:qFormat/>
    <w:pPr>
      <w:shd w:val="clear" w:color="auto" w:fill="000080"/>
    </w:pPr>
  </w:style>
  <w:style w:type="paragraph" w:styleId="CommentText">
    <w:name w:val="annotation text"/>
    <w:basedOn w:val="Normal"/>
    <w:link w:val="Char2"/>
    <w:qFormat/>
    <w:pPr>
      <w:jc w:val="left"/>
    </w:pPr>
  </w:style>
  <w:style w:type="paragraph" w:styleId="BodyText">
    <w:name w:val="Body Text"/>
    <w:basedOn w:val="Normal"/>
    <w:next w:val="BodyText2"/>
    <w:link w:val="Char"/>
    <w:qFormat/>
    <w:pPr>
      <w:spacing w:after="120"/>
    </w:pPr>
  </w:style>
  <w:style w:type="paragraph" w:styleId="BodyText2">
    <w:name w:val="Body Text 2"/>
    <w:basedOn w:val="Normal"/>
    <w:qFormat/>
    <w:pPr>
      <w:spacing w:line="360" w:lineRule="auto"/>
    </w:pPr>
    <w:rPr>
      <w:sz w:val="24"/>
    </w:rPr>
  </w:style>
  <w:style w:type="paragraph" w:styleId="BodyTextIndent">
    <w:name w:val="Body Text Indent"/>
    <w:basedOn w:val="Normal"/>
    <w:link w:val="Char3"/>
    <w:uiPriority w:val="99"/>
    <w:unhideWhenUsed/>
    <w:qFormat/>
    <w:pPr>
      <w:spacing w:after="120"/>
      <w:ind w:left="420" w:leftChars="200"/>
    </w:pPr>
  </w:style>
  <w:style w:type="paragraph" w:styleId="TOC5">
    <w:name w:val="toc 5"/>
    <w:basedOn w:val="Normal"/>
    <w:next w:val="Normal"/>
    <w:uiPriority w:val="39"/>
    <w:unhideWhenUsed/>
    <w:qFormat/>
    <w:pPr>
      <w:ind w:left="840"/>
      <w:jc w:val="left"/>
    </w:pPr>
    <w:rPr>
      <w:rFonts w:ascii="Calibri" w:hAnsi="Calibri"/>
      <w:sz w:val="18"/>
      <w:szCs w:val="18"/>
    </w:rPr>
  </w:style>
  <w:style w:type="paragraph" w:styleId="TOC3">
    <w:name w:val="toc 3"/>
    <w:basedOn w:val="Normal"/>
    <w:next w:val="Normal"/>
    <w:uiPriority w:val="39"/>
    <w:unhideWhenUsed/>
    <w:qFormat/>
    <w:pPr>
      <w:ind w:left="420"/>
      <w:jc w:val="left"/>
    </w:pPr>
    <w:rPr>
      <w:rFonts w:ascii="Calibri" w:hAnsi="Calibri"/>
      <w:i/>
      <w:iCs/>
      <w:sz w:val="20"/>
      <w:szCs w:val="20"/>
    </w:rPr>
  </w:style>
  <w:style w:type="paragraph" w:styleId="PlainText">
    <w:name w:val="Plain Text"/>
    <w:basedOn w:val="Normal"/>
    <w:link w:val="Char4"/>
    <w:qFormat/>
    <w:rPr>
      <w:rFonts w:ascii="宋体" w:hAnsi="Courier New"/>
      <w:szCs w:val="20"/>
    </w:rPr>
  </w:style>
  <w:style w:type="paragraph" w:styleId="TOC8">
    <w:name w:val="toc 8"/>
    <w:basedOn w:val="Normal"/>
    <w:next w:val="Normal"/>
    <w:uiPriority w:val="39"/>
    <w:unhideWhenUsed/>
    <w:qFormat/>
    <w:pPr>
      <w:ind w:left="1470"/>
      <w:jc w:val="left"/>
    </w:pPr>
    <w:rPr>
      <w:rFonts w:ascii="Calibri" w:hAnsi="Calibri"/>
      <w:sz w:val="18"/>
      <w:szCs w:val="18"/>
    </w:rPr>
  </w:style>
  <w:style w:type="paragraph" w:styleId="BodyTextIndent2">
    <w:name w:val="Body Text Indent 2"/>
    <w:basedOn w:val="Normal"/>
    <w:next w:val="Normal"/>
    <w:qFormat/>
    <w:pPr>
      <w:widowControl/>
      <w:spacing w:line="360" w:lineRule="auto"/>
      <w:ind w:left="784"/>
      <w:jc w:val="left"/>
    </w:pPr>
    <w:rPr>
      <w:kern w:val="0"/>
      <w:szCs w:val="20"/>
    </w:rPr>
  </w:style>
  <w:style w:type="paragraph" w:styleId="BalloonText">
    <w:name w:val="Balloon Text"/>
    <w:basedOn w:val="Normal"/>
    <w:link w:val="Char5"/>
    <w:uiPriority w:val="99"/>
    <w:semiHidden/>
    <w:qFormat/>
    <w:rPr>
      <w:sz w:val="18"/>
      <w:szCs w:val="18"/>
    </w:rPr>
  </w:style>
  <w:style w:type="paragraph" w:styleId="Footer">
    <w:name w:val="footer"/>
    <w:basedOn w:val="Normal"/>
    <w:link w:val="Char6"/>
    <w:uiPriority w:val="99"/>
    <w:qFormat/>
    <w:pPr>
      <w:tabs>
        <w:tab w:val="center" w:pos="4153"/>
        <w:tab w:val="right" w:pos="8306"/>
      </w:tabs>
      <w:snapToGrid w:val="0"/>
      <w:jc w:val="left"/>
    </w:pPr>
    <w:rPr>
      <w:sz w:val="18"/>
      <w:szCs w:val="18"/>
    </w:rPr>
  </w:style>
  <w:style w:type="paragraph" w:styleId="Header">
    <w:name w:val="header"/>
    <w:basedOn w:val="Normal"/>
    <w:link w:val="Char7"/>
    <w:qFormat/>
    <w:pPr>
      <w:pBdr>
        <w:bottom w:val="single" w:sz="6" w:space="0" w:color="auto"/>
      </w:pBdr>
      <w:tabs>
        <w:tab w:val="center" w:pos="4153"/>
        <w:tab w:val="right" w:pos="8306"/>
      </w:tabs>
      <w:snapToGrid w:val="0"/>
      <w:jc w:val="center"/>
    </w:pPr>
    <w:rPr>
      <w:sz w:val="18"/>
      <w:szCs w:val="18"/>
    </w:rPr>
  </w:style>
  <w:style w:type="paragraph" w:styleId="TOC1">
    <w:name w:val="toc 1"/>
    <w:basedOn w:val="Normal"/>
    <w:next w:val="Normal"/>
    <w:uiPriority w:val="39"/>
    <w:qFormat/>
    <w:pPr>
      <w:spacing w:before="120" w:after="120"/>
      <w:jc w:val="left"/>
    </w:pPr>
    <w:rPr>
      <w:rFonts w:ascii="Calibri" w:hAnsi="Calibri"/>
      <w:b/>
      <w:bCs/>
      <w:caps/>
      <w:sz w:val="20"/>
      <w:szCs w:val="20"/>
    </w:rPr>
  </w:style>
  <w:style w:type="paragraph" w:styleId="TOC4">
    <w:name w:val="toc 4"/>
    <w:basedOn w:val="Normal"/>
    <w:next w:val="Normal"/>
    <w:uiPriority w:val="39"/>
    <w:unhideWhenUsed/>
    <w:qFormat/>
    <w:pPr>
      <w:ind w:left="630"/>
      <w:jc w:val="left"/>
    </w:pPr>
    <w:rPr>
      <w:rFonts w:ascii="Calibri" w:hAnsi="Calibri"/>
      <w:sz w:val="18"/>
      <w:szCs w:val="18"/>
    </w:rPr>
  </w:style>
  <w:style w:type="paragraph" w:styleId="TOC6">
    <w:name w:val="toc 6"/>
    <w:basedOn w:val="Normal"/>
    <w:next w:val="Normal"/>
    <w:uiPriority w:val="39"/>
    <w:unhideWhenUsed/>
    <w:qFormat/>
    <w:pPr>
      <w:ind w:left="1050"/>
      <w:jc w:val="left"/>
    </w:pPr>
    <w:rPr>
      <w:rFonts w:ascii="Calibri" w:hAnsi="Calibri"/>
      <w:sz w:val="18"/>
      <w:szCs w:val="18"/>
    </w:rPr>
  </w:style>
  <w:style w:type="paragraph" w:styleId="TOC2">
    <w:name w:val="toc 2"/>
    <w:basedOn w:val="Normal"/>
    <w:next w:val="Normal"/>
    <w:uiPriority w:val="39"/>
    <w:unhideWhenUsed/>
    <w:qFormat/>
    <w:pPr>
      <w:ind w:left="210"/>
      <w:jc w:val="left"/>
    </w:pPr>
    <w:rPr>
      <w:rFonts w:ascii="Calibri" w:hAnsi="Calibri"/>
      <w:smallCaps/>
      <w:sz w:val="20"/>
      <w:szCs w:val="20"/>
    </w:rPr>
  </w:style>
  <w:style w:type="paragraph" w:styleId="TOC9">
    <w:name w:val="toc 9"/>
    <w:basedOn w:val="Normal"/>
    <w:next w:val="Normal"/>
    <w:uiPriority w:val="39"/>
    <w:unhideWhenUsed/>
    <w:qFormat/>
    <w:pPr>
      <w:ind w:left="1680"/>
      <w:jc w:val="left"/>
    </w:pPr>
    <w:rPr>
      <w:rFonts w:ascii="Calibri" w:hAnsi="Calibri"/>
      <w:sz w:val="18"/>
      <w:szCs w:val="18"/>
    </w:rPr>
  </w:style>
  <w:style w:type="paragraph" w:styleId="HTMLPreformatted">
    <w:name w:val="HTML Preformatted"/>
    <w:basedOn w:val="Normal"/>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NormalWeb">
    <w:name w:val="Normal (Web)"/>
    <w:basedOn w:val="Normal"/>
    <w:uiPriority w:val="99"/>
    <w:qFormat/>
    <w:pPr>
      <w:widowControl/>
      <w:spacing w:before="100" w:beforeAutospacing="1" w:after="100" w:afterAutospacing="1"/>
      <w:jc w:val="left"/>
    </w:pPr>
    <w:rPr>
      <w:kern w:val="0"/>
      <w:sz w:val="24"/>
    </w:rPr>
  </w:style>
  <w:style w:type="paragraph" w:styleId="Title">
    <w:name w:val="Title"/>
    <w:basedOn w:val="Normal"/>
    <w:next w:val="Normal"/>
    <w:link w:val="Char8"/>
    <w:qFormat/>
    <w:pPr>
      <w:spacing w:before="240" w:after="60"/>
      <w:jc w:val="center"/>
      <w:outlineLvl w:val="0"/>
    </w:pPr>
    <w:rPr>
      <w:rFonts w:ascii="Arial" w:eastAsia="隶书" w:hAnsi="Arial" w:cs="Arial"/>
      <w:b/>
      <w:bCs/>
      <w:sz w:val="32"/>
      <w:szCs w:val="32"/>
    </w:rPr>
  </w:style>
  <w:style w:type="paragraph" w:styleId="CommentSubject">
    <w:name w:val="annotation subject"/>
    <w:basedOn w:val="CommentText"/>
    <w:next w:val="CommentText"/>
    <w:link w:val="Char9"/>
    <w:semiHidden/>
    <w:qFormat/>
    <w:rPr>
      <w:b/>
      <w:bCs/>
    </w:rPr>
  </w:style>
  <w:style w:type="paragraph" w:styleId="BodyTextFirstIndent">
    <w:name w:val="Body Text First Indent"/>
    <w:basedOn w:val="BodyText"/>
    <w:qFormat/>
    <w:pPr>
      <w:spacing w:after="120" w:line="240" w:lineRule="auto"/>
      <w:ind w:firstLine="420" w:firstLineChars="100"/>
    </w:pPr>
  </w:style>
  <w:style w:type="paragraph" w:styleId="BodyTextFirstIndent2">
    <w:name w:val="Body Text First Indent 2"/>
    <w:basedOn w:val="NormalIndent"/>
    <w:next w:val="BodyTextFirstIndent"/>
    <w:qFormat/>
    <w:pPr>
      <w:ind w:firstLine="420"/>
    </w:pPr>
  </w:style>
  <w:style w:type="table" w:styleId="TableGrid">
    <w:name w:val="Table Grid"/>
    <w:basedOn w:val="TableNormal"/>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style>
  <w:style w:type="character" w:styleId="FollowedHyperlink">
    <w:name w:val="FollowedHyperlink"/>
    <w:uiPriority w:val="99"/>
    <w:unhideWhenUsed/>
    <w:qFormat/>
    <w:rPr>
      <w:color w:val="5C5C5C"/>
      <w:u w:val="none"/>
    </w:rPr>
  </w:style>
  <w:style w:type="character" w:styleId="Emphasis">
    <w:name w:val="Emphasis"/>
    <w:qFormat/>
    <w:rPr>
      <w:rFonts w:ascii="仿宋_GB2312" w:eastAsia="仿宋_GB2312"/>
      <w:b/>
      <w:color w:val="CC0000"/>
      <w:kern w:val="2"/>
      <w:sz w:val="28"/>
      <w:szCs w:val="28"/>
      <w:lang w:val="en-US" w:eastAsia="zh-CN" w:bidi="ar-SA"/>
    </w:rPr>
  </w:style>
  <w:style w:type="character" w:styleId="HTMLDefinition">
    <w:name w:val="HTML Definition"/>
    <w:uiPriority w:val="99"/>
    <w:unhideWhenUsed/>
    <w:qFormat/>
  </w:style>
  <w:style w:type="character" w:styleId="HTMLTypewriter">
    <w:name w:val="HTML Typewriter"/>
    <w:uiPriority w:val="99"/>
    <w:unhideWhenUsed/>
    <w:qFormat/>
    <w:rPr>
      <w:rFonts w:ascii="monospace" w:eastAsia="monospace" w:hAnsi="monospace" w:cs="monospace"/>
      <w:sz w:val="20"/>
    </w:rPr>
  </w:style>
  <w:style w:type="character" w:styleId="HTMLAcronym">
    <w:name w:val="HTML Acronym"/>
    <w:uiPriority w:val="99"/>
    <w:unhideWhenUsed/>
    <w:qFormat/>
    <w:rPr>
      <w:sz w:val="21"/>
      <w:szCs w:val="21"/>
    </w:rPr>
  </w:style>
  <w:style w:type="character" w:styleId="HTMLVariable">
    <w:name w:val="HTML Variable"/>
    <w:uiPriority w:val="99"/>
    <w:unhideWhenUsed/>
    <w:qFormat/>
    <w:rPr>
      <w:color w:val="ADADAD"/>
    </w:rPr>
  </w:style>
  <w:style w:type="character" w:styleId="Hyperlink">
    <w:name w:val="Hyperlink"/>
    <w:uiPriority w:val="99"/>
    <w:qFormat/>
    <w:rPr>
      <w:color w:val="5C5C5C"/>
      <w:u w:val="none"/>
    </w:rPr>
  </w:style>
  <w:style w:type="character" w:styleId="HTMLCode">
    <w:name w:val="HTML Code"/>
    <w:uiPriority w:val="99"/>
    <w:unhideWhenUsed/>
    <w:qFormat/>
    <w:rPr>
      <w:rFonts w:ascii="monospace" w:eastAsia="monospace" w:hAnsi="monospace" w:cs="monospace" w:hint="default"/>
      <w:sz w:val="20"/>
    </w:rPr>
  </w:style>
  <w:style w:type="character" w:styleId="CommentReference">
    <w:name w:val="annotation reference"/>
    <w:qFormat/>
    <w:rPr>
      <w:sz w:val="21"/>
      <w:szCs w:val="21"/>
    </w:rPr>
  </w:style>
  <w:style w:type="character" w:styleId="HTMLCite">
    <w:name w:val="HTML Cite"/>
    <w:uiPriority w:val="99"/>
    <w:unhideWhenUsed/>
    <w:qFormat/>
  </w:style>
  <w:style w:type="character" w:styleId="HTMLKeyboard">
    <w:name w:val="HTML Keyboard"/>
    <w:uiPriority w:val="99"/>
    <w:unhideWhenUsed/>
    <w:qFormat/>
    <w:rPr>
      <w:rFonts w:ascii="monospace" w:eastAsia="monospace" w:hAnsi="monospace" w:cs="monospace" w:hint="default"/>
      <w:sz w:val="20"/>
    </w:rPr>
  </w:style>
  <w:style w:type="character" w:styleId="HTMLSample">
    <w:name w:val="HTML Sample"/>
    <w:uiPriority w:val="99"/>
    <w:unhideWhenUsed/>
    <w:qFormat/>
    <w:rPr>
      <w:rFonts w:ascii="monospace" w:eastAsia="monospace" w:hAnsi="monospace" w:cs="monospace" w:hint="default"/>
    </w:rPr>
  </w:style>
  <w:style w:type="character" w:customStyle="1" w:styleId="Char">
    <w:name w:val="正文文本 Char"/>
    <w:link w:val="BodyText"/>
    <w:qFormat/>
    <w:rPr>
      <w:rFonts w:ascii="Times New Roman" w:eastAsia="宋体" w:hAnsi="Times New Roman" w:cs="Times New Roman"/>
      <w:szCs w:val="24"/>
    </w:rPr>
  </w:style>
  <w:style w:type="character" w:customStyle="1" w:styleId="1Char">
    <w:name w:val="标题 1 Char"/>
    <w:link w:val="Heading1"/>
    <w:qFormat/>
    <w:rPr>
      <w:rFonts w:ascii="Arial" w:eastAsia="黑体" w:hAnsi="Arial" w:cs="Times New Roman"/>
      <w:kern w:val="44"/>
      <w:sz w:val="32"/>
      <w:szCs w:val="32"/>
    </w:rPr>
  </w:style>
  <w:style w:type="character" w:customStyle="1" w:styleId="2Char">
    <w:name w:val="标题 2 Char"/>
    <w:link w:val="Heading2"/>
    <w:qFormat/>
    <w:rPr>
      <w:rFonts w:ascii="Arial" w:eastAsia="黑体" w:hAnsi="Arial" w:cs="Times New Roman"/>
      <w:b/>
      <w:bCs/>
      <w:sz w:val="32"/>
      <w:szCs w:val="32"/>
    </w:rPr>
  </w:style>
  <w:style w:type="character" w:customStyle="1" w:styleId="4Char">
    <w:name w:val="标题 4 Char"/>
    <w:link w:val="Heading4"/>
    <w:qFormat/>
    <w:rPr>
      <w:rFonts w:ascii="Arial" w:eastAsia="黑体" w:hAnsi="Arial" w:cs="Times New Roman"/>
      <w:b/>
      <w:bCs/>
      <w:sz w:val="28"/>
      <w:szCs w:val="28"/>
    </w:rPr>
  </w:style>
  <w:style w:type="character" w:customStyle="1" w:styleId="3Char">
    <w:name w:val="标题 3 Char"/>
    <w:link w:val="Heading3"/>
    <w:qFormat/>
    <w:rPr>
      <w:rFonts w:ascii="Times New Roman" w:eastAsia="宋体" w:hAnsi="Times New Roman" w:cs="Times New Roman"/>
      <w:b/>
      <w:bCs/>
      <w:sz w:val="32"/>
      <w:szCs w:val="32"/>
    </w:rPr>
  </w:style>
  <w:style w:type="character" w:customStyle="1" w:styleId="Char0">
    <w:name w:val="正文缩进 Char"/>
    <w:link w:val="NormalIndent"/>
    <w:qFormat/>
    <w:rPr>
      <w:rFonts w:ascii="Times New Roman" w:eastAsia="宋体" w:hAnsi="Times New Roman" w:cs="Times New Roman"/>
      <w:szCs w:val="24"/>
    </w:rPr>
  </w:style>
  <w:style w:type="character" w:customStyle="1" w:styleId="Char1">
    <w:name w:val="文档结构图 Char"/>
    <w:link w:val="DocumentMap"/>
    <w:semiHidden/>
    <w:qFormat/>
    <w:rPr>
      <w:rFonts w:ascii="Times New Roman" w:eastAsia="宋体" w:hAnsi="Times New Roman" w:cs="Times New Roman"/>
      <w:szCs w:val="24"/>
      <w:shd w:val="clear" w:color="auto" w:fill="000080"/>
    </w:rPr>
  </w:style>
  <w:style w:type="character" w:customStyle="1" w:styleId="Char2">
    <w:name w:val="批注文字 Char"/>
    <w:link w:val="CommentText"/>
    <w:qFormat/>
    <w:rPr>
      <w:rFonts w:ascii="Times New Roman" w:eastAsia="宋体" w:hAnsi="Times New Roman" w:cs="Times New Roman"/>
      <w:szCs w:val="24"/>
    </w:rPr>
  </w:style>
  <w:style w:type="character" w:customStyle="1" w:styleId="Char3">
    <w:name w:val="正文文本缩进 Char"/>
    <w:link w:val="BodyTextIndent"/>
    <w:uiPriority w:val="99"/>
    <w:semiHidden/>
    <w:qFormat/>
    <w:rPr>
      <w:rFonts w:ascii="Times New Roman" w:eastAsia="宋体" w:hAnsi="Times New Roman" w:cs="Times New Roman"/>
      <w:szCs w:val="24"/>
    </w:rPr>
  </w:style>
  <w:style w:type="character" w:customStyle="1" w:styleId="Char4">
    <w:name w:val="纯文本 Char"/>
    <w:link w:val="PlainText"/>
    <w:qFormat/>
    <w:rPr>
      <w:rFonts w:ascii="宋体" w:eastAsia="宋体" w:hAnsi="Courier New" w:cs="Times New Roman"/>
      <w:szCs w:val="20"/>
    </w:rPr>
  </w:style>
  <w:style w:type="character" w:customStyle="1" w:styleId="Char5">
    <w:name w:val="批注框文本 Char"/>
    <w:link w:val="BalloonText"/>
    <w:uiPriority w:val="99"/>
    <w:semiHidden/>
    <w:qFormat/>
    <w:rPr>
      <w:rFonts w:ascii="Times New Roman" w:eastAsia="宋体" w:hAnsi="Times New Roman" w:cs="Times New Roman"/>
      <w:sz w:val="18"/>
      <w:szCs w:val="18"/>
    </w:rPr>
  </w:style>
  <w:style w:type="character" w:customStyle="1" w:styleId="Char6">
    <w:name w:val="页脚 Char"/>
    <w:link w:val="Footer"/>
    <w:uiPriority w:val="99"/>
    <w:qFormat/>
    <w:rPr>
      <w:rFonts w:ascii="Times New Roman" w:eastAsia="宋体" w:hAnsi="Times New Roman" w:cs="Times New Roman"/>
      <w:sz w:val="18"/>
      <w:szCs w:val="18"/>
    </w:rPr>
  </w:style>
  <w:style w:type="character" w:customStyle="1" w:styleId="Char7">
    <w:name w:val="页眉 Char"/>
    <w:link w:val="Header"/>
    <w:qFormat/>
    <w:rPr>
      <w:rFonts w:ascii="Times New Roman" w:eastAsia="宋体" w:hAnsi="Times New Roman" w:cs="Times New Roman"/>
      <w:sz w:val="18"/>
      <w:szCs w:val="18"/>
    </w:rPr>
  </w:style>
  <w:style w:type="character" w:customStyle="1" w:styleId="HTMLChar">
    <w:name w:val="HTML 预设格式 Char"/>
    <w:link w:val="HTMLPreformatted"/>
    <w:qFormat/>
    <w:rPr>
      <w:rFonts w:ascii="宋体" w:eastAsia="宋体" w:hAnsi="宋体" w:cs="宋体"/>
      <w:kern w:val="0"/>
      <w:sz w:val="24"/>
      <w:szCs w:val="24"/>
    </w:rPr>
  </w:style>
  <w:style w:type="character" w:customStyle="1" w:styleId="Char8">
    <w:name w:val="标题 Char"/>
    <w:link w:val="Title"/>
    <w:qFormat/>
    <w:rPr>
      <w:rFonts w:ascii="Arial" w:eastAsia="隶书" w:hAnsi="Arial" w:cs="Arial"/>
      <w:b/>
      <w:bCs/>
      <w:sz w:val="32"/>
      <w:szCs w:val="32"/>
    </w:rPr>
  </w:style>
  <w:style w:type="character" w:customStyle="1" w:styleId="Char9">
    <w:name w:val="批注主题 Char"/>
    <w:link w:val="CommentSubject"/>
    <w:semiHidden/>
    <w:qFormat/>
    <w:rPr>
      <w:rFonts w:ascii="Times New Roman" w:eastAsia="宋体" w:hAnsi="Times New Roman" w:cs="Times New Roman"/>
      <w:b/>
      <w:bCs/>
      <w:szCs w:val="24"/>
    </w:rPr>
  </w:style>
  <w:style w:type="paragraph" w:customStyle="1" w:styleId="Style3">
    <w:name w:val="_Style 3"/>
    <w:basedOn w:val="Normal"/>
    <w:qFormat/>
    <w:rPr>
      <w:rFonts w:ascii="Calibri" w:hAnsi="Calibri"/>
      <w:szCs w:val="21"/>
    </w:rPr>
  </w:style>
  <w:style w:type="paragraph" w:styleId="NoSpacing">
    <w:name w:val="No Spacing"/>
    <w:uiPriority w:val="1"/>
    <w:qFormat/>
    <w:pPr>
      <w:widowControl w:val="0"/>
      <w:jc w:val="both"/>
    </w:pPr>
    <w:rPr>
      <w:rFonts w:ascii="Times New Roman" w:eastAsia="宋体" w:hAnsi="Times New Roman" w:cs="Times New Roman"/>
      <w:kern w:val="2"/>
      <w:sz w:val="21"/>
      <w:szCs w:val="24"/>
      <w:lang w:val="en-US" w:eastAsia="zh-CN" w:bidi="ar-SA"/>
    </w:rPr>
  </w:style>
  <w:style w:type="paragraph" w:customStyle="1" w:styleId="1-">
    <w:name w:val="1-正文"/>
    <w:basedOn w:val="Normal"/>
    <w:qFormat/>
    <w:pPr>
      <w:ind w:firstLine="480"/>
    </w:pPr>
    <w:rPr>
      <w:rFonts w:ascii="宋体" w:hAnsi="宋体" w:cs="Times New Roman"/>
      <w:szCs w:val="20"/>
    </w:rPr>
  </w:style>
  <w:style w:type="paragraph" w:styleId="Quote">
    <w:name w:val="Quote"/>
    <w:next w:val="Normal"/>
    <w:uiPriority w:val="99"/>
    <w:qFormat/>
    <w:pPr>
      <w:widowControl w:val="0"/>
      <w:jc w:val="both"/>
    </w:pPr>
    <w:rPr>
      <w:rFonts w:ascii="Calibri" w:eastAsia="宋体" w:hAnsi="Calibri" w:cs="Calibri"/>
      <w:i/>
      <w:iCs/>
      <w:color w:val="000000"/>
      <w:kern w:val="2"/>
      <w:sz w:val="22"/>
      <w:szCs w:val="22"/>
      <w:lang w:val="en-US" w:eastAsia="zh-CN" w:bidi="ar-SA"/>
    </w:rPr>
  </w:style>
  <w:style w:type="paragraph" w:customStyle="1" w:styleId="Default">
    <w:name w:val="Default"/>
    <w:qFormat/>
    <w:pPr>
      <w:widowControl w:val="0"/>
      <w:autoSpaceDE w:val="0"/>
      <w:autoSpaceDN w:val="0"/>
      <w:adjustRightInd w:val="0"/>
    </w:pPr>
    <w:rPr>
      <w:rFonts w:ascii="Arial Narrow" w:eastAsia="宋体" w:hAnsi="Arial Narrow" w:cs="Arial Narrow"/>
      <w:color w:val="000000"/>
      <w:sz w:val="24"/>
      <w:szCs w:val="24"/>
      <w:lang w:val="en-US" w:eastAsia="zh-CN" w:bidi="ar-SA"/>
    </w:rPr>
  </w:style>
  <w:style w:type="character" w:customStyle="1" w:styleId="hover2">
    <w:name w:val="hover2"/>
    <w:qFormat/>
    <w:rPr>
      <w:color w:val="2590EB"/>
    </w:rPr>
  </w:style>
  <w:style w:type="character" w:customStyle="1" w:styleId="1CharCharChar">
    <w:name w:val="样式1 Char Char Char"/>
    <w:link w:val="1CharChar"/>
    <w:qFormat/>
    <w:rPr>
      <w:rFonts w:ascii="Times New Roman" w:eastAsia="宋体" w:hAnsi="Times New Roman" w:cs="Times New Roman"/>
      <w:sz w:val="24"/>
      <w:szCs w:val="20"/>
    </w:rPr>
  </w:style>
  <w:style w:type="paragraph" w:customStyle="1" w:styleId="1CharChar">
    <w:name w:val="样式1 Char Char"/>
    <w:basedOn w:val="Normal"/>
    <w:next w:val="Normal"/>
    <w:link w:val="1CharCharChar"/>
    <w:qFormat/>
    <w:pPr>
      <w:spacing w:line="360" w:lineRule="auto"/>
      <w:ind w:firstLine="516" w:firstLineChars="215"/>
    </w:pPr>
    <w:rPr>
      <w:kern w:val="0"/>
      <w:sz w:val="24"/>
      <w:szCs w:val="20"/>
    </w:rPr>
  </w:style>
  <w:style w:type="character" w:customStyle="1" w:styleId="NormalCharacter">
    <w:name w:val="NormalCharacter"/>
    <w:semiHidden/>
    <w:qFormat/>
    <w:rPr>
      <w:rFonts w:ascii="Calibri" w:eastAsia="宋体" w:hAnsi="Calibri"/>
      <w:kern w:val="2"/>
      <w:sz w:val="21"/>
      <w:szCs w:val="24"/>
      <w:lang w:val="en-US" w:eastAsia="zh-CN" w:bidi="ar-SA"/>
    </w:rPr>
  </w:style>
  <w:style w:type="character" w:customStyle="1" w:styleId="mini-outputtext1">
    <w:name w:val="mini-outputtext1"/>
    <w:qFormat/>
  </w:style>
  <w:style w:type="character" w:customStyle="1" w:styleId="Char20">
    <w:name w:val="表正文 Char2"/>
    <w:qFormat/>
    <w:rPr>
      <w:rFonts w:eastAsia="宋体"/>
      <w:kern w:val="2"/>
      <w:sz w:val="21"/>
      <w:szCs w:val="24"/>
      <w:lang w:val="en-US" w:eastAsia="zh-CN" w:bidi="ar-SA"/>
    </w:rPr>
  </w:style>
  <w:style w:type="character" w:customStyle="1" w:styleId="2Char0">
    <w:name w:val="正文缩进2格 Char"/>
    <w:link w:val="2"/>
    <w:qFormat/>
    <w:locked/>
    <w:rPr>
      <w:rFonts w:ascii="仿宋_GB2312" w:eastAsia="仿宋_GB2312" w:hAnsi="宋体"/>
      <w:sz w:val="28"/>
    </w:rPr>
  </w:style>
  <w:style w:type="paragraph" w:customStyle="1" w:styleId="2">
    <w:name w:val="正文缩进2格"/>
    <w:basedOn w:val="Normal"/>
    <w:link w:val="2Char0"/>
    <w:qFormat/>
    <w:pPr>
      <w:spacing w:line="600" w:lineRule="exact"/>
      <w:ind w:firstLine="639" w:firstLineChars="206"/>
    </w:pPr>
    <w:rPr>
      <w:rFonts w:ascii="仿宋_GB2312" w:eastAsia="仿宋_GB2312" w:hAnsi="宋体"/>
      <w:kern w:val="0"/>
      <w:sz w:val="28"/>
      <w:szCs w:val="20"/>
    </w:rPr>
  </w:style>
  <w:style w:type="character" w:customStyle="1" w:styleId="hover1">
    <w:name w:val="hover1"/>
    <w:qFormat/>
    <w:rPr>
      <w:color w:val="2590EB"/>
    </w:rPr>
  </w:style>
  <w:style w:type="character" w:customStyle="1" w:styleId="1Char0">
    <w:name w:val="样式1 Char"/>
    <w:link w:val="1"/>
    <w:qFormat/>
    <w:rPr>
      <w:rFonts w:ascii="Arial" w:eastAsia="黑体" w:hAnsi="Arial" w:cs="Arial"/>
      <w:bCs/>
      <w:sz w:val="30"/>
      <w:szCs w:val="21"/>
    </w:rPr>
  </w:style>
  <w:style w:type="paragraph" w:customStyle="1" w:styleId="1">
    <w:name w:val="样式1"/>
    <w:basedOn w:val="Title"/>
    <w:link w:val="1Char0"/>
    <w:qFormat/>
    <w:pPr>
      <w:spacing w:before="120" w:after="120"/>
    </w:pPr>
    <w:rPr>
      <w:rFonts w:eastAsia="黑体" w:cs="Times New Roman"/>
      <w:b w:val="0"/>
      <w:kern w:val="0"/>
      <w:sz w:val="30"/>
      <w:szCs w:val="21"/>
    </w:rPr>
  </w:style>
  <w:style w:type="character" w:customStyle="1" w:styleId="hover3">
    <w:name w:val="hover3"/>
    <w:qFormat/>
  </w:style>
  <w:style w:type="character" w:customStyle="1" w:styleId="2Char1">
    <w:name w:val="样式2 Char"/>
    <w:link w:val="20"/>
    <w:qFormat/>
    <w:rPr>
      <w:rFonts w:ascii="Times New Roman" w:eastAsia="宋体" w:hAnsi="Times New Roman" w:cs="Times New Roman"/>
      <w:szCs w:val="24"/>
    </w:rPr>
  </w:style>
  <w:style w:type="paragraph" w:customStyle="1" w:styleId="20">
    <w:name w:val="样式2"/>
    <w:basedOn w:val="CommentText"/>
    <w:link w:val="2Char1"/>
    <w:qFormat/>
    <w:rPr>
      <w:kern w:val="0"/>
      <w:sz w:val="20"/>
    </w:rPr>
  </w:style>
  <w:style w:type="character" w:customStyle="1" w:styleId="hover4">
    <w:name w:val="hover4"/>
    <w:qFormat/>
    <w:rPr>
      <w:color w:val="2590EB"/>
      <w:shd w:val="clear" w:color="auto" w:fill="E9F4FD"/>
    </w:rPr>
  </w:style>
  <w:style w:type="character" w:customStyle="1" w:styleId="hover">
    <w:name w:val="hover"/>
    <w:qFormat/>
    <w:rPr>
      <w:color w:val="2590EB"/>
      <w:shd w:val="clear" w:color="auto" w:fill="E9F4FD"/>
    </w:rPr>
  </w:style>
  <w:style w:type="character" w:customStyle="1" w:styleId="a">
    <w:name w:val="无"/>
    <w:qFormat/>
  </w:style>
  <w:style w:type="paragraph" w:customStyle="1" w:styleId="Tablecaption1">
    <w:name w:val="Table caption|1"/>
    <w:basedOn w:val="Normal"/>
    <w:qFormat/>
    <w:pPr>
      <w:jc w:val="center"/>
    </w:pPr>
    <w:rPr>
      <w:rFonts w:ascii="宋体" w:eastAsia="宋体" w:hAnsi="宋体" w:cs="宋体"/>
      <w:sz w:val="20"/>
      <w:szCs w:val="20"/>
      <w:lang w:val="zh-CN" w:bidi="zh-CN"/>
    </w:rPr>
  </w:style>
  <w:style w:type="paragraph" w:customStyle="1" w:styleId="10">
    <w:name w:val="修订1"/>
    <w:uiPriority w:val="99"/>
    <w:semiHidden/>
    <w:qFormat/>
    <w:rPr>
      <w:rFonts w:ascii="Times New Roman" w:eastAsia="宋体" w:hAnsi="Times New Roman" w:cs="Times New Roman"/>
      <w:kern w:val="2"/>
      <w:sz w:val="21"/>
      <w:szCs w:val="24"/>
      <w:lang w:val="en-US" w:eastAsia="zh-CN" w:bidi="ar-SA"/>
    </w:rPr>
  </w:style>
  <w:style w:type="paragraph" w:customStyle="1" w:styleId="a0">
    <w:name w:val="表格文字"/>
    <w:basedOn w:val="Normal"/>
    <w:qFormat/>
    <w:pPr>
      <w:adjustRightInd w:val="0"/>
      <w:spacing w:line="420" w:lineRule="atLeast"/>
      <w:jc w:val="left"/>
      <w:textAlignment w:val="baseline"/>
    </w:pPr>
    <w:rPr>
      <w:rFonts w:ascii="Calibri" w:eastAsia="宋体" w:hAnsi="Calibri" w:cs="Times New Roman"/>
      <w:kern w:val="0"/>
      <w:szCs w:val="20"/>
    </w:rPr>
  </w:style>
  <w:style w:type="paragraph" w:styleId="ListParagraph">
    <w:name w:val="List Paragraph"/>
    <w:basedOn w:val="Normal"/>
    <w:uiPriority w:val="34"/>
    <w:qFormat/>
    <w:pPr>
      <w:ind w:firstLine="420" w:firstLineChars="200"/>
    </w:pPr>
  </w:style>
  <w:style w:type="paragraph" w:customStyle="1" w:styleId="p0">
    <w:name w:val="p0"/>
    <w:basedOn w:val="Normal"/>
    <w:uiPriority w:val="99"/>
    <w:qFormat/>
    <w:pPr>
      <w:widowControl/>
      <w:spacing w:after="78" w:line="300" w:lineRule="auto"/>
    </w:pPr>
    <w:rPr>
      <w:rFonts w:ascii="Arial" w:hAnsi="Arial" w:cs="Arial"/>
      <w:kern w:val="0"/>
      <w:szCs w:val="21"/>
    </w:rPr>
  </w:style>
  <w:style w:type="paragraph" w:customStyle="1" w:styleId="TOC10">
    <w:name w:val="TOC 标题1"/>
    <w:basedOn w:val="Heading1"/>
    <w:next w:val="Normal"/>
    <w:uiPriority w:val="39"/>
    <w:unhideWhenUsed/>
    <w:qFormat/>
    <w:pPr>
      <w:widowControl/>
      <w:spacing w:before="480" w:after="0" w:line="276" w:lineRule="auto"/>
      <w:jc w:val="left"/>
      <w:outlineLvl w:val="9"/>
    </w:pPr>
    <w:rPr>
      <w:rFonts w:ascii="Cambria" w:eastAsia="宋体" w:hAnsi="Cambria" w:cs="Times New Roman"/>
      <w:bCs/>
      <w:color w:val="365F91"/>
      <w:kern w:val="0"/>
      <w:sz w:val="28"/>
      <w:szCs w:val="28"/>
    </w:rPr>
  </w:style>
  <w:style w:type="paragraph" w:customStyle="1" w:styleId="11">
    <w:name w:val="纯文本1"/>
    <w:basedOn w:val="Normal"/>
    <w:qFormat/>
    <w:rPr>
      <w:rFonts w:ascii="宋体" w:hAnsi="宋体" w:cs="Courier New"/>
    </w:rPr>
  </w:style>
  <w:style w:type="paragraph" w:customStyle="1" w:styleId="CharCharCharChar">
    <w:name w:val="Char Char Char Char"/>
    <w:basedOn w:val="Normal"/>
    <w:qFormat/>
    <w:pPr>
      <w:widowControl/>
      <w:spacing w:after="160" w:line="240" w:lineRule="exact"/>
      <w:jc w:val="left"/>
    </w:pPr>
    <w:rPr>
      <w:rFonts w:ascii="Verdana" w:eastAsia="仿宋_GB2312" w:hAnsi="Verdana"/>
      <w:kern w:val="0"/>
      <w:sz w:val="24"/>
      <w:szCs w:val="20"/>
      <w:lang w:eastAsia="en-US"/>
    </w:rPr>
  </w:style>
  <w:style w:type="paragraph" w:customStyle="1" w:styleId="Char10">
    <w:name w:val="Char"/>
    <w:basedOn w:val="Normal"/>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1">
    <w:name w:val="Char Char Char Char1"/>
    <w:basedOn w:val="Normal"/>
    <w:qFormat/>
    <w:pPr>
      <w:widowControl/>
      <w:spacing w:after="160" w:line="240" w:lineRule="exact"/>
      <w:jc w:val="left"/>
    </w:pPr>
    <w:rPr>
      <w:rFonts w:ascii="Verdana" w:eastAsia="仿宋_GB2312" w:hAnsi="Verdana"/>
      <w:kern w:val="0"/>
      <w:sz w:val="24"/>
      <w:szCs w:val="20"/>
      <w:lang w:eastAsia="en-US"/>
    </w:rPr>
  </w:style>
  <w:style w:type="paragraph" w:customStyle="1" w:styleId="22">
    <w:name w:val="2册标题2"/>
    <w:basedOn w:val="Normal"/>
    <w:next w:val="Normal"/>
    <w:qFormat/>
    <w:pPr>
      <w:spacing w:beforeLines="50" w:afterLines="50" w:line="300" w:lineRule="auto"/>
      <w:outlineLvl w:val="1"/>
    </w:pPr>
    <w:rPr>
      <w:rFonts w:ascii="Arial" w:eastAsia="黑体" w:hAnsi="Arial"/>
      <w:sz w:val="30"/>
      <w:szCs w:val="30"/>
    </w:rPr>
  </w:style>
  <w:style w:type="paragraph" w:customStyle="1" w:styleId="21">
    <w:name w:val="列出段落2"/>
    <w:basedOn w:val="Normal"/>
    <w:qFormat/>
    <w:pPr>
      <w:ind w:firstLine="420" w:firstLineChars="200"/>
    </w:pPr>
  </w:style>
  <w:style w:type="paragraph" w:customStyle="1" w:styleId="Char11">
    <w:name w:val="Char1"/>
    <w:basedOn w:val="Normal"/>
    <w:qFormat/>
    <w:rPr>
      <w:rFonts w:ascii="仿宋_GB2312" w:eastAsia="仿宋_GB2312"/>
      <w:b/>
      <w:sz w:val="32"/>
      <w:szCs w:val="32"/>
    </w:rPr>
  </w:style>
  <w:style w:type="paragraph" w:customStyle="1" w:styleId="USE1">
    <w:name w:val="USE 1"/>
    <w:basedOn w:val="Normal"/>
    <w:qFormat/>
    <w:pPr>
      <w:spacing w:line="200" w:lineRule="atLeast"/>
      <w:jc w:val="left"/>
    </w:pPr>
    <w:rPr>
      <w:rFonts w:ascii="宋体" w:hAnsi="宋体"/>
      <w:b/>
      <w:sz w:val="24"/>
      <w:szCs w:val="28"/>
    </w:rPr>
  </w:style>
  <w:style w:type="paragraph" w:customStyle="1" w:styleId="5">
    <w:name w:val="正文_5"/>
    <w:qFormat/>
    <w:pPr>
      <w:widowControl w:val="0"/>
      <w:jc w:val="both"/>
    </w:pPr>
    <w:rPr>
      <w:rFonts w:ascii="Times New Roman" w:eastAsia="宋体" w:hAnsi="Times New Roman" w:cs="Times New Roman"/>
      <w:kern w:val="2"/>
      <w:sz w:val="21"/>
      <w:szCs w:val="24"/>
      <w:lang w:val="en-US" w:eastAsia="zh-CN" w:bidi="ar-SA"/>
    </w:rPr>
  </w:style>
  <w:style w:type="paragraph" w:customStyle="1" w:styleId="inf">
    <w:name w:val="inf"/>
    <w:basedOn w:val="Normal"/>
    <w:qFormat/>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a1">
    <w:name w:val="表格内文字"/>
    <w:basedOn w:val="Normal"/>
    <w:qFormat/>
    <w:rPr>
      <w:sz w:val="24"/>
      <w:szCs w:val="20"/>
    </w:rPr>
  </w:style>
  <w:style w:type="paragraph" w:customStyle="1" w:styleId="a2">
    <w:name w:val="*正文"/>
    <w:basedOn w:val="Normal"/>
    <w:qFormat/>
    <w:pPr>
      <w:spacing w:line="360" w:lineRule="auto"/>
      <w:ind w:firstLine="200" w:firstLineChars="200"/>
    </w:pPr>
    <w:rPr>
      <w:rFonts w:ascii="宋体" w:hAnsi="宋体"/>
      <w:kern w:val="0"/>
      <w:sz w:val="22"/>
    </w:rPr>
  </w:style>
  <w:style w:type="paragraph" w:customStyle="1" w:styleId="TableParagraph">
    <w:name w:val="Table Paragraph"/>
    <w:basedOn w:val="Normal"/>
    <w:uiPriority w:val="1"/>
    <w:qFormat/>
    <w:pPr>
      <w:autoSpaceDE w:val="0"/>
      <w:autoSpaceDN w:val="0"/>
      <w:adjustRightInd w:val="0"/>
      <w:jc w:val="left"/>
    </w:pPr>
    <w:rPr>
      <w:rFonts w:eastAsia="宋体"/>
      <w:kern w:val="0"/>
      <w:sz w:val="24"/>
    </w:rPr>
  </w:style>
  <w:style w:type="paragraph" w:customStyle="1" w:styleId="WW-Default">
    <w:name w:val="WW-Default"/>
    <w:basedOn w:val="Normal"/>
    <w:qFormat/>
    <w:pPr>
      <w:suppressAutoHyphens/>
      <w:autoSpaceDE w:val="0"/>
      <w:jc w:val="left"/>
    </w:pPr>
    <w:rPr>
      <w:rFonts w:ascii="Times New Roman" w:hAnsi="Times New Roman"/>
      <w:color w:val="000000"/>
      <w:kern w:val="0"/>
      <w:sz w:val="24"/>
    </w:rPr>
  </w:style>
  <w:style w:type="paragraph" w:customStyle="1" w:styleId="200">
    <w:name w:val="正文文本缩进 2_0"/>
    <w:basedOn w:val="5"/>
    <w:qFormat/>
    <w:pPr>
      <w:snapToGrid w:val="0"/>
      <w:spacing w:line="320" w:lineRule="atLeast"/>
      <w:ind w:firstLine="540"/>
      <w:jc w:val="left"/>
    </w:pPr>
    <w:rPr>
      <w:rFonts w:ascii="楷体" w:eastAsia="楷体" w:hint="eastAsia"/>
      <w:i/>
      <w:kern w:val="0"/>
      <w:sz w:val="22"/>
      <w:szCs w:val="20"/>
    </w:rPr>
  </w:style>
  <w:style w:type="paragraph" w:customStyle="1" w:styleId="12">
    <w:name w:val="列出段落1"/>
    <w:basedOn w:val="Normal"/>
    <w:uiPriority w:val="34"/>
    <w:qFormat/>
    <w:pPr>
      <w:ind w:firstLine="420" w:firstLineChars="200"/>
    </w:pPr>
  </w:style>
  <w:style w:type="paragraph" w:customStyle="1" w:styleId="13">
    <w:name w:val="正文缩进1"/>
    <w:basedOn w:val="Normal"/>
    <w:qFormat/>
    <w:pPr>
      <w:spacing w:line="560" w:lineRule="exact"/>
      <w:ind w:firstLine="640"/>
    </w:pPr>
    <w:rPr>
      <w:rFonts w:eastAsia="仿宋_GB2312"/>
      <w:kern w:val="32"/>
      <w:sz w:val="32"/>
      <w:szCs w:val="20"/>
    </w:rPr>
  </w:style>
  <w:style w:type="paragraph" w:customStyle="1" w:styleId="A3">
    <w:name w:val="正文 A"/>
    <w:qFormat/>
    <w:pPr>
      <w:widowControl w:val="0"/>
      <w:jc w:val="both"/>
    </w:pPr>
    <w:rPr>
      <w:rFonts w:ascii="Arial Unicode MS" w:eastAsia="Arial Unicode MS" w:hAnsi="Arial Unicode MS" w:cs="Arial Unicode MS" w:hint="eastAsia"/>
      <w:color w:val="000000"/>
      <w:kern w:val="2"/>
      <w:sz w:val="21"/>
      <w:szCs w:val="21"/>
      <w:lang w:val="en-US" w:eastAsia="zh-CN" w:bidi="ar-SA"/>
    </w:rPr>
  </w:style>
  <w:style w:type="paragraph" w:customStyle="1" w:styleId="Style111">
    <w:name w:val="_Style 111"/>
    <w:uiPriority w:val="99"/>
    <w:unhideWhenUsed/>
    <w:qFormat/>
    <w:rPr>
      <w:rFonts w:ascii="Times New Roman" w:eastAsia="宋体" w:hAnsi="Times New Roman" w:cs="Times New Roman"/>
      <w:kern w:val="2"/>
      <w:sz w:val="21"/>
      <w:szCs w:val="24"/>
      <w:lang w:val="en-US" w:eastAsia="zh-CN" w:bidi="ar-SA"/>
    </w:rPr>
  </w:style>
  <w:style w:type="paragraph" w:customStyle="1" w:styleId="7878125">
    <w:name w:val="样式 小四 加粗 黑色 段前: 7.8 磅 段后: 7.8 磅 行距: 多倍行距 1.25 字行"/>
    <w:basedOn w:val="Normal"/>
    <w:qFormat/>
    <w:pPr>
      <w:adjustRightInd w:val="0"/>
      <w:snapToGrid w:val="0"/>
      <w:spacing w:before="156" w:after="50" w:line="300" w:lineRule="auto"/>
    </w:pPr>
    <w:rPr>
      <w:rFonts w:cs="宋体"/>
      <w:bCs/>
      <w:color w:val="000000"/>
      <w:sz w:val="24"/>
      <w:szCs w:val="20"/>
    </w:rPr>
  </w:style>
  <w:style w:type="paragraph" w:customStyle="1" w:styleId="a4">
    <w:name w:val="正文 首行缩进"/>
    <w:qFormat/>
    <w:pPr>
      <w:widowControl w:val="0"/>
      <w:adjustRightInd w:val="0"/>
      <w:ind w:firstLine="437"/>
      <w:textAlignment w:val="baseline"/>
    </w:pPr>
    <w:rPr>
      <w:rFonts w:ascii="宋体" w:eastAsia="宋体" w:hAnsi="宋体" w:cs="Times New Roman"/>
      <w:kern w:val="2"/>
      <w:sz w:val="21"/>
      <w:szCs w:val="21"/>
      <w:lang w:val="en-US" w:eastAsia="zh-CN" w:bidi="ar-SA"/>
    </w:rPr>
  </w:style>
  <w:style w:type="paragraph" w:customStyle="1" w:styleId="NormalIndent0">
    <w:name w:val="Normal Indent_0"/>
    <w:basedOn w:val="Normal"/>
    <w:qFormat/>
    <w:pPr>
      <w:ind w:firstLine="420" w:firstLineChars="200"/>
    </w:pPr>
  </w:style>
  <w:style w:type="paragraph" w:customStyle="1" w:styleId="BodyTextIndent0">
    <w:name w:val="Body Text Indent_0"/>
    <w:basedOn w:val="Normal"/>
    <w:qFormat/>
    <w:pPr>
      <w:spacing w:line="360" w:lineRule="auto"/>
      <w:ind w:firstLine="420" w:firstLineChars="200"/>
    </w:pPr>
    <w:rPr>
      <w:color w:val="000000"/>
      <w:sz w:val="24"/>
    </w:rPr>
  </w:style>
  <w:style w:type="paragraph" w:customStyle="1" w:styleId="a5">
    <w:name w:val="我的正文"/>
    <w:basedOn w:val="Normal"/>
    <w:qFormat/>
    <w:pPr>
      <w:spacing w:line="360" w:lineRule="auto"/>
      <w:ind w:firstLine="560" w:firstLineChars="200"/>
    </w:pPr>
    <w:rPr>
      <w:kern w:val="0"/>
      <w:szCs w:val="30"/>
    </w:rPr>
  </w:style>
  <w:style w:type="paragraph" w:customStyle="1" w:styleId="ListParagraph1">
    <w:name w:val="List Paragraph1"/>
    <w:basedOn w:val="Normal"/>
    <w:qFormat/>
    <w:pPr>
      <w:ind w:firstLine="420" w:firstLineChars="200"/>
    </w:pPr>
    <w:rPr>
      <w:szCs w:val="21"/>
    </w:rPr>
  </w:style>
  <w:style w:type="paragraph" w:customStyle="1" w:styleId="a6">
    <w:name w:val="文档正文"/>
    <w:basedOn w:val="Normal"/>
    <w:uiPriority w:val="99"/>
    <w:qFormat/>
    <w:pPr>
      <w:adjustRightInd w:val="0"/>
      <w:spacing w:line="480" w:lineRule="atLeast"/>
      <w:ind w:firstLine="567" w:firstLineChars="200"/>
      <w:textAlignment w:val="baseline"/>
    </w:pPr>
    <w:rPr>
      <w:rFonts w:ascii="长城仿宋"/>
      <w:kern w:val="0"/>
      <w:szCs w:val="20"/>
    </w:rPr>
  </w:style>
  <w:style w:type="paragraph" w:customStyle="1" w:styleId="a7">
    <w:name w:val="正文正"/>
    <w:basedOn w:val="Normal"/>
    <w:qFormat/>
    <w:pPr>
      <w:spacing w:line="560" w:lineRule="exact"/>
      <w:ind w:firstLine="561"/>
    </w:pPr>
    <w:rPr>
      <w:rFonts w:ascii="Calibri" w:hAnsi="Calibri"/>
      <w:sz w:val="28"/>
      <w:szCs w:val="28"/>
    </w:rPr>
  </w:style>
  <w:style w:type="paragraph" w:customStyle="1" w:styleId="TableText">
    <w:name w:val="Table Text"/>
    <w:basedOn w:val="Normal"/>
    <w:semiHidden/>
    <w:qFormat/>
    <w:rPr>
      <w:rFonts w:ascii="微软雅黑" w:eastAsia="微软雅黑" w:hAnsi="微软雅黑" w:cs="微软雅黑"/>
      <w:sz w:val="24"/>
      <w:szCs w:val="24"/>
      <w:lang w:val="en-US" w:eastAsia="en-US" w:bidi="ar-SA"/>
    </w:rPr>
  </w:style>
  <w:style w:type="table" w:customStyle="1" w:styleId="TableNormal0">
    <w:name w:val="Table Normal_0"/>
    <w:unhideWhenUsed/>
    <w:qFormat/>
    <w:rPr>
      <w:lang w:val="en-US" w:eastAsia="zh-CN" w:bidi="ar-SA"/>
    </w:rPr>
    <w:tblPr>
      <w:tblCellMar>
        <w:top w:w="0" w:type="dxa"/>
        <w:left w:w="0" w:type="dxa"/>
        <w:bottom w:w="0" w:type="dxa"/>
        <w:right w:w="0" w:type="dxa"/>
      </w:tblCellMar>
    </w:tblPr>
  </w:style>
  <w:style w:type="paragraph" w:customStyle="1" w:styleId="14">
    <w:name w:val="正文1"/>
    <w:basedOn w:val="Normal"/>
    <w:qFormat/>
    <w:pPr>
      <w:tabs>
        <w:tab w:val="left" w:pos="4"/>
      </w:tabs>
      <w:spacing w:line="360" w:lineRule="auto"/>
      <w:ind w:left="-2" w:firstLine="482"/>
    </w:pPr>
    <w:rPr>
      <w:rFonts w:ascii="宋体" w:hAnsi="宋体"/>
      <w:sz w:val="24"/>
    </w:rPr>
  </w:style>
  <w:style w:type="table" w:customStyle="1" w:styleId="15">
    <w:name w:val="网格型1"/>
    <w:basedOn w:val="TableNormal"/>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ll3">
    <w:name w:val="null3"/>
    <w:qFormat/>
    <w:pPr>
      <w:spacing w:after="160" w:line="278" w:lineRule="auto"/>
    </w:pPr>
    <w:rPr>
      <w:rFonts w:ascii="Calibri" w:eastAsia="宋体" w:hAnsi="Calibri" w:cs="Times New Roman" w:hint="eastAsia"/>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3</TotalTime>
  <Pages>63</Pages>
  <Words>20410</Words>
  <Characters>21802</Characters>
  <Application>Microsoft Office Word</Application>
  <DocSecurity>0</DocSecurity>
  <Lines>382</Lines>
  <Paragraphs>107</Paragraphs>
  <ScaleCrop>false</ScaleCrop>
  <Company>china</Company>
  <LinksUpToDate>false</LinksUpToDate>
  <CharactersWithSpaces>22076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dc:title>
  <dc:creator>Microsoft</dc:creator>
  <cp:lastModifiedBy>华仑诚-周工</cp:lastModifiedBy>
  <cp:revision>3</cp:revision>
  <cp:lastPrinted>2025-09-16T06:14:00Z</cp:lastPrinted>
  <dcterms:created xsi:type="dcterms:W3CDTF">2024-07-11T21:44:00Z</dcterms:created>
  <dcterms:modified xsi:type="dcterms:W3CDTF">2025-09-19T07:08:25Z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5286EC59FD9046D5AE5A69CAC870369C_13</vt:lpwstr>
  </property>
  <property fmtid="{D5CDD505-2E9C-101B-9397-08002B2CF9AE}" pid="3" name="KSOProductBuildVer">
    <vt:lpwstr>2052-12.1.0.22529</vt:lpwstr>
  </property>
  <property fmtid="{D5CDD505-2E9C-101B-9397-08002B2CF9AE}" pid="4" name="KSOTemplateDocerSaveRecord">
    <vt:lpwstr>eyJoZGlkIjoiMGU1MzQ3MmYzMTE1YjcwZjhjZDVlZThkY2U0MjllMTUiLCJ1c2VySWQiOiIxMTQ4OTcwNzEyIn0=</vt:lpwstr>
  </property>
</Properties>
</file>